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THINGS Leroy Imputed Benchmark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This note records the 11/11 sensitivity benchmark obtained by adding bounded imputed handles for n4449 and n3077.</w:t>
      </w:r>
    </w:p>
    <w:p>
      <w:pPr>
        <w:jc w:val="both"/>
      </w:pPr>
      <w:r>
        <w:t>The machine-readable audit is in output/audit/csr_things_leroy_imputed_benchmark.json.</w:t>
      </w:r>
    </w:p>
    <w:p>
      <w:pPr>
        <w:pStyle w:val="Heading2"/>
      </w:pPr>
      <w:r>
        <w:t>Dataset</w:t>
      </w:r>
    </w:p>
    <w:p>
      <w:pPr>
        <w:pStyle w:val="ListBullet"/>
      </w:pPr>
      <w:r>
        <w:t>total target list: 11</w:t>
      </w:r>
    </w:p>
    <w:p>
      <w:pPr>
        <w:pStyle w:val="ListBullet"/>
      </w:pPr>
      <w:r>
        <w:t>used: 11</w:t>
      </w:r>
    </w:p>
    <w:p>
      <w:pPr>
        <w:pStyle w:val="ListBullet"/>
      </w:pPr>
      <w:r>
        <w:t>imputed handles: n4449, n3077</w:t>
      </w:r>
    </w:p>
    <w:p>
      <w:pPr>
        <w:jc w:val="both"/>
      </w:pPr>
      <w:r>
        <w:t>This benchmark is for stability checking only. The primary external benchmark remains the 9/11 primary-source set.</w:t>
      </w:r>
    </w:p>
    <w:p>
      <w:pPr>
        <w:pStyle w:val="Heading2"/>
      </w:pPr>
      <w:r>
        <w:t>Aggregate Benchmark</w:t>
      </w:r>
    </w:p>
    <w:p>
      <w:pPr>
        <w:pStyle w:val="ListBullet"/>
      </w:pPr>
      <w:r>
        <w:t>weighted Hodge aggregate R^2 = 0.2328</w:t>
      </w:r>
    </w:p>
    <w:p>
      <w:pPr>
        <w:pStyle w:val="ListBullet"/>
      </w:pPr>
      <w:r>
        <w:t>tensorial Hodge aggregate R^2 = 0.2350</w:t>
      </w:r>
    </w:p>
    <w:p>
      <w:pPr>
        <w:pStyle w:val="ListBullet"/>
      </w:pPr>
      <w:r>
        <w:t>retarded Hodge aggregate R^2 = 0.1826</w:t>
      </w:r>
    </w:p>
    <w:p>
      <w:pPr>
        <w:pStyle w:val="ListBullet"/>
      </w:pPr>
      <w:r>
        <w:t>MOND aggregate R^2 = 0.4106</w:t>
      </w:r>
    </w:p>
    <w:p>
      <w:pPr>
        <w:pStyle w:val="ListBullet"/>
      </w:pPr>
      <w:r>
        <w:t>baryons-only aggregate R^2 = 0.0972</w:t>
      </w:r>
    </w:p>
    <w:p>
      <w:pPr>
        <w:pStyle w:val="Heading2"/>
      </w:pPr>
      <w:r>
        <w:t>Reading</w:t>
      </w:r>
    </w:p>
    <w:p>
      <w:pPr>
        <w:jc w:val="both"/>
      </w:pPr>
      <w:r>
        <w:t>Adding the two imputed handles changes sensitivity, but not direction.</w:t>
      </w:r>
    </w:p>
    <w:p>
      <w:pPr>
        <w:jc w:val="both"/>
      </w:pPr>
      <w:r>
        <w:t>The operator branches remain well below MOND.</w:t>
      </w:r>
    </w:p>
    <w:p>
      <w:pPr>
        <w:jc w:val="both"/>
      </w:pPr>
      <w:r>
        <w:t>The retarded branch does not become competitive after the added coverage.</w:t>
      </w:r>
    </w:p>
    <w:p>
      <w:pPr>
        <w:jc w:val="both"/>
      </w:pPr>
      <w:r>
        <w:t>So the imputed benchmark is useful as a robustness check, not as a route to a better external claim.</w:t>
      </w:r>
    </w:p>
    <w:p>
      <w:pPr>
        <w:pStyle w:val="Heading2"/>
      </w:pPr>
      <w:r>
        <w:t>Bottom Line</w:t>
      </w:r>
    </w:p>
    <w:p>
      <w:pPr>
        <w:jc w:val="both"/>
      </w:pPr>
      <w:r>
        <w:t>The 11/11 sensitivity test confirms the same conclusion as the primary-source 9/11 benchmark: current operator reductions are not yet robust external laws.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THINGS LEROY IMPUTED BENCHMARK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THINGS Leroy Imputed Benchmark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