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THINGS Leroy Parametric Benchmark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the first benchmark on the frozen clean THINGS/Leroy target list using the exact published two-parameter rotation-curve form.</w:t>
      </w:r>
    </w:p>
    <w:p>
      <w:pPr>
        <w:jc w:val="both"/>
      </w:pPr>
      <w:r>
        <w:t>The machine-readable audit is in output/audit/csr_things_leroy_parametric_benchmark.json.</w:t>
      </w:r>
    </w:p>
    <w:p>
      <w:pPr>
        <w:pStyle w:val="Heading2"/>
      </w:pPr>
      <w:r>
        <w:t>Frozen Rotation-Curve Model</w:t>
      </w:r>
    </w:p>
    <w:p>
      <w:pPr>
        <w:jc w:val="both"/>
      </w:pPr>
      <w:r>
        <w:t>The benchmark uses the Leroy parametric form</w:t>
      </w:r>
    </w:p>
    <w:p>
      <w:pPr>
        <w:jc w:val="both"/>
      </w:pPr>
      <w:r>
        <w:t>v_rot(r) = v_flat (1 - exp(-r / l_flat))</w:t>
      </w:r>
    </w:p>
    <w:p>
      <w:pPr>
        <w:jc w:val="both"/>
      </w:pPr>
      <w:r>
        <w:t>with v_flat and l_flat taken from Leroy 2008 table4.dat.</w:t>
      </w:r>
    </w:p>
    <w:p>
      <w:pPr>
        <w:pStyle w:val="Heading2"/>
      </w:pPr>
      <w:r>
        <w:t>Dataset</w:t>
      </w:r>
    </w:p>
    <w:p>
      <w:pPr>
        <w:jc w:val="both"/>
      </w:pPr>
      <w:r>
        <w:t>Frozen targets:</w:t>
      </w:r>
    </w:p>
    <w:p>
      <w:pPr>
        <w:pStyle w:val="ListBullet"/>
      </w:pPr>
      <w:r>
        <w:t>hoi</w:t>
      </w:r>
    </w:p>
    <w:p>
      <w:pPr>
        <w:pStyle w:val="ListBullet"/>
      </w:pPr>
      <w:r>
        <w:t>hoii</w:t>
      </w:r>
    </w:p>
    <w:p>
      <w:pPr>
        <w:pStyle w:val="ListBullet"/>
      </w:pPr>
      <w:r>
        <w:t>n4449</w:t>
      </w:r>
    </w:p>
    <w:p>
      <w:pPr>
        <w:pStyle w:val="ListBullet"/>
      </w:pPr>
      <w:r>
        <w:t>n3077</w:t>
      </w:r>
    </w:p>
    <w:p>
      <w:pPr>
        <w:pStyle w:val="ListBullet"/>
      </w:pPr>
      <w:r>
        <w:t>n925</w:t>
      </w:r>
    </w:p>
    <w:p>
      <w:pPr>
        <w:pStyle w:val="ListBullet"/>
      </w:pPr>
      <w:r>
        <w:t>n628</w:t>
      </w:r>
    </w:p>
    <w:p>
      <w:pPr>
        <w:pStyle w:val="ListBullet"/>
      </w:pPr>
      <w:r>
        <w:t>n3184</w:t>
      </w:r>
    </w:p>
    <w:p>
      <w:pPr>
        <w:pStyle w:val="ListBullet"/>
      </w:pPr>
      <w:r>
        <w:t>n4736</w:t>
      </w:r>
    </w:p>
    <w:p>
      <w:pPr>
        <w:pStyle w:val="ListBullet"/>
      </w:pPr>
      <w:r>
        <w:t>n3351</w:t>
      </w:r>
    </w:p>
    <w:p>
      <w:pPr>
        <w:pStyle w:val="ListBullet"/>
      </w:pPr>
      <w:r>
        <w:t>n3627</w:t>
      </w:r>
    </w:p>
    <w:p>
      <w:pPr>
        <w:pStyle w:val="ListBullet"/>
      </w:pPr>
      <w:r>
        <w:t>n5194</w:t>
      </w:r>
    </w:p>
    <w:p>
      <w:pPr>
        <w:jc w:val="both"/>
      </w:pPr>
      <w:r>
        <w:t>Usable now:</w:t>
      </w:r>
    </w:p>
    <w:p>
      <w:pPr>
        <w:pStyle w:val="ListBullet"/>
      </w:pPr>
      <w:r>
        <w:t>9 / 11</w:t>
      </w:r>
    </w:p>
    <w:p>
      <w:pPr>
        <w:jc w:val="both"/>
      </w:pPr>
      <w:r>
        <w:t>Used aliases:</w:t>
      </w:r>
    </w:p>
    <w:p>
      <w:pPr>
        <w:pStyle w:val="ListBullet"/>
      </w:pPr>
      <w:r>
        <w:t>hoi</w:t>
      </w:r>
    </w:p>
    <w:p>
      <w:pPr>
        <w:pStyle w:val="ListBullet"/>
      </w:pPr>
      <w:r>
        <w:t>hoii</w:t>
      </w:r>
    </w:p>
    <w:p>
      <w:pPr>
        <w:pStyle w:val="ListBullet"/>
      </w:pPr>
      <w:r>
        <w:t>n925</w:t>
      </w:r>
    </w:p>
    <w:p>
      <w:pPr>
        <w:pStyle w:val="ListBullet"/>
      </w:pPr>
      <w:r>
        <w:t>n628</w:t>
      </w:r>
    </w:p>
    <w:p>
      <w:pPr>
        <w:pStyle w:val="ListBullet"/>
      </w:pPr>
      <w:r>
        <w:t>n3184</w:t>
      </w:r>
    </w:p>
    <w:p>
      <w:pPr>
        <w:pStyle w:val="ListBullet"/>
      </w:pPr>
      <w:r>
        <w:t>n4736</w:t>
      </w:r>
    </w:p>
    <w:p>
      <w:pPr>
        <w:pStyle w:val="ListBullet"/>
      </w:pPr>
      <w:r>
        <w:t>n3351</w:t>
      </w:r>
    </w:p>
    <w:p>
      <w:pPr>
        <w:pStyle w:val="ListBullet"/>
      </w:pPr>
      <w:r>
        <w:t>n3627</w:t>
      </w:r>
    </w:p>
    <w:p>
      <w:pPr>
        <w:pStyle w:val="ListBullet"/>
      </w:pPr>
      <w:r>
        <w:t>n5194</w:t>
      </w:r>
    </w:p>
    <w:p>
      <w:pPr>
        <w:jc w:val="both"/>
      </w:pPr>
      <w:r>
        <w:t>Still missing local handles:</w:t>
      </w:r>
    </w:p>
    <w:p>
      <w:pPr>
        <w:pStyle w:val="ListBullet"/>
      </w:pPr>
      <w:r>
        <w:t>n4449</w:t>
      </w:r>
    </w:p>
    <w:p>
      <w:pPr>
        <w:pStyle w:val="ListBullet"/>
      </w:pPr>
      <w:r>
        <w:t>n3077</w:t>
      </w:r>
    </w:p>
    <w:p>
      <w:pPr>
        <w:pStyle w:val="Heading2"/>
      </w:pPr>
      <w:r>
        <w:t>Aggregate Benchmark</w:t>
      </w:r>
    </w:p>
    <w:p>
      <w:pPr>
        <w:pStyle w:val="ListBullet"/>
      </w:pPr>
      <w:r>
        <w:t>weighted Hodge aggregate R^2 = 0.1682</w:t>
      </w:r>
    </w:p>
    <w:p>
      <w:pPr>
        <w:pStyle w:val="ListBullet"/>
      </w:pPr>
      <w:r>
        <w:t>tensorial Hodge aggregate R^2 = 0.1707</w:t>
      </w:r>
    </w:p>
    <w:p>
      <w:pPr>
        <w:pStyle w:val="ListBullet"/>
      </w:pPr>
      <w:r>
        <w:t>MOND aggregate R^2 = 0.4123</w:t>
      </w:r>
    </w:p>
    <w:p>
      <w:pPr>
        <w:pStyle w:val="ListBullet"/>
      </w:pPr>
      <w:r>
        <w:t>baryons-only aggregate R^2 = -0.0019</w:t>
      </w:r>
    </w:p>
    <w:p>
      <w:pPr>
        <w:jc w:val="both"/>
      </w:pPr>
      <w:r>
        <w:t>Median per-galaxy R^2:</w:t>
      </w:r>
    </w:p>
    <w:p>
      <w:pPr>
        <w:pStyle w:val="ListBullet"/>
      </w:pPr>
      <w:r>
        <w:t>weighted Hodge -1.7606</w:t>
      </w:r>
    </w:p>
    <w:p>
      <w:pPr>
        <w:pStyle w:val="ListBullet"/>
      </w:pPr>
      <w:r>
        <w:t>tensorial Hodge -1.7312</w:t>
      </w:r>
    </w:p>
    <w:p>
      <w:pPr>
        <w:pStyle w:val="ListBullet"/>
      </w:pPr>
      <w:r>
        <w:t>MOND -1.3924</w:t>
      </w:r>
    </w:p>
    <w:p>
      <w:pPr>
        <w:pStyle w:val="ListBullet"/>
      </w:pPr>
      <w:r>
        <w:t>baryons-only -1.4586</w:t>
      </w:r>
    </w:p>
    <w:p>
      <w:pPr>
        <w:pStyle w:val="Heading2"/>
      </w:pPr>
      <w:r>
        <w:t>Reading</w:t>
      </w:r>
    </w:p>
    <w:p>
      <w:pPr>
        <w:jc w:val="both"/>
      </w:pPr>
      <w:r>
        <w:t>This is the first paired non-SPARC benchmark that is actually strong enough to matter.</w:t>
      </w:r>
    </w:p>
    <w:p>
      <w:pPr>
        <w:jc w:val="both"/>
      </w:pPr>
      <w:r>
        <w:t>The result is harsher than the earlier three-galaxy decomposition-grade fallback:</w:t>
      </w:r>
    </w:p>
    <w:p>
      <w:pPr>
        <w:pStyle w:val="ListBullet"/>
      </w:pPr>
      <w:r>
        <w:t>scalar weighted-Hodge fell from local fallback aggregate 0.7550 to THINGS/Leroy aggregate 0.1682</w:t>
      </w:r>
    </w:p>
    <w:p>
      <w:pPr>
        <w:pStyle w:val="ListBullet"/>
      </w:pPr>
      <w:r>
        <w:t>tensorial Hodge fell from local fallback aggregate 0.7584 to THINGS/Leroy aggregate 0.1707</w:t>
      </w:r>
    </w:p>
    <w:p>
      <w:pPr>
        <w:jc w:val="both"/>
      </w:pPr>
      <w:r>
        <w:t>That means the earlier fallback set was too optimistic about external generalization.</w:t>
      </w:r>
    </w:p>
    <w:p>
      <w:pPr>
        <w:jc w:val="both"/>
      </w:pPr>
      <w:r>
        <w:t>The operator branch still beats baryons-only on aggregate, but it does not come close to MOND on this first real paired non-SPARC test.</w:t>
      </w:r>
    </w:p>
    <w:p>
      <w:pPr>
        <w:pStyle w:val="Heading2"/>
      </w:pPr>
      <w:r>
        <w:t>Notable Per-Galaxy Behavior</w:t>
      </w:r>
    </w:p>
    <w:p>
      <w:pPr>
        <w:pStyle w:val="ListBullet"/>
      </w:pPr>
      <w:r>
        <w:t>hoii is fit well by both operator branches and badly by MOND.</w:t>
      </w:r>
    </w:p>
    <w:p>
      <w:pPr>
        <w:pStyle w:val="ListBullet"/>
      </w:pPr>
      <w:r>
        <w:t>n925 shows a small positive operator signal.</w:t>
      </w:r>
    </w:p>
    <w:p>
      <w:pPr>
        <w:pStyle w:val="ListBullet"/>
      </w:pPr>
      <w:r>
        <w:t>n628, n4736, n3627, and n5194 remain difficult for all current CSR operator branches.</w:t>
      </w:r>
    </w:p>
    <w:p>
      <w:pPr>
        <w:pStyle w:val="Heading2"/>
      </w:pPr>
      <w:r>
        <w:t>Bottom Line</w:t>
      </w:r>
    </w:p>
    <w:p>
      <w:pPr>
        <w:jc w:val="both"/>
      </w:pPr>
      <w:r>
        <w:t>The exact THINGS/Leroy benchmark did what it was supposed to do. It removed the optimism of the fallback set and showed that the current quotient/Green reductions are still far from a robust external law.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THINGS LEROY PARAMETRIC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THINGS Leroy Parametric Benchmark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