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THINGS Leroy Pipeline Scaffold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scaffold checks whether the workspace already contains a usable non-SPARC external set with:</w:t>
      </w:r>
    </w:p>
    <w:p>
      <w:pPr>
        <w:pStyle w:val="ListBullet"/>
      </w:pPr>
      <w:r>
        <w:t>radial baryonic profiles</w:t>
      </w:r>
    </w:p>
    <w:p>
      <w:pPr>
        <w:pStyle w:val="ListBullet"/>
      </w:pPr>
      <w:r>
        <w:t>matching aliases</w:t>
      </w:r>
    </w:p>
    <w:p>
      <w:pPr>
        <w:pStyle w:val="ListBullet"/>
      </w:pPr>
      <w:r>
        <w:t>and observed rotation curves</w:t>
      </w:r>
    </w:p>
    <w:p>
      <w:pPr>
        <w:jc w:val="both"/>
      </w:pPr>
      <w:r>
        <w:t>The immediate target was the Leroy et al. 2008 THINGS companion tables.</w:t>
      </w:r>
    </w:p>
    <w:p>
      <w:pPr>
        <w:pStyle w:val="Heading2"/>
      </w:pPr>
      <w:r>
        <w:t>Inputs</w:t>
      </w:r>
    </w:p>
    <w:p>
      <w:pPr>
        <w:pStyle w:val="ListBullet"/>
      </w:pPr>
      <w:r>
        <w:t>data/external/things_candidates/leroy_2008/table2.dat</w:t>
      </w:r>
    </w:p>
    <w:p>
      <w:pPr>
        <w:pStyle w:val="ListBullet"/>
      </w:pPr>
      <w:r>
        <w:t>data/external/things_candidates/leroy_2008/table7.dat</w:t>
      </w:r>
    </w:p>
    <w:p>
      <w:pPr>
        <w:pStyle w:val="ListBullet"/>
      </w:pPr>
      <w:r>
        <w:t>data/external/mcgaugh_massmodels/galaxy_massmodels.dat</w:t>
      </w:r>
    </w:p>
    <w:p>
      <w:pPr>
        <w:pStyle w:val="ListBullet"/>
      </w:pPr>
      <w:r>
        <w:t>data/external/mcgaugh_massmodels/RCsmooth.0701.dat</w:t>
      </w:r>
    </w:p>
    <w:p>
      <w:pPr>
        <w:pStyle w:val="Heading2"/>
      </w:pPr>
      <w:r>
        <w:t>Counts</w:t>
      </w:r>
    </w:p>
    <w:p>
      <w:pPr>
        <w:pStyle w:val="ListBullet"/>
      </w:pPr>
      <w:r>
        <w:t>Leroy sample total: 23</w:t>
      </w:r>
    </w:p>
    <w:p>
      <w:pPr>
        <w:pStyle w:val="ListBullet"/>
      </w:pPr>
      <w:r>
        <w:t>Leroy radial-profile tables present: 23</w:t>
      </w:r>
    </w:p>
    <w:p>
      <w:pPr>
        <w:pStyle w:val="ListBullet"/>
      </w:pPr>
      <w:r>
        <w:t>SPARC overlaps after alias resolution: 12</w:t>
      </w:r>
    </w:p>
    <w:p>
      <w:pPr>
        <w:pStyle w:val="ListBullet"/>
      </w:pPr>
      <w:r>
        <w:t>clean non-SPARC aliases: 11</w:t>
      </w:r>
    </w:p>
    <w:p>
      <w:pPr>
        <w:pStyle w:val="ListBullet"/>
      </w:pPr>
      <w:r>
        <w:t>clean non-SPARC aliases with radial baryonic profiles: 11</w:t>
      </w:r>
    </w:p>
    <w:p>
      <w:pPr>
        <w:pStyle w:val="ListBullet"/>
      </w:pPr>
      <w:r>
        <w:t>clean non-SPARC aliases with automatic local rotation-curve pairings: 0</w:t>
      </w:r>
    </w:p>
    <w:p>
      <w:pPr>
        <w:jc w:val="both"/>
      </w:pPr>
      <w:r>
        <w:t>Clean non-SPARC aliases with Leroy radial profiles:</w:t>
      </w:r>
    </w:p>
    <w:p>
      <w:pPr>
        <w:pStyle w:val="ListBullet"/>
      </w:pPr>
      <w:r>
        <w:t>hoi</w:t>
      </w:r>
    </w:p>
    <w:p>
      <w:pPr>
        <w:pStyle w:val="ListBullet"/>
      </w:pPr>
      <w:r>
        <w:t>hoii</w:t>
      </w:r>
    </w:p>
    <w:p>
      <w:pPr>
        <w:pStyle w:val="ListBullet"/>
      </w:pPr>
      <w:r>
        <w:t>n4449</w:t>
      </w:r>
    </w:p>
    <w:p>
      <w:pPr>
        <w:pStyle w:val="ListBullet"/>
      </w:pPr>
      <w:r>
        <w:t>n3077</w:t>
      </w:r>
    </w:p>
    <w:p>
      <w:pPr>
        <w:pStyle w:val="ListBullet"/>
      </w:pPr>
      <w:r>
        <w:t>n925</w:t>
      </w:r>
    </w:p>
    <w:p>
      <w:pPr>
        <w:pStyle w:val="ListBullet"/>
      </w:pPr>
      <w:r>
        <w:t>n628</w:t>
      </w:r>
    </w:p>
    <w:p>
      <w:pPr>
        <w:pStyle w:val="ListBullet"/>
      </w:pPr>
      <w:r>
        <w:t>n3184</w:t>
      </w:r>
    </w:p>
    <w:p>
      <w:pPr>
        <w:pStyle w:val="ListBullet"/>
      </w:pPr>
      <w:r>
        <w:t>n4736</w:t>
      </w:r>
    </w:p>
    <w:p>
      <w:pPr>
        <w:pStyle w:val="ListBullet"/>
      </w:pPr>
      <w:r>
        <w:t>n3351</w:t>
      </w:r>
    </w:p>
    <w:p>
      <w:pPr>
        <w:pStyle w:val="ListBullet"/>
      </w:pPr>
      <w:r>
        <w:t>n3627</w:t>
      </w:r>
    </w:p>
    <w:p>
      <w:pPr>
        <w:pStyle w:val="ListBullet"/>
      </w:pPr>
      <w:r>
        <w:t>n5194</w:t>
      </w:r>
    </w:p>
    <w:p>
      <w:pPr>
        <w:pStyle w:val="Heading2"/>
      </w:pPr>
      <w:r>
        <w:t>Interpretation</w:t>
      </w:r>
    </w:p>
    <w:p>
      <w:pPr>
        <w:jc w:val="both"/>
      </w:pPr>
      <w:r>
        <w:t>This is the most important dataset result from the current pass.</w:t>
      </w:r>
    </w:p>
    <w:p>
      <w:pPr>
        <w:jc w:val="both"/>
      </w:pPr>
      <w:r>
        <w:t>The name-count problem is effectively solved for this branch. The workspace already has a real machine-readable baryonic-profile layer for 11 clean non-SPARC THINGS/Leroy galaxies.</w:t>
      </w:r>
    </w:p>
    <w:p>
      <w:pPr>
        <w:jc w:val="both"/>
      </w:pPr>
      <w:r>
        <w:t>The remaining problem is narrower:</w:t>
      </w:r>
    </w:p>
    <w:p>
      <w:pPr>
        <w:pStyle w:val="ListBullet"/>
      </w:pPr>
      <w:r>
        <w:t>there are currently 0 automatic pairings to local rotation-curve tables for those same aliases</w:t>
      </w:r>
    </w:p>
    <w:p>
      <w:pPr>
        <w:jc w:val="both"/>
      </w:pPr>
      <w:r>
        <w:t>So the bottleneck is no longer "find galaxies." It is:</w:t>
      </w:r>
    </w:p>
    <w:p>
      <w:pPr>
        <w:pStyle w:val="ListBullet"/>
      </w:pPr>
      <w:r>
        <w:t>fetch or build the matching primary-source rotation-curve tables for these exact aliases</w:t>
      </w:r>
    </w:p>
    <w:p>
      <w:pPr>
        <w:pStyle w:val="ListBullet"/>
      </w:pPr>
      <w:r>
        <w:t>then keep the alias map frozen</w:t>
      </w:r>
    </w:p>
    <w:p>
      <w:pPr>
        <w:pStyle w:val="Heading2"/>
      </w:pPr>
      <w:r>
        <w:t>What This Means</w:t>
      </w:r>
    </w:p>
    <w:p>
      <w:pPr>
        <w:jc w:val="both"/>
      </w:pPr>
      <w:r>
        <w:t>The next external benchmark should not begin by casting around for more sample lists.</w:t>
      </w:r>
    </w:p>
    <w:p>
      <w:pPr>
        <w:jc w:val="both"/>
      </w:pPr>
      <w:r>
        <w:t>It should begin by completing the paired pipeline for these 11 exact targets. That is the shortest path to a true non-SPARC decomposition-grade CSR benchmark.</w:t>
      </w:r>
    </w:p>
    <w:p>
      <w:pPr>
        <w:pStyle w:val="Heading2"/>
      </w:pPr>
      <w:r>
        <w:t>Output</w:t>
      </w:r>
    </w:p>
    <w:p>
      <w:pPr>
        <w:jc w:val="both"/>
      </w:pPr>
      <w:r>
        <w:t>Primary audit file:</w:t>
      </w:r>
    </w:p>
    <w:p>
      <w:pPr>
        <w:pStyle w:val="ListBullet"/>
      </w:pPr>
      <w:r>
        <w:t>output/audit/csr_things_leroy_pipeline_scaffold.json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THINGS LEROY PIPELINE SCAFFOLD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THINGS Leroy Pipeline Scaffold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