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Tensorial Hodge Green Family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the first tensorial quotient/Green operator branch beyond the radial scalar weighted-Hodge surrogate.</w:t>
      </w:r>
    </w:p>
    <w:p>
      <w:pPr>
        <w:jc w:val="both"/>
      </w:pPr>
      <w:r>
        <w:t>The machine-readable audit is in output/audit/csr_tensorial_hodge_green_family.json.</w:t>
      </w:r>
    </w:p>
    <w:p>
      <w:pPr>
        <w:pStyle w:val="Heading2"/>
      </w:pPr>
      <w:r>
        <w:t>Family</w:t>
      </w:r>
    </w:p>
    <w:p>
      <w:pPr>
        <w:jc w:val="both"/>
      </w:pPr>
      <w:r>
        <w:t>The family solves two screened quotient/Green equations on the radial reduction,</w:t>
      </w:r>
    </w:p>
    <w:p>
      <w:pPr>
        <w:jc w:val="both"/>
      </w:pPr>
      <w:r>
        <w:t>[-d/dr (w d/dr) + ell_r^-2] phi_r = J</w:t>
      </w:r>
    </w:p>
    <w:p>
      <w:pPr>
        <w:jc w:val="both"/>
      </w:pPr>
      <w:r>
        <w:t>[-d/dr (w d/dr) + ell_t^-2] phi_t = J</w:t>
      </w:r>
    </w:p>
    <w:p>
      <w:pPr>
        <w:jc w:val="both"/>
      </w:pPr>
      <w:r>
        <w:t>and defines</w:t>
      </w:r>
    </w:p>
    <w:p>
      <w:pPr>
        <w:jc w:val="both"/>
      </w:pPr>
      <w:r>
        <w:t>Pi_rr = C_r phi_r</w:t>
      </w:r>
    </w:p>
    <w:p>
      <w:pPr>
        <w:jc w:val="both"/>
      </w:pPr>
      <w:r>
        <w:t>Pi_tt = C_t phi_t</w:t>
      </w:r>
    </w:p>
    <w:p>
      <w:pPr>
        <w:jc w:val="both"/>
      </w:pPr>
      <w:r>
        <w:t>with orbit-level prediction</w:t>
      </w:r>
    </w:p>
    <w:p>
      <w:pPr>
        <w:jc w:val="both"/>
      </w:pPr>
      <w:r>
        <w:t>v_pred^2 = v_bar^2 - r dPi_rr/dr - r Pi_rr d ln rho_b^eff/dr - 2 Pi_rr + 2 Pi_tt</w:t>
      </w:r>
    </w:p>
    <w:p>
      <w:pPr>
        <w:jc w:val="both"/>
      </w:pPr>
      <w:r>
        <w:t>This is still a surrogate reduction of a fuller physical quotient/Green response. The goal here is to test whether the first tensorial lift improves materially over the scalar operator branch.</w:t>
      </w:r>
    </w:p>
    <w:p>
      <w:pPr>
        <w:pStyle w:val="Heading2"/>
      </w:pPr>
      <w:r>
        <w:t>Best Family</w:t>
      </w:r>
    </w:p>
    <w:p>
      <w:pPr>
        <w:jc w:val="both"/>
      </w:pPr>
      <w:r>
        <w:t>Best fit in the scan:</w:t>
      </w:r>
    </w:p>
    <w:p>
      <w:pPr>
        <w:pStyle w:val="ListBullet"/>
      </w:pPr>
      <w:r>
        <w:t>source map: g_n</w:t>
      </w:r>
    </w:p>
    <w:p>
      <w:pPr>
        <w:pStyle w:val="ListBullet"/>
      </w:pPr>
      <w:r>
        <w:t>weight map: unit</w:t>
      </w:r>
    </w:p>
    <w:p>
      <w:pPr>
        <w:pStyle w:val="ListBullet"/>
      </w:pPr>
      <w:r>
        <w:t>ell_r = 48.0 kpc</w:t>
      </w:r>
    </w:p>
    <w:p>
      <w:pPr>
        <w:pStyle w:val="ListBullet"/>
      </w:pPr>
      <w:r>
        <w:t>ell_t = 24.0 kpc</w:t>
      </w:r>
    </w:p>
    <w:p>
      <w:pPr>
        <w:pStyle w:val="ListBullet"/>
      </w:pPr>
      <w:r>
        <w:t>C_r = 2.2943e-4</w:t>
      </w:r>
    </w:p>
    <w:p>
      <w:pPr>
        <w:pStyle w:val="ListBullet"/>
      </w:pPr>
      <w:r>
        <w:t>C_t = 1.6832e-2</w:t>
      </w:r>
    </w:p>
    <w:p>
      <w:pPr>
        <w:pStyle w:val="Heading2"/>
      </w:pPr>
      <w:r>
        <w:t>Benchmark</w:t>
      </w:r>
    </w:p>
    <w:p>
      <w:pPr>
        <w:pStyle w:val="Heading3"/>
      </w:pPr>
      <w:r>
        <w:t>SPARC</w:t>
      </w:r>
    </w:p>
    <w:p>
      <w:pPr>
        <w:pStyle w:val="ListBullet"/>
      </w:pPr>
      <w:r>
        <w:t>holdout mean R^2 = 0.7241 +/- 0.0859</w:t>
      </w:r>
    </w:p>
    <w:p>
      <w:pPr>
        <w:pStyle w:val="ListBullet"/>
      </w:pPr>
      <w:r>
        <w:t>full-sample R^2 = 0.7548</w:t>
      </w:r>
    </w:p>
    <w:p>
      <w:pPr>
        <w:pStyle w:val="ListBullet"/>
      </w:pPr>
      <w:r>
        <w:t>MOND holdout mean R^2 = 0.9299</w:t>
      </w:r>
    </w:p>
    <w:p>
      <w:pPr>
        <w:pStyle w:val="ListBullet"/>
      </w:pPr>
      <w:r>
        <w:t>baryons-only holdout mean R^2 = 0.5469</w:t>
      </w:r>
    </w:p>
    <w:p>
      <w:pPr>
        <w:pStyle w:val="Heading3"/>
      </w:pPr>
      <w:r>
        <w:t>Local three-galaxy decomposition-grade fallback</w:t>
      </w:r>
    </w:p>
    <w:p>
      <w:pPr>
        <w:jc w:val="both"/>
      </w:pPr>
      <w:r>
        <w:t>Aliases:</w:t>
      </w:r>
    </w:p>
    <w:p>
      <w:pPr>
        <w:pStyle w:val="ListBullet"/>
      </w:pPr>
      <w:r>
        <w:t>m33</w:t>
      </w:r>
    </w:p>
    <w:p>
      <w:pPr>
        <w:pStyle w:val="ListBullet"/>
      </w:pPr>
      <w:r>
        <w:t>n1560</w:t>
      </w:r>
    </w:p>
    <w:p>
      <w:pPr>
        <w:pStyle w:val="ListBullet"/>
      </w:pPr>
      <w:r>
        <w:t>n5533</w:t>
      </w:r>
    </w:p>
    <w:p>
      <w:pPr>
        <w:jc w:val="both"/>
      </w:pPr>
      <w:r>
        <w:t>Results:</w:t>
      </w:r>
    </w:p>
    <w:p>
      <w:pPr>
        <w:pStyle w:val="ListBullet"/>
      </w:pPr>
      <w:r>
        <w:t>aggregate R^2 = 0.7584</w:t>
      </w:r>
    </w:p>
    <w:p>
      <w:pPr>
        <w:pStyle w:val="ListBullet"/>
      </w:pPr>
      <w:r>
        <w:t>median per-galaxy R^2 = -7.6748</w:t>
      </w:r>
    </w:p>
    <w:p>
      <w:pPr>
        <w:pStyle w:val="ListBullet"/>
      </w:pPr>
      <w:r>
        <w:t>MOND aggregate R^2 = 0.8618</w:t>
      </w:r>
    </w:p>
    <w:p>
      <w:pPr>
        <w:pStyle w:val="Heading2"/>
      </w:pPr>
      <w:r>
        <w:t>Reading</w:t>
      </w:r>
    </w:p>
    <w:p>
      <w:pPr>
        <w:jc w:val="both"/>
      </w:pPr>
      <w:r>
        <w:t>This is the first tensorial operator-level CSR family.</w:t>
      </w:r>
    </w:p>
    <w:p>
      <w:pPr>
        <w:jc w:val="both"/>
      </w:pPr>
      <w:r>
        <w:t>It does improve very slightly over the scalar weighted-Hodge surrogate:</w:t>
      </w:r>
    </w:p>
    <w:p>
      <w:pPr>
        <w:pStyle w:val="ListBullet"/>
      </w:pPr>
      <w:r>
        <w:t>scalar holdout R^2 = 0.7231</w:t>
      </w:r>
    </w:p>
    <w:p>
      <w:pPr>
        <w:pStyle w:val="ListBullet"/>
      </w:pPr>
      <w:r>
        <w:t>tensorial holdout R^2 = 0.7241</w:t>
      </w:r>
    </w:p>
    <w:p>
      <w:pPr>
        <w:jc w:val="both"/>
      </w:pPr>
      <w:r>
        <w:t>That is not a rescue. It is a clue.</w:t>
      </w:r>
    </w:p>
    <w:p>
      <w:pPr>
        <w:jc w:val="both"/>
      </w:pPr>
      <w:r>
        <w:t>The operator move remains directionally right, but the current radial tensorial reduction is still too crude to count as the derived kernel.</w:t>
      </w:r>
    </w:p>
    <w:p>
      <w:pPr>
        <w:pStyle w:val="Heading2"/>
      </w:pPr>
      <w:r>
        <w:t>Bottom Line</w:t>
      </w:r>
    </w:p>
    <w:p>
      <w:pPr>
        <w:jc w:val="both"/>
      </w:pPr>
      <w:r>
        <w:t>The first tensorial quotient/Green lift survives as a live direction, but only marginally improves the scalar operator surrogate. The next improvement must come from a fuller physical quotient/Green response, not from expecting this reduced tensorial family to close the problem by itself.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TENSORIAL HODGE GREEN FAMILY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Tensorial Hodge Green Family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