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Triple Test Diagnostics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the fast structural diagnostic for galaxy-law candidates.</w:t>
      </w:r>
    </w:p>
    <w:p>
      <w:pPr>
        <w:jc w:val="both"/>
      </w:pPr>
      <w:r>
        <w:t>Instead of going straight to full rotation-curve benchmarking, a candidate is first checked against the three empirical relations that any serious galaxy-scale theory must reproduce:</w:t>
      </w:r>
    </w:p>
    <w:p>
      <w:pPr>
        <w:pStyle w:val="ListBullet"/>
      </w:pPr>
      <w:r>
        <w:t>RAR: Radial Acceleration Relation</w:t>
      </w:r>
    </w:p>
    <w:p>
      <w:pPr>
        <w:pStyle w:val="ListBullet"/>
      </w:pPr>
      <w:r>
        <w:t>BTFR: baryonic Tully-Fisher relation</w:t>
      </w:r>
    </w:p>
    <w:p>
      <w:pPr>
        <w:pStyle w:val="ListBullet"/>
      </w:pPr>
      <w:r>
        <w:t>MDAR: Mass Discrepancy-Acceleration Relation</w:t>
      </w:r>
    </w:p>
    <w:p>
      <w:pPr>
        <w:jc w:val="both"/>
      </w:pPr>
      <w:r>
        <w:t>The machine-readable audit is in output/audit/csr_triple_test_diagnostics.json.</w:t>
      </w:r>
    </w:p>
    <w:p>
      <w:pPr>
        <w:pStyle w:val="Heading2"/>
      </w:pPr>
      <w:r>
        <w:t>Target Structure</w:t>
      </w:r>
    </w:p>
    <w:p>
      <w:pPr>
        <w:jc w:val="both"/>
      </w:pPr>
      <w:r>
        <w:t>In the low-acceleration regime, the target signatures are approximately:</w:t>
      </w:r>
    </w:p>
    <w:p>
      <w:pPr>
        <w:pStyle w:val="ListBullet"/>
      </w:pPr>
      <w:r>
        <w:t>RAR low-acceleration slope near 0.5</w:t>
      </w:r>
    </w:p>
    <w:p>
      <w:pPr>
        <w:pStyle w:val="ListBullet"/>
      </w:pPr>
      <w:r>
        <w:t>MDAR low-acceleration slope near -0.5</w:t>
      </w:r>
    </w:p>
    <w:p>
      <w:pPr>
        <w:pStyle w:val="ListBullet"/>
      </w:pPr>
      <w:r>
        <w:t>BTFR slope near 4</w:t>
      </w:r>
    </w:p>
    <w:p>
      <w:pPr>
        <w:jc w:val="both"/>
      </w:pPr>
      <w:r>
        <w:t>These are not arbitrary fit metrics. They encode the scale-invariant, MOND-like bending that successful galaxy models must reproduce.</w:t>
      </w:r>
    </w:p>
    <w:p>
      <w:pPr>
        <w:pStyle w:val="Heading2"/>
      </w:pPr>
      <w:r>
        <w:t>Results</w:t>
      </w:r>
    </w:p>
    <w:p>
      <w:pPr>
        <w:pStyle w:val="Heading3"/>
      </w:pPr>
      <w:r>
        <w:t>Baryons only</w:t>
      </w:r>
    </w:p>
    <w:p>
      <w:pPr>
        <w:pStyle w:val="ListBullet"/>
      </w:pPr>
      <w:r>
        <w:t>RAR low slope 1.000</w:t>
      </w:r>
    </w:p>
    <w:p>
      <w:pPr>
        <w:pStyle w:val="ListBullet"/>
      </w:pPr>
      <w:r>
        <w:t>BTFR slope 2.946</w:t>
      </w:r>
    </w:p>
    <w:p>
      <w:pPr>
        <w:pStyle w:val="ListBullet"/>
      </w:pPr>
      <w:r>
        <w:t>MDAR low slope -0.000</w:t>
      </w:r>
    </w:p>
    <w:p>
      <w:pPr>
        <w:pStyle w:val="Heading3"/>
      </w:pPr>
      <w:r>
        <w:t>MOND</w:t>
      </w:r>
    </w:p>
    <w:p>
      <w:pPr>
        <w:pStyle w:val="ListBullet"/>
      </w:pPr>
      <w:r>
        <w:t>RAR low slope 0.593</w:t>
      </w:r>
    </w:p>
    <w:p>
      <w:pPr>
        <w:pStyle w:val="ListBullet"/>
      </w:pPr>
      <w:r>
        <w:t>BTFR slope 3.764</w:t>
      </w:r>
    </w:p>
    <w:p>
      <w:pPr>
        <w:pStyle w:val="ListBullet"/>
      </w:pPr>
      <w:r>
        <w:t>MDAR low slope -0.407</w:t>
      </w:r>
    </w:p>
    <w:p>
      <w:pPr>
        <w:pStyle w:val="Heading3"/>
      </w:pPr>
      <w:r>
        <w:t>Weighted Hodge</w:t>
      </w:r>
    </w:p>
    <w:p>
      <w:pPr>
        <w:pStyle w:val="ListBullet"/>
      </w:pPr>
      <w:r>
        <w:t>RAR low slope 1.088</w:t>
      </w:r>
    </w:p>
    <w:p>
      <w:pPr>
        <w:pStyle w:val="ListBullet"/>
      </w:pPr>
      <w:r>
        <w:t>BTFR slope 2.723</w:t>
      </w:r>
    </w:p>
    <w:p>
      <w:pPr>
        <w:pStyle w:val="ListBullet"/>
      </w:pPr>
      <w:r>
        <w:t>MDAR low slope 0.088</w:t>
      </w:r>
    </w:p>
    <w:p>
      <w:pPr>
        <w:pStyle w:val="Heading3"/>
      </w:pPr>
      <w:r>
        <w:t>Tensorial Hodge</w:t>
      </w:r>
    </w:p>
    <w:p>
      <w:pPr>
        <w:pStyle w:val="ListBullet"/>
      </w:pPr>
      <w:r>
        <w:t>RAR low slope 1.085</w:t>
      </w:r>
    </w:p>
    <w:p>
      <w:pPr>
        <w:pStyle w:val="ListBullet"/>
      </w:pPr>
      <w:r>
        <w:t>BTFR slope 2.708</w:t>
      </w:r>
    </w:p>
    <w:p>
      <w:pPr>
        <w:pStyle w:val="ListBullet"/>
      </w:pPr>
      <w:r>
        <w:t>MDAR low slope 0.085</w:t>
      </w:r>
    </w:p>
    <w:p>
      <w:pPr>
        <w:pStyle w:val="Heading3"/>
      </w:pPr>
      <w:r>
        <w:t>Retarded Hodge</w:t>
      </w:r>
    </w:p>
    <w:p>
      <w:pPr>
        <w:pStyle w:val="ListBullet"/>
      </w:pPr>
      <w:r>
        <w:t>RAR low slope 1.009</w:t>
      </w:r>
    </w:p>
    <w:p>
      <w:pPr>
        <w:pStyle w:val="ListBullet"/>
      </w:pPr>
      <w:r>
        <w:t>BTFR slope 2.327</w:t>
      </w:r>
    </w:p>
    <w:p>
      <w:pPr>
        <w:pStyle w:val="ListBullet"/>
      </w:pPr>
      <w:r>
        <w:t>MDAR low slope 0.009</w:t>
      </w:r>
    </w:p>
    <w:p>
      <w:pPr>
        <w:pStyle w:val="Heading3"/>
      </w:pPr>
      <w:r>
        <w:t>Scale-invariant operator</w:t>
      </w:r>
    </w:p>
    <w:p>
      <w:pPr>
        <w:pStyle w:val="ListBullet"/>
      </w:pPr>
      <w:r>
        <w:t>RAR low slope 0.598</w:t>
      </w:r>
    </w:p>
    <w:p>
      <w:pPr>
        <w:pStyle w:val="ListBullet"/>
      </w:pPr>
      <w:r>
        <w:t>BTFR slope 3.749</w:t>
      </w:r>
    </w:p>
    <w:p>
      <w:pPr>
        <w:pStyle w:val="ListBullet"/>
      </w:pPr>
      <w:r>
        <w:t>MDAR low slope -0.402</w:t>
      </w:r>
    </w:p>
    <w:p>
      <w:pPr>
        <w:pStyle w:val="Heading2"/>
      </w:pPr>
      <w:r>
        <w:t>Reading</w:t>
      </w:r>
    </w:p>
    <w:p>
      <w:pPr>
        <w:jc w:val="both"/>
      </w:pPr>
      <w:r>
        <w:t>This is the fastest new clue in the whole galaxy branch.</w:t>
      </w:r>
    </w:p>
    <w:p>
      <w:pPr>
        <w:jc w:val="both"/>
      </w:pPr>
      <w:r>
        <w:t>The earlier operator families were not mainly failing because their kernels were too simple. They were failing because they stayed effectively linear in the low-acceleration regime.</w:t>
      </w:r>
    </w:p>
    <w:p>
      <w:pPr>
        <w:jc w:val="both"/>
      </w:pPr>
      <w:r>
        <w:t>That is why they plateaued around weak external performance even when the operator structure became more sophisticated.</w:t>
      </w:r>
    </w:p>
    <w:p>
      <w:pPr>
        <w:jc w:val="both"/>
      </w:pPr>
      <w:r>
        <w:t>The first branch to match the triple test is the first branch to reach MOND-level aggregate external performance.</w:t>
      </w:r>
    </w:p>
    <w:p>
      <w:pPr>
        <w:jc w:val="both"/>
      </w:pPr>
      <w:r>
        <w:t>So the main empirical gap is now explicit:</w:t>
      </w:r>
    </w:p>
    <w:p>
      <w:pPr>
        <w:jc w:val="both"/>
      </w:pPr>
      <w:r>
        <w:t>CSR must derive a transition scale and low-acceleration bending law. Without that, no amount of kernel tweaking is likely to beat the plateau.</w:t>
      </w:r>
    </w:p>
    <w:p>
      <w:pPr>
        <w:pStyle w:val="Heading2"/>
      </w:pPr>
      <w:r>
        <w:t>Bottom Line</w:t>
      </w:r>
    </w:p>
    <w:p>
      <w:pPr>
        <w:jc w:val="both"/>
      </w:pPr>
      <w:r>
        <w:t>The triple test should now be the first gate in the search.</w:t>
      </w:r>
    </w:p>
    <w:p>
      <w:pPr>
        <w:jc w:val="both"/>
      </w:pPr>
      <w:r>
        <w:t>If a candidate misses the RAR/BTFR/MDAR structure, it should be killed before more expensive external benchmarking.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TRIPLE TEST DIAGNOSTICS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Triple Test Diagnostics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