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Weighted Hodge Green Kernel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pStyle w:val="Heading2"/>
      </w:pPr>
      <w:r>
        <w:t>Purpose</w:t>
      </w:r>
    </w:p>
    <w:p>
      <w:pPr>
        <w:jc w:val="both"/>
      </w:pPr>
      <w:r>
        <w:t>This note records the first CSR galaxy family built as a quotient/Green response operator rather than a local closure formula.</w:t>
      </w:r>
    </w:p>
    <w:p>
      <w:pPr>
        <w:jc w:val="both"/>
      </w:pPr>
      <w:r>
        <w:t>The machine-readable summary is in output/audit/csr_weighted_hodge_green_family.json.</w:t>
      </w:r>
    </w:p>
    <w:p>
      <w:pPr>
        <w:pStyle w:val="Heading2"/>
      </w:pPr>
      <w:r>
        <w:t>Family</w:t>
      </w:r>
    </w:p>
    <w:p>
      <w:pPr>
        <w:jc w:val="both"/>
      </w:pPr>
      <w:r>
        <w:t>The tested surrogate solves the radial operator problem</w:t>
      </w:r>
    </w:p>
    <w:p>
      <w:pPr>
        <w:jc w:val="both"/>
      </w:pPr>
      <w:r>
        <w:t>[-d/dr (w(r) d/dr) + ell^-2] phi(r) = J(r)</w:t>
      </w:r>
    </w:p>
    <w:p>
      <w:pPr>
        <w:jc w:val="both"/>
      </w:pPr>
      <w:r>
        <w:t>with harmonic zero-mode removal in the unscreened limit.</w:t>
      </w:r>
    </w:p>
    <w:p>
      <w:pPr>
        <w:jc w:val="both"/>
      </w:pPr>
      <w:r>
        <w:t>The orbit-level correction is then</w:t>
      </w:r>
    </w:p>
    <w:p>
      <w:pPr>
        <w:jc w:val="both"/>
      </w:pPr>
      <w:r>
        <w:t>a_CSR(r) = -d phi / dr</w:t>
      </w:r>
    </w:p>
    <w:p>
      <w:pPr>
        <w:jc w:val="both"/>
      </w:pPr>
      <w:r>
        <w:t>v_pred^2 = v_bar^2 + C r a_CSR(r)</w:t>
      </w:r>
    </w:p>
    <w:p>
      <w:pPr>
        <w:jc w:val="both"/>
      </w:pPr>
      <w:r>
        <w:t>This is not yet a full T^3 continuum derivation. It is the first operator-level quotient/Green surrogate.</w:t>
      </w:r>
    </w:p>
    <w:p>
      <w:pPr>
        <w:pStyle w:val="Heading2"/>
      </w:pPr>
      <w:r>
        <w:t>Best Family Found</w:t>
      </w:r>
    </w:p>
    <w:p>
      <w:pPr>
        <w:jc w:val="both"/>
      </w:pPr>
      <w:r>
        <w:t>Best member in the bounded scan:</w:t>
      </w:r>
    </w:p>
    <w:p>
      <w:pPr>
        <w:pStyle w:val="ListBullet"/>
      </w:pPr>
      <w:r>
        <w:t>operator family: screened_hodge</w:t>
      </w:r>
    </w:p>
    <w:p>
      <w:pPr>
        <w:pStyle w:val="ListBullet"/>
      </w:pPr>
      <w:r>
        <w:t>source map: g_n</w:t>
      </w:r>
    </w:p>
    <w:p>
      <w:pPr>
        <w:pStyle w:val="ListBullet"/>
      </w:pPr>
      <w:r>
        <w:t>weight map: unit</w:t>
      </w:r>
    </w:p>
    <w:p>
      <w:pPr>
        <w:pStyle w:val="ListBullet"/>
      </w:pPr>
      <w:r>
        <w:t>screening length: 24.0 kpc</w:t>
      </w:r>
    </w:p>
    <w:p>
      <w:pPr>
        <w:pStyle w:val="ListBullet"/>
      </w:pPr>
      <w:r>
        <w:t>fitted scale: C = 0.03454</w:t>
      </w:r>
    </w:p>
    <w:p>
      <w:pPr>
        <w:jc w:val="both"/>
      </w:pPr>
      <w:r>
        <w:t>The screening-length scan for the best source/weight pair peaks at 24 kpc, not at the old 16 kpc grid boundary, so this branch is not just a trivial boundary artifact.</w:t>
      </w:r>
    </w:p>
    <w:p>
      <w:pPr>
        <w:pStyle w:val="Heading2"/>
      </w:pPr>
      <w:r>
        <w:t>Benchmark</w:t>
      </w:r>
    </w:p>
    <w:p>
      <w:pPr>
        <w:jc w:val="both"/>
      </w:pPr>
      <w:r>
        <w:t>SPARC:</w:t>
      </w:r>
    </w:p>
    <w:p>
      <w:pPr>
        <w:pStyle w:val="ListBullet"/>
      </w:pPr>
      <w:r>
        <w:t>holdout mean R^2 = 0.7231 +/- 0.0857</w:t>
      </w:r>
    </w:p>
    <w:p>
      <w:pPr>
        <w:pStyle w:val="ListBullet"/>
      </w:pPr>
      <w:r>
        <w:t>full sample R^2 = 0.7531</w:t>
      </w:r>
    </w:p>
    <w:p>
      <w:pPr>
        <w:pStyle w:val="ListBullet"/>
      </w:pPr>
      <w:r>
        <w:t>baryons-only full sample R^2 = 0.5521</w:t>
      </w:r>
    </w:p>
    <w:p>
      <w:pPr>
        <w:pStyle w:val="ListBullet"/>
      </w:pPr>
      <w:r>
        <w:t>MOND full sample R^2 = 0.9321</w:t>
      </w:r>
    </w:p>
    <w:p>
      <w:pPr>
        <w:jc w:val="both"/>
      </w:pPr>
      <w:r>
        <w:t>Local external decomposition-grade set (m33, n1560, n5533):</w:t>
      </w:r>
    </w:p>
    <w:p>
      <w:pPr>
        <w:pStyle w:val="ListBullet"/>
      </w:pPr>
      <w:r>
        <w:t>aggregate R^2 = 0.7550</w:t>
      </w:r>
    </w:p>
    <w:p>
      <w:pPr>
        <w:pStyle w:val="ListBullet"/>
      </w:pPr>
      <w:r>
        <w:t>MOND aggregate R^2 = 0.8618</w:t>
      </w:r>
    </w:p>
    <w:p>
      <w:pPr>
        <w:pStyle w:val="ListBullet"/>
      </w:pPr>
      <w:r>
        <w:t>baryons-only aggregate R^2 = 0.4628</w:t>
      </w:r>
    </w:p>
    <w:p>
      <w:pPr>
        <w:pStyle w:val="Heading2"/>
      </w:pPr>
      <w:r>
        <w:t>Important Caveat</w:t>
      </w:r>
    </w:p>
    <w:p>
      <w:pPr>
        <w:jc w:val="both"/>
      </w:pPr>
      <w:r>
        <w:t>The aggregate external score hides a real failure mode.</w:t>
      </w:r>
    </w:p>
    <w:p>
      <w:pPr>
        <w:jc w:val="both"/>
      </w:pPr>
      <w:r>
        <w:t>Per-galaxy local external R^2:</w:t>
      </w:r>
    </w:p>
    <w:p>
      <w:pPr>
        <w:pStyle w:val="ListBullet"/>
      </w:pPr>
      <w:r>
        <w:t>m33: CSR 0.5100, MOND -0.6620</w:t>
      </w:r>
    </w:p>
    <w:p>
      <w:pPr>
        <w:pStyle w:val="ListBullet"/>
      </w:pPr>
      <w:r>
        <w:t>n1560: CSR -10.5758, MOND 0.8272</w:t>
      </w:r>
    </w:p>
    <w:p>
      <w:pPr>
        <w:pStyle w:val="ListBullet"/>
      </w:pPr>
      <w:r>
        <w:t>n5533: CSR -7.9332, MOND 0.7552</w:t>
      </w:r>
    </w:p>
    <w:p>
      <w:pPr>
        <w:jc w:val="both"/>
      </w:pPr>
      <w:r>
        <w:t>So the family helps strongly on one galaxy and fails badly on two others.</w:t>
      </w:r>
    </w:p>
    <w:p>
      <w:pPr>
        <w:jc w:val="both"/>
      </w:pPr>
      <w:r>
        <w:t>This is why the local external median remains strongly negative:</w:t>
      </w:r>
    </w:p>
    <w:p>
      <w:pPr>
        <w:pStyle w:val="ListBullet"/>
      </w:pPr>
      <w:r>
        <w:t>weighted Hodge family median R^2 = -7.9332</w:t>
      </w:r>
    </w:p>
    <w:p>
      <w:pPr>
        <w:pStyle w:val="ListBullet"/>
      </w:pPr>
      <w:r>
        <w:t>MOND median R^2 = 0.7552</w:t>
      </w:r>
    </w:p>
    <w:p>
      <w:pPr>
        <w:pStyle w:val="Heading2"/>
      </w:pPr>
      <w:r>
        <w:t>What This Means</w:t>
      </w:r>
    </w:p>
    <w:p>
      <w:pPr>
        <w:jc w:val="both"/>
      </w:pPr>
      <w:r>
        <w:t>This branch matters because it changes the diagnosis.</w:t>
      </w:r>
    </w:p>
    <w:p>
      <w:pPr>
        <w:jc w:val="both"/>
      </w:pPr>
      <w:r>
        <w:t>Before this scan, every derived family looked like another failed local closure.</w:t>
      </w:r>
    </w:p>
    <w:p>
      <w:pPr>
        <w:jc w:val="both"/>
      </w:pPr>
      <w:r>
        <w:t>After this scan, the stronger statement is:</w:t>
      </w:r>
    </w:p>
    <w:p>
      <w:pPr>
        <w:pStyle w:val="ListBullet"/>
      </w:pPr>
      <w:r>
        <w:t>moving from local closure formulas to a quotient/Green operator is directionally correct</w:t>
      </w:r>
    </w:p>
    <w:p>
      <w:pPr>
        <w:pStyle w:val="ListBullet"/>
      </w:pPr>
      <w:r>
        <w:t>the present radial scalar reduction is still too crude to be the final law</w:t>
      </w:r>
    </w:p>
    <w:p>
      <w:pPr>
        <w:jc w:val="both"/>
      </w:pPr>
      <w:r>
        <w:t>That is progress, not a rescue.</w:t>
      </w:r>
    </w:p>
    <w:p>
      <w:pPr>
        <w:pStyle w:val="Heading2"/>
      </w:pPr>
      <w:r>
        <w:t>Bottom Line</w:t>
      </w:r>
    </w:p>
    <w:p>
      <w:pPr>
        <w:jc w:val="both"/>
      </w:pPr>
      <w:r>
        <w:t>The first operator-level conservative surrogate is the best derived CSR family so far.</w:t>
      </w:r>
    </w:p>
    <w:p>
      <w:pPr>
        <w:jc w:val="both"/>
      </w:pPr>
      <w:r>
        <w:t>It is still below MOND and still fails as a final law.</w:t>
      </w:r>
    </w:p>
    <w:p>
      <w:pPr>
        <w:jc w:val="both"/>
      </w:pPr>
      <w:r>
        <w:t>The remaining live route is not another local ansatz. It is a fuller open quotient/Green response beyond this radial scalar surrogate.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WEIGHTED HODGE GREEN KERNEL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Weighted Hodge Green Kernel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