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000" w:after="240"/>
        <w:jc w:val="center"/>
      </w:pPr>
      <w:r>
        <w:rPr>
          <w:rFonts w:ascii="Cambria" w:hAnsi="Cambria"/>
          <w:b/>
          <w:color w:val="16324F"/>
          <w:sz w:val="48"/>
        </w:rPr>
        <w:t>Codex Local Efficiency Playbook</w:t>
      </w:r>
    </w:p>
    <w:p>
      <w:pPr>
        <w:spacing w:after="80"/>
        <w:jc w:val="center"/>
      </w:pPr>
      <w:r>
        <w:rPr>
          <w:rFonts w:ascii="Cambria" w:hAnsi="Cambria"/>
          <w:i/>
          <w:color w:val="6B7280"/>
          <w:sz w:val="22"/>
        </w:rPr>
        <w:t>Corrected audit export</w:t>
      </w:r>
    </w:p>
    <w:p>
      <w:pPr>
        <w:spacing w:after="360"/>
        <w:jc w:val="center"/>
      </w:pPr>
      <w:r>
        <w:rPr>
          <w:rFonts w:ascii="Cambria" w:hAnsi="Cambria"/>
          <w:color w:val="6B7280"/>
          <w:sz w:val="21"/>
        </w:rPr>
        <w:t>March 10, 2026</w:t>
      </w:r>
    </w:p>
    <w:p>
      <w:pPr>
        <w:spacing w:after="0"/>
        <w:ind w:left="1440" w:right="1440"/>
        <w:jc w:val="center"/>
      </w:pPr>
      <w:r>
        <w:rPr>
          <w:rFonts w:ascii="Cambria" w:hAnsi="Cambria"/>
          <w:color w:val="384452"/>
          <w:sz w:val="20"/>
        </w:rPr>
        <w:t>Presentation edition prepared from independently rerun scripts and live verification tests.</w:t>
      </w:r>
    </w:p>
    <w:p>
      <w:r>
        <w:br w:type="page"/>
      </w:r>
    </w:p>
    <w:p>
      <w:pPr>
        <w:pStyle w:val="Heading2"/>
      </w:pPr>
      <w:r>
        <w:t>Goal</w:t>
      </w:r>
    </w:p>
    <w:p>
      <w:pPr>
        <w:jc w:val="both"/>
      </w:pPr>
      <w:r>
        <w:t>Keep this machine quieter and reduce wasted reruns without overstating what the measurements prove.</w:t>
      </w:r>
    </w:p>
    <w:p>
      <w:pPr>
        <w:pStyle w:val="Heading2"/>
      </w:pPr>
      <w:r>
        <w:t>Current Local Constraints</w:t>
      </w:r>
    </w:p>
    <w:p>
      <w:pPr>
        <w:pStyle w:val="ListBullet"/>
      </w:pPr>
      <w:r>
        <w:t>This workspace should run from one Python environment where possible.</w:t>
      </w:r>
    </w:p>
    <w:p>
      <w:pPr>
        <w:pStyle w:val="ListBullet"/>
      </w:pPr>
      <w:r>
        <w:t>Heavy numerical scripts should default to single-thread BLAS caps unless a test explicitly needs more parallelism.</w:t>
      </w:r>
    </w:p>
    <w:p>
      <w:pPr>
        <w:pStyle w:val="ListBullet"/>
      </w:pPr>
      <w:r>
        <w:t>Export generation should remain separate from numerical reruns.</w:t>
      </w:r>
    </w:p>
    <w:p>
      <w:pPr>
        <w:pStyle w:val="ListBullet"/>
      </w:pPr>
      <w:r>
        <w:t>Branches that fail the triple test or the branch-admission gate should not be promoted to heavier external benchmarking.</w:t>
      </w:r>
    </w:p>
    <w:p>
      <w:pPr>
        <w:pStyle w:val="Heading2"/>
      </w:pPr>
      <w:r>
        <w:t>Runtime Defaults</w:t>
      </w:r>
    </w:p>
    <w:p>
      <w:pPr>
        <w:jc w:val="both"/>
      </w:pPr>
      <w:r>
        <w:t>Set these before heavy numerical runs when they are not already present:</w:t>
      </w:r>
    </w:p>
    <w:p>
      <w:pPr>
        <w:pStyle w:val="ListBullet"/>
      </w:pPr>
      <w:r>
        <w:t>OMP_NUM_THREADS=1</w:t>
      </w:r>
    </w:p>
    <w:p>
      <w:pPr>
        <w:pStyle w:val="ListBullet"/>
      </w:pPr>
      <w:r>
        <w:t>OPENBLAS_NUM_THREADS=1</w:t>
      </w:r>
    </w:p>
    <w:p>
      <w:pPr>
        <w:pStyle w:val="ListBullet"/>
      </w:pPr>
      <w:r>
        <w:t>MKL_NUM_THREADS=1</w:t>
      </w:r>
    </w:p>
    <w:p>
      <w:pPr>
        <w:pStyle w:val="ListBullet"/>
      </w:pPr>
      <w:r>
        <w:t>NUMEXPR_NUM_THREADS=1</w:t>
      </w:r>
    </w:p>
    <w:p>
      <w:pPr>
        <w:jc w:val="both"/>
      </w:pPr>
      <w:r>
        <w:t>The current CSR suites already apply these caps.</w:t>
      </w:r>
    </w:p>
    <w:p>
      <w:pPr>
        <w:pStyle w:val="Heading2"/>
      </w:pPr>
      <w:r>
        <w:t>Execution Modes</w:t>
      </w:r>
    </w:p>
    <w:p>
      <w:pPr>
        <w:jc w:val="both"/>
      </w:pPr>
      <w:r>
        <w:t>Heavy verification runners should keep two modes:</w:t>
      </w:r>
    </w:p>
    <w:p>
      <w:pPr>
        <w:pStyle w:val="ListBullet"/>
      </w:pPr>
      <w:r>
        <w:t>quick: for local iteration and gating</w:t>
      </w:r>
    </w:p>
    <w:p>
      <w:pPr>
        <w:pStyle w:val="ListBullet"/>
      </w:pPr>
      <w:r>
        <w:t>full: for presentation-grade reruns</w:t>
      </w:r>
    </w:p>
    <w:p>
      <w:pPr>
        <w:jc w:val="both"/>
      </w:pPr>
      <w:r>
        <w:t>Use quick until a branch survives the early gate. Use full only for branches that are still live after structural screening.</w:t>
      </w:r>
    </w:p>
    <w:p>
      <w:pPr>
        <w:pStyle w:val="Heading2"/>
      </w:pPr>
      <w:r>
        <w:t>Caching and Reuse</w:t>
      </w:r>
    </w:p>
    <w:p>
      <w:pPr>
        <w:jc w:val="both"/>
      </w:pPr>
      <w:r>
        <w:t>Prefer cached or persisted artifacts for:</w:t>
      </w:r>
    </w:p>
    <w:p>
      <w:pPr>
        <w:pStyle w:val="ListBullet"/>
      </w:pPr>
      <w:r>
        <w:t>SPARC-derived transforms</w:t>
      </w:r>
    </w:p>
    <w:p>
      <w:pPr>
        <w:pStyle w:val="ListBullet"/>
      </w:pPr>
      <w:r>
        <w:t>THINGS/Leroy alias maps</w:t>
      </w:r>
    </w:p>
    <w:p>
      <w:pPr>
        <w:pStyle w:val="ListBullet"/>
      </w:pPr>
      <w:r>
        <w:t>direct-gate residual tables</w:t>
      </w:r>
    </w:p>
    <w:p>
      <w:pPr>
        <w:pStyle w:val="ListBullet"/>
      </w:pPr>
      <w:r>
        <w:t>external benchmark summary JSON</w:t>
      </w:r>
    </w:p>
    <w:p>
      <w:pPr>
        <w:jc w:val="both"/>
      </w:pPr>
      <w:r>
        <w:t>Do not recompute expensive intermediate tables if the branch has already failed a higher-priority gate.</w:t>
      </w:r>
    </w:p>
    <w:p>
      <w:pPr>
        <w:pStyle w:val="Heading2"/>
      </w:pPr>
      <w:r>
        <w:t>Quiet-Mode Workflow</w:t>
      </w:r>
    </w:p>
    <w:p>
      <w:pPr>
        <w:jc w:val="both"/>
      </w:pPr>
      <w:r>
        <w:t>For day-to-day development on this machine:</w:t>
      </w:r>
    </w:p>
    <w:p>
      <w:pPr>
        <w:pStyle w:val="ListNumber"/>
      </w:pPr>
      <w:r>
        <w:t>run triple-test or branch-admission checks first</w:t>
      </w:r>
    </w:p>
    <w:p>
      <w:pPr>
        <w:pStyle w:val="ListNumber"/>
      </w:pPr>
      <w:r>
        <w:t>run direct observed gate second</w:t>
      </w:r>
    </w:p>
    <w:p>
      <w:pPr>
        <w:pStyle w:val="ListNumber"/>
      </w:pPr>
      <w:r>
        <w:t>run heavier external or export steps last</w:t>
      </w:r>
    </w:p>
    <w:p>
      <w:pPr>
        <w:pStyle w:val="ListNumber"/>
      </w:pPr>
      <w:r>
        <w:t>keep export generation detached from numerical reruns</w:t>
      </w:r>
    </w:p>
    <w:p>
      <w:pPr>
        <w:pStyle w:val="Heading2"/>
      </w:pPr>
      <w:r>
        <w:t>Telemetry Path That Actually Works</w:t>
      </w:r>
    </w:p>
    <w:p>
      <w:pPr>
        <w:jc w:val="both"/>
      </w:pPr>
      <w:r>
        <w:t>The environment still has no stable power-telemetry path, but user-space telemetry is now partially available.</w:t>
      </w:r>
    </w:p>
    <w:p>
      <w:pPr>
        <w:jc w:val="both"/>
      </w:pPr>
      <w:r>
        <w:t>Working local probes:</w:t>
      </w:r>
    </w:p>
    <w:p>
      <w:pPr>
        <w:pStyle w:val="ListBullet"/>
      </w:pPr>
      <w:r>
        <w:t>Get-Counter '\Processor Information(_Total)\% Processor Utility'</w:t>
      </w:r>
    </w:p>
    <w:p>
      <w:pPr>
        <w:pStyle w:val="ListBullet"/>
      </w:pPr>
      <w:r>
        <w:t>Get-Counter '\Processor Information(_Total)\Processor Frequency'</w:t>
      </w:r>
    </w:p>
    <w:p>
      <w:pPr>
        <w:pStyle w:val="ListBullet"/>
      </w:pPr>
      <w:r>
        <w:t>Get-Counter '\Thermal Zone Information()\Temperature'</w:t>
      </w:r>
    </w:p>
    <w:p>
      <w:pPr>
        <w:pStyle w:val="ListBullet"/>
      </w:pPr>
      <w:r>
        <w:t>Win32 GetProcessMemoryInfo for working-set and private-usage counters</w:t>
      </w:r>
    </w:p>
    <w:p>
      <w:pPr>
        <w:jc w:val="both"/>
      </w:pPr>
      <w:r>
        <w:t>This means the suite can now measure:</w:t>
      </w:r>
    </w:p>
    <w:p>
      <w:pPr>
        <w:pStyle w:val="ListBullet"/>
      </w:pPr>
      <w:r>
        <w:t>processor utility</w:t>
      </w:r>
    </w:p>
    <w:p>
      <w:pPr>
        <w:pStyle w:val="ListBullet"/>
      </w:pPr>
      <w:r>
        <w:t>processor frequency</w:t>
      </w:r>
    </w:p>
    <w:p>
      <w:pPr>
        <w:pStyle w:val="ListBullet"/>
      </w:pPr>
      <w:r>
        <w:t>thermal-zone telemetry</w:t>
      </w:r>
    </w:p>
    <w:p>
      <w:pPr>
        <w:pStyle w:val="ListBullet"/>
      </w:pPr>
      <w:r>
        <w:t>process working set / peak working set / private usage</w:t>
      </w:r>
    </w:p>
    <w:p>
      <w:pPr>
        <w:jc w:val="both"/>
      </w:pPr>
      <w:r>
        <w:t>It still cannot support:</w:t>
      </w:r>
    </w:p>
    <w:p>
      <w:pPr>
        <w:pStyle w:val="ListBullet"/>
      </w:pPr>
      <w:r>
        <w:t>power-draw claims</w:t>
      </w:r>
    </w:p>
    <w:p>
      <w:pPr>
        <w:pStyle w:val="ListBullet"/>
      </w:pPr>
      <w:r>
        <w:t>battery-drain claims</w:t>
      </w:r>
    </w:p>
    <w:p>
      <w:pPr>
        <w:pStyle w:val="ListBullet"/>
      </w:pPr>
      <w:r>
        <w:t>“heat proves physics” claims</w:t>
      </w:r>
    </w:p>
    <w:p>
      <w:pPr>
        <w:pStyle w:val="Heading2"/>
      </w:pPr>
      <w:r>
        <w:t>Current Engineering Read</w:t>
      </w:r>
    </w:p>
    <w:p>
      <w:pPr>
        <w:jc w:val="both"/>
      </w:pPr>
      <w:r>
        <w:t>Under the measured local suite:</w:t>
      </w:r>
    </w:p>
    <w:p>
      <w:pPr>
        <w:pStyle w:val="ListBullet"/>
      </w:pPr>
      <w:r>
        <w:t>no workload currently shows a verified wall-time gain with non-overlapping confidence intervals</w:t>
      </w:r>
    </w:p>
    <w:p>
      <w:pPr>
        <w:pStyle w:val="ListBullet"/>
      </w:pPr>
      <w:r>
        <w:t>no workload currently shows a verified thermal reduction under the suite rule</w:t>
      </w:r>
    </w:p>
    <w:p>
      <w:pPr>
        <w:pStyle w:val="ListBullet"/>
      </w:pPr>
      <w:r>
        <w:t>telemetry is useful for honest local engineering reporting, not for scientific proof</w:t>
      </w:r>
    </w:p>
    <w:p>
      <w:pPr>
        <w:pStyle w:val="Heading2"/>
      </w:pPr>
      <w:r>
        <w:t>Practical Rule</w:t>
      </w:r>
    </w:p>
    <w:p>
      <w:pPr>
        <w:jc w:val="both"/>
      </w:pPr>
      <w:r>
        <w:t>If a proposed optimization does not improve:</w:t>
      </w:r>
    </w:p>
    <w:p>
      <w:pPr>
        <w:pStyle w:val="ListBullet"/>
      </w:pPr>
      <w:r>
        <w:t>wall time,</w:t>
      </w:r>
    </w:p>
    <w:p>
      <w:pPr>
        <w:pStyle w:val="ListBullet"/>
      </w:pPr>
      <w:r>
        <w:t>jitter,</w:t>
      </w:r>
    </w:p>
    <w:p>
      <w:pPr>
        <w:pStyle w:val="ListBullet"/>
      </w:pPr>
      <w:r>
        <w:t>or measured process/thermal behavior</w:t>
      </w:r>
    </w:p>
    <w:p>
      <w:pPr>
        <w:jc w:val="both"/>
      </w:pPr>
      <w:r>
        <w:t>under repeated runs, it should not be promoted as a machine-efficiency gain.</w:t>
      </w:r>
    </w:p>
    <w:p>
      <w:pPr>
        <w:pStyle w:val="Heading2"/>
      </w:pPr>
      <w:r>
        <w:t>Bottom Line</w:t>
      </w:r>
    </w:p>
    <w:p>
      <w:pPr>
        <w:jc w:val="both"/>
      </w:pPr>
      <w:r>
        <w:t>The right local strategy is:</w:t>
      </w:r>
    </w:p>
    <w:p>
      <w:pPr>
        <w:pStyle w:val="ListBullet"/>
      </w:pPr>
      <w:r>
        <w:t>gate early,</w:t>
      </w:r>
    </w:p>
    <w:p>
      <w:pPr>
        <w:pStyle w:val="ListBullet"/>
      </w:pPr>
      <w:r>
        <w:t>rerun less,</w:t>
      </w:r>
    </w:p>
    <w:p>
      <w:pPr>
        <w:pStyle w:val="ListBullet"/>
      </w:pPr>
      <w:r>
        <w:t>keep thread caps on by default,</w:t>
      </w:r>
    </w:p>
    <w:p>
      <w:pPr>
        <w:pStyle w:val="ListBullet"/>
      </w:pPr>
      <w:r>
        <w:t>measure user-space telemetry honestly,</w:t>
      </w:r>
    </w:p>
    <w:p>
      <w:pPr>
        <w:pStyle w:val="ListBullet"/>
      </w:pPr>
      <w:r>
        <w:t>and keep all physics claims separate from machine-performance claims.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296" w:bottom="1080" w:left="1296" w:header="504" w:footer="57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mbria" w:hAnsi="Cambria"/>
        <w:color w:val="6B7280"/>
        <w:sz w:val="17"/>
      </w:rPr>
      <w:t xml:space="preserve">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mbria" w:hAnsi="Cambria"/>
        <w:b/>
        <w:color w:val="6B7280"/>
        <w:sz w:val="17"/>
      </w:rPr>
      <w:t>CODEX LOCAL EFFICIENCY PLAYBOOK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mbria" w:hAnsi="Cambria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mbria" w:hAnsi="Cambria"/>
      <w:b/>
      <w:bCs/>
      <w:color w:val="1632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/>
      <w:b/>
      <w:bCs/>
      <w:color w:val="1632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mbria" w:hAnsi="Cambria"/>
      <w:b/>
      <w:bCs/>
      <w:color w:val="2C3E5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Codex Local Efficiency Playbook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