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IBM Spatial Idle-Correlation Preregistration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Date: 2026-03-08</w:t>
      </w:r>
    </w:p>
    <w:p>
      <w:pPr>
        <w:pStyle w:val="Heading2"/>
      </w:pPr>
      <w:r>
        <w:t>Question</w:t>
      </w:r>
    </w:p>
    <w:p>
      <w:pPr>
        <w:jc w:val="both"/>
      </w:pPr>
      <w:r>
        <w:t>Do idle-time error correlations on real IBM hardware follow an inverse-square law in graph distance more strongly than a local exponential decay law when measured on a fixed, preregistered spatial layout?</w:t>
      </w:r>
    </w:p>
    <w:p>
      <w:pPr>
        <w:pStyle w:val="Heading2"/>
      </w:pPr>
      <w:r>
        <w:t>Primary claim under test</w:t>
      </w:r>
    </w:p>
    <w:p>
      <w:pPr>
        <w:jc w:val="both"/>
      </w:pPr>
      <w:r>
        <w:t>The MSQECC hardware section predicts a nonlocal tail in idle-time correlations. Operationally, that means the pairwise absolute correlation |corr_ij| between measurement outcomes should be better described by</w:t>
      </w:r>
    </w:p>
    <w:p>
      <w:pPr>
        <w:jc w:val="both"/>
      </w:pPr>
      <w:r>
        <w:t>|corr_ij| = A / D_ij^2</w:t>
      </w:r>
    </w:p>
    <w:p>
      <w:pPr>
        <w:jc w:val="both"/>
      </w:pPr>
      <w:r>
        <w:t>than by</w:t>
      </w:r>
    </w:p>
    <w:p>
      <w:pPr>
        <w:jc w:val="both"/>
      </w:pPr>
      <w:r>
        <w:t>|corr_ij| = A exp(-D_ij / L)</w:t>
      </w:r>
    </w:p>
    <w:p>
      <w:pPr>
        <w:jc w:val="both"/>
      </w:pPr>
      <w:r>
        <w:t>where D_ij is the shortest-path distance on the device coupling graph.</w:t>
      </w:r>
    </w:p>
    <w:p>
      <w:pPr>
        <w:pStyle w:val="Heading2"/>
      </w:pPr>
      <w:r>
        <w:t>Backends</w:t>
      </w:r>
    </w:p>
    <w:p>
      <w:pPr>
        <w:pStyle w:val="ListBullet"/>
      </w:pPr>
      <w:r>
        <w:t>Primary backend: ibm_marrakesh</w:t>
      </w:r>
    </w:p>
    <w:p>
      <w:pPr>
        <w:pStyle w:val="ListBullet"/>
      </w:pPr>
      <w:r>
        <w:t>Replication backend: ibm_torino</w:t>
      </w:r>
    </w:p>
    <w:p>
      <w:pPr>
        <w:jc w:val="both"/>
      </w:pPr>
      <w:r>
        <w:t>These backends were selected before the new runs because they were available on the IBM open plan and have enough physical qubits to support a 10-qubit sparse layout.</w:t>
      </w:r>
    </w:p>
    <w:p>
      <w:pPr>
        <w:pStyle w:val="Heading2"/>
      </w:pPr>
      <w:r>
        <w:t>Fixed layouts</w:t>
      </w:r>
    </w:p>
    <w:p>
      <w:pPr>
        <w:jc w:val="both"/>
      </w:pPr>
      <w:r>
        <w:t>The layouts were chosen before running the new experiment by a deterministic maximin rule applied only to the backend coupling map: start from qubit 0, then iteratively add the qubit that maximizes the minimum graph distance to the already selected set, breaking ties by larger mean distance.</w:t>
      </w:r>
    </w:p>
    <w:p>
      <w:pPr>
        <w:jc w:val="both"/>
      </w:pPr>
      <w:r>
        <w:t>The resulting fixed layouts are:</w:t>
      </w:r>
    </w:p>
    <w:p>
      <w:pPr>
        <w:pStyle w:val="ListBullet"/>
      </w:pPr>
      <w:r>
        <w:t>ibm_marrakesh: 0,140,75,80,155,13,40,109,120,27</w:t>
      </w:r>
    </w:p>
    <w:p>
      <w:pPr>
        <w:pStyle w:val="ListBullet"/>
      </w:pPr>
      <w:r>
        <w:t>ibm_torino: 0,128,37,91,64,129,9,90,38,111</w:t>
      </w:r>
    </w:p>
    <w:p>
      <w:pPr>
        <w:jc w:val="both"/>
      </w:pPr>
      <w:r>
        <w:t>For the 10 selected qubits, this yields 45 pairwise distances per backend.</w:t>
      </w:r>
    </w:p>
    <w:p>
      <w:pPr>
        <w:pStyle w:val="Heading2"/>
      </w:pPr>
      <w:r>
        <w:t>Circuit</w:t>
      </w:r>
    </w:p>
    <w:p>
      <w:pPr>
        <w:pStyle w:val="ListBullet"/>
      </w:pPr>
      <w:r>
        <w:t>One register of 10 qubits.</w:t>
      </w:r>
    </w:p>
    <w:p>
      <w:pPr>
        <w:pStyle w:val="ListBullet"/>
      </w:pPr>
      <w:r>
        <w:t>No state preparation beyond the backend ground-state reset.</w:t>
      </w:r>
    </w:p>
    <w:p>
      <w:pPr>
        <w:pStyle w:val="ListBullet"/>
      </w:pPr>
      <w:r>
        <w:t>A single idle delay applied to all selected qubits.</w:t>
      </w:r>
    </w:p>
    <w:p>
      <w:pPr>
        <w:pStyle w:val="ListBullet"/>
      </w:pPr>
      <w:r>
        <w:t>Full measurement in the computational basis.</w:t>
      </w:r>
    </w:p>
    <w:p>
      <w:pPr>
        <w:pStyle w:val="Heading2"/>
      </w:pPr>
      <w:r>
        <w:t>Fixed run settings</w:t>
      </w:r>
    </w:p>
    <w:p>
      <w:pPr>
        <w:pStyle w:val="ListBullet"/>
      </w:pPr>
      <w:r>
        <w:t>Qubits per run: 10</w:t>
      </w:r>
    </w:p>
    <w:p>
      <w:pPr>
        <w:pStyle w:val="ListBullet"/>
      </w:pPr>
      <w:r>
        <w:t>Shots per run: 4000</w:t>
      </w:r>
    </w:p>
    <w:p>
      <w:pPr>
        <w:pStyle w:val="ListBullet"/>
      </w:pPr>
      <w:r>
        <w:t>Idle durations in microseconds: 0, 20, 50, 100, 200, 500</w:t>
      </w:r>
    </w:p>
    <w:p>
      <w:pPr>
        <w:pStyle w:val="ListBullet"/>
      </w:pPr>
      <w:r>
        <w:t>Same circuit family, same transpilation path, same analysis code for every run.</w:t>
      </w:r>
    </w:p>
    <w:p>
      <w:pPr>
        <w:pStyle w:val="Heading2"/>
      </w:pPr>
      <w:r>
        <w:t>Analysis plan</w:t>
      </w:r>
    </w:p>
    <w:p>
      <w:pPr>
        <w:jc w:val="both"/>
      </w:pPr>
      <w:r>
        <w:t>For each backend and idle duration:</w:t>
      </w:r>
    </w:p>
    <w:p>
      <w:pPr>
        <w:pStyle w:val="ListBullet"/>
      </w:pPr>
      <w:r>
        <w:t>Compute the 10x10 correlation matrix from raw measurement counts.</w:t>
      </w:r>
    </w:p>
    <w:p>
      <w:pPr>
        <w:pStyle w:val="ListBullet"/>
      </w:pPr>
      <w:r>
        <w:t>Extract the 45 off-diagonal absolute pair correlations |corr_ij|.</w:t>
      </w:r>
    </w:p>
    <w:p>
      <w:pPr>
        <w:pStyle w:val="ListBullet"/>
      </w:pPr>
      <w:r>
        <w:t>Fit two models to the pairwise dataset:</w:t>
      </w:r>
    </w:p>
    <w:p>
      <w:pPr>
        <w:pStyle w:val="ListBullet"/>
      </w:pPr>
      <w:r>
        <w:t>inverse-square: A / D^2</w:t>
      </w:r>
    </w:p>
    <w:p>
      <w:pPr>
        <w:pStyle w:val="ListBullet"/>
      </w:pPr>
      <w:r>
        <w:t>exponential: A exp(-D / L)</w:t>
      </w:r>
    </w:p>
    <w:p>
      <w:pPr>
        <w:pStyle w:val="ListBullet"/>
      </w:pPr>
      <w:r>
        <w:t>Compare models with BIC.</w:t>
      </w:r>
    </w:p>
    <w:p>
      <w:pPr>
        <w:pStyle w:val="ListBullet"/>
      </w:pPr>
      <w:r>
        <w:t>Convert Delta BIC to a large-sample approximate Bayes factor using BF = exp(Delta BIC / 2) in favor of the lower-BIC model.</w:t>
      </w:r>
    </w:p>
    <w:p>
      <w:pPr>
        <w:pStyle w:val="Heading2"/>
      </w:pPr>
      <w:r>
        <w:t>Preregistered decision rule</w:t>
      </w:r>
    </w:p>
    <w:p>
      <w:pPr>
        <w:jc w:val="both"/>
      </w:pPr>
      <w:r>
        <w:t>Evidence for the MSQECC-style nonlocal tail requires all of the following:</w:t>
      </w:r>
    </w:p>
    <w:p>
      <w:pPr>
        <w:pStyle w:val="ListBullet"/>
      </w:pPr>
      <w:r>
        <w:t>On ibm_marrakesh, the inverse-square model is preferred over the exponential model with approximate Bayes factor &gt;= 10 in at least 3 of the 5 nonzero-delay runs.</w:t>
      </w:r>
    </w:p>
    <w:p>
      <w:pPr>
        <w:pStyle w:val="ListBullet"/>
      </w:pPr>
      <w:r>
        <w:t>On ibm_torino, the inverse-square model is preferred over the exponential model with approximate Bayes factor &gt;= 10 in at least 2 of the 5 nonzero-delay runs.</w:t>
      </w:r>
    </w:p>
    <w:p>
      <w:pPr>
        <w:pStyle w:val="ListBullet"/>
      </w:pPr>
      <w:r>
        <w:t>The inverse-square preference must not be driven solely by the 0 us baseline.</w:t>
      </w:r>
    </w:p>
    <w:p>
      <w:pPr>
        <w:jc w:val="both"/>
      </w:pPr>
      <w:r>
        <w:t>If these conditions fail, the hardware test is recorded as negative or inconclusive for the claimed inverse-square signature.</w:t>
      </w:r>
    </w:p>
    <w:p>
      <w:pPr>
        <w:pStyle w:val="Heading2"/>
      </w:pPr>
      <w:r>
        <w:t>Interpretation guardrails</w:t>
      </w:r>
    </w:p>
    <w:p>
      <w:pPr>
        <w:pStyle w:val="ListBullet"/>
      </w:pPr>
      <w:r>
        <w:t>Graph distance, not Euclidean chip-coordinate distance, is the preregistered spatial metric because it is directly defined by the backend coupling graph and is stable across runtime metadata.</w:t>
      </w:r>
    </w:p>
    <w:p>
      <w:pPr>
        <w:pStyle w:val="ListBullet"/>
      </w:pPr>
      <w:r>
        <w:t>This experiment does not prove a vacuum theory even if positive. It tests only whether a specific distance-law signal is present in idle correlations.</w:t>
      </w:r>
    </w:p>
    <w:p>
      <w:pPr>
        <w:pStyle w:val="ListBullet"/>
      </w:pPr>
      <w:r>
        <w:t>A negative result counts against the hardware claim and should not be reframed as support.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IBM SPATIAL IDLE-CORRELATION PREREGISTRATION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Spatial Idle-Correlation Preregistration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