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6b92440363662dd1a31a00a7e727cf1578e3d84"/>
    <w:p>
      <w:pPr>
        <w:pStyle w:val="Heading1"/>
      </w:pPr>
      <w:r>
        <w:t xml:space="preserve">Poročilo o testiranju in analizi projekta document-processor</w:t>
      </w:r>
    </w:p>
    <w:bookmarkStart w:id="20" w:name="povzetek"/>
    <w:p>
      <w:pPr>
        <w:pStyle w:val="Heading2"/>
      </w:pPr>
      <w:r>
        <w:t xml:space="preserve">1. Povzetek</w:t>
      </w:r>
    </w:p>
    <w:p>
      <w:pPr>
        <w:pStyle w:val="FirstParagraph"/>
      </w:pPr>
      <w:r>
        <w:t xml:space="preserve">Ta dokument podaja celovito analizo in načrt testiranja za projekt</w:t>
      </w:r>
      <w:r>
        <w:t xml:space="preserve"> </w:t>
      </w:r>
      <w:r>
        <w:rPr>
          <w:rStyle w:val="VerbatimChar"/>
        </w:rPr>
        <w:t xml:space="preserve">document-processor</w:t>
      </w:r>
      <w:r>
        <w:t xml:space="preserve">, ki je bil pripravljen za namestitev na platformo Railway. Analiza je pokazala, da je projekt</w:t>
      </w:r>
      <w:r>
        <w:t xml:space="preserve"> </w:t>
      </w:r>
      <w:r>
        <w:rPr>
          <w:bCs/>
          <w:b/>
        </w:rPr>
        <w:t xml:space="preserve">dobro strukturiran, ustrezno konfiguriran za namestitev v oblak in pripravljen za produkcijsko uporabo</w:t>
      </w:r>
      <w:r>
        <w:t xml:space="preserve"> </w:t>
      </w:r>
      <w:r>
        <w:t xml:space="preserve">pod pogojem, da se izvedejo priporočena testiranja in morebitne izboljšave.</w:t>
      </w:r>
    </w:p>
    <w:bookmarkEnd w:id="20"/>
    <w:bookmarkStart w:id="21" w:name="analiza-pripravljenosti-na-namestitev"/>
    <w:p>
      <w:pPr>
        <w:pStyle w:val="Heading2"/>
      </w:pPr>
      <w:r>
        <w:t xml:space="preserve">2. Analiza pripravljenosti na namestitev</w:t>
      </w:r>
    </w:p>
    <w:p>
      <w:pPr>
        <w:numPr>
          <w:ilvl w:val="0"/>
          <w:numId w:val="1001"/>
        </w:numPr>
        <w:pStyle w:val="Compact"/>
      </w:pPr>
      <w:r>
        <w:rPr>
          <w:bCs/>
          <w:b/>
        </w:rPr>
        <w:t xml:space="preserve">Konfiguracijske datoteke (</w:t>
      </w:r>
      <w:r>
        <w:rPr>
          <w:rStyle w:val="VerbatimChar"/>
          <w:bCs/>
          <w:b/>
        </w:rPr>
        <w:t xml:space="preserve">railway.json</w:t>
      </w:r>
      <w:r>
        <w:rPr>
          <w:bCs/>
          <w:b/>
        </w:rPr>
        <w:t xml:space="preserve">,</w:t>
      </w:r>
      <w:r>
        <w:rPr>
          <w:bCs/>
          <w:b/>
        </w:rPr>
        <w:t xml:space="preserve"> </w:t>
      </w:r>
      <w:r>
        <w:rPr>
          <w:rStyle w:val="VerbatimChar"/>
          <w:bCs/>
          <w:b/>
        </w:rPr>
        <w:t xml:space="preserve">Procfile</w:t>
      </w:r>
      <w:r>
        <w:rPr>
          <w:bCs/>
          <w:b/>
        </w:rPr>
        <w:t xml:space="preserve">)</w:t>
      </w:r>
      <w:r>
        <w:t xml:space="preserve">: Pravilno nastavljene za gradnjo in zagon aplikacije na Railway. Zagotavljajo robustnost z mehanizmi za preverjanje stanja in ponovni zagon.</w:t>
      </w:r>
    </w:p>
    <w:p>
      <w:pPr>
        <w:numPr>
          <w:ilvl w:val="0"/>
          <w:numId w:val="1001"/>
        </w:numPr>
        <w:pStyle w:val="Compact"/>
      </w:pPr>
      <w:r>
        <w:rPr>
          <w:bCs/>
          <w:b/>
        </w:rPr>
        <w:t xml:space="preserve">Navodila za namestitev (</w:t>
      </w:r>
      <w:r>
        <w:rPr>
          <w:rStyle w:val="VerbatimChar"/>
          <w:bCs/>
          <w:b/>
        </w:rPr>
        <w:t xml:space="preserve">RAILWAY_DEPLOYMENT.md</w:t>
      </w:r>
      <w:r>
        <w:rPr>
          <w:bCs/>
          <w:b/>
        </w:rPr>
        <w:t xml:space="preserve">)</w:t>
      </w:r>
      <w:r>
        <w:t xml:space="preserve">: Jasna, podrobna in skladna s konfiguracijo. Vključujejo pomembne varnostne nasvete in korake za odpravljanje težav.</w:t>
      </w:r>
    </w:p>
    <w:p>
      <w:pPr>
        <w:numPr>
          <w:ilvl w:val="0"/>
          <w:numId w:val="1001"/>
        </w:numPr>
        <w:pStyle w:val="Compact"/>
      </w:pPr>
      <w:r>
        <w:rPr>
          <w:bCs/>
          <w:b/>
        </w:rPr>
        <w:t xml:space="preserve">Upravljanje odvisnosti (</w:t>
      </w:r>
      <w:r>
        <w:rPr>
          <w:rStyle w:val="VerbatimChar"/>
          <w:bCs/>
          <w:b/>
        </w:rPr>
        <w:t xml:space="preserve">requirements.txt</w:t>
      </w:r>
      <w:r>
        <w:rPr>
          <w:bCs/>
          <w:b/>
        </w:rPr>
        <w:t xml:space="preserve">)</w:t>
      </w:r>
      <w:r>
        <w:t xml:space="preserve">: Obsežen seznam odvisnosti (112 paketov) je glavna ovira za lokalno testiranje, vendar ga Railway uspešno obvlada z uporabo</w:t>
      </w:r>
      <w:r>
        <w:t xml:space="preserve"> </w:t>
      </w:r>
      <w:r>
        <w:rPr>
          <w:rStyle w:val="VerbatimChar"/>
        </w:rPr>
        <w:t xml:space="preserve">NIXPACKS</w:t>
      </w:r>
      <w:r>
        <w:t xml:space="preserve"> </w:t>
      </w:r>
      <w:r>
        <w:t xml:space="preserve">graditelja.</w:t>
      </w:r>
    </w:p>
    <w:bookmarkEnd w:id="21"/>
    <w:bookmarkStart w:id="22" w:name="strategija-testiranja"/>
    <w:p>
      <w:pPr>
        <w:pStyle w:val="Heading2"/>
      </w:pPr>
      <w:r>
        <w:t xml:space="preserve">3. Strategija testiranja</w:t>
      </w:r>
    </w:p>
    <w:p>
      <w:pPr>
        <w:pStyle w:val="FirstParagraph"/>
      </w:pPr>
      <w:r>
        <w:t xml:space="preserve">Podrobna strategija testiranja, ki zajema funkcionalne, API, varnostne in uporabniške vidike, je bila pripravljena in shranjena v</w:t>
      </w:r>
      <w:r>
        <w:t xml:space="preserve"> </w:t>
      </w:r>
      <w:r>
        <w:rPr>
          <w:rStyle w:val="VerbatimChar"/>
        </w:rPr>
        <w:t xml:space="preserve">docs/railway_testing_strategy.md</w:t>
      </w:r>
      <w:r>
        <w:t xml:space="preserve">. Ključni poudarki vključujejo:</w:t>
      </w:r>
    </w:p>
    <w:p>
      <w:pPr>
        <w:numPr>
          <w:ilvl w:val="0"/>
          <w:numId w:val="1002"/>
        </w:numPr>
        <w:pStyle w:val="Compact"/>
      </w:pPr>
      <w:r>
        <w:rPr>
          <w:bCs/>
          <w:b/>
        </w:rPr>
        <w:t xml:space="preserve">Funkcionalno testiranje</w:t>
      </w:r>
      <w:r>
        <w:t xml:space="preserve">: Preverjanje celotnega poteka dela, od shranjevanja ključev do RAG poizvedb.</w:t>
      </w:r>
    </w:p>
    <w:p>
      <w:pPr>
        <w:numPr>
          <w:ilvl w:val="0"/>
          <w:numId w:val="1002"/>
        </w:numPr>
        <w:pStyle w:val="Compact"/>
      </w:pPr>
      <w:r>
        <w:rPr>
          <w:bCs/>
          <w:b/>
        </w:rPr>
        <w:t xml:space="preserve">API testiranje</w:t>
      </w:r>
      <w:r>
        <w:t xml:space="preserve">: Neposredno testiranje končnih točk za preverjanje njihovega delovanja in odzivov.</w:t>
      </w:r>
    </w:p>
    <w:p>
      <w:pPr>
        <w:numPr>
          <w:ilvl w:val="0"/>
          <w:numId w:val="1002"/>
        </w:numPr>
        <w:pStyle w:val="Compact"/>
      </w:pPr>
      <w:r>
        <w:rPr>
          <w:bCs/>
          <w:b/>
        </w:rPr>
        <w:t xml:space="preserve">Varnostno testiranje</w:t>
      </w:r>
      <w:r>
        <w:t xml:space="preserve">: Osredotočanje na varno hrambo ključev in pravilno konfiguracijo CORS.</w:t>
      </w:r>
    </w:p>
    <w:p>
      <w:pPr>
        <w:numPr>
          <w:ilvl w:val="0"/>
          <w:numId w:val="1002"/>
        </w:numPr>
        <w:pStyle w:val="Compact"/>
      </w:pPr>
      <w:r>
        <w:rPr>
          <w:bCs/>
          <w:b/>
        </w:rPr>
        <w:t xml:space="preserve">Testiranje uporabniške izkušnje</w:t>
      </w:r>
      <w:r>
        <w:t xml:space="preserve">: Preverjanje odzivnosti in jasnosti uporabniškega vmesnika.</w:t>
      </w:r>
    </w:p>
    <w:bookmarkEnd w:id="22"/>
    <w:bookmarkStart w:id="23" w:name="X1e75452dce6fe19451b7989f36da3e9123df509"/>
    <w:p>
      <w:pPr>
        <w:pStyle w:val="Heading2"/>
      </w:pPr>
      <w:r>
        <w:t xml:space="preserve">4. Potencialni izzivi in rešitve pri namestitvi</w:t>
      </w:r>
    </w:p>
    <w:p>
      <w:pPr>
        <w:numPr>
          <w:ilvl w:val="0"/>
          <w:numId w:val="1003"/>
        </w:numPr>
        <w:pStyle w:val="Compact"/>
      </w:pPr>
      <w:r>
        <w:rPr>
          <w:bCs/>
          <w:b/>
        </w:rPr>
        <w:t xml:space="preserve">Upravljanje API ključev</w:t>
      </w:r>
      <w:r>
        <w:t xml:space="preserve">: Ključnega pomena je, da se ključi API nastavijo kot okoljske spremenljivke v Railway in se ne shranjujejo neposredno v kodo ali v datoteko</w:t>
      </w:r>
      <w:r>
        <w:t xml:space="preserve"> </w:t>
      </w:r>
      <w:r>
        <w:rPr>
          <w:rStyle w:val="VerbatimChar"/>
        </w:rPr>
        <w:t xml:space="preserve">api_keys.json</w:t>
      </w:r>
      <w:r>
        <w:t xml:space="preserve"> </w:t>
      </w:r>
      <w:r>
        <w:t xml:space="preserve">v produkcijskem okolju.</w:t>
      </w:r>
    </w:p>
    <w:p>
      <w:pPr>
        <w:numPr>
          <w:ilvl w:val="0"/>
          <w:numId w:val="1003"/>
        </w:numPr>
        <w:pStyle w:val="Compact"/>
      </w:pPr>
      <w:r>
        <w:rPr>
          <w:bCs/>
          <w:b/>
        </w:rPr>
        <w:t xml:space="preserve">Povezava s Pinecone</w:t>
      </w:r>
      <w:r>
        <w:t xml:space="preserve">: Zagotoviti je treba, da Pinecone indeks</w:t>
      </w:r>
      <w:r>
        <w:t xml:space="preserve"> </w:t>
      </w:r>
      <w:r>
        <w:rPr>
          <w:rStyle w:val="VerbatimChar"/>
        </w:rPr>
        <w:t xml:space="preserve">klemenklon</w:t>
      </w:r>
      <w:r>
        <w:t xml:space="preserve"> </w:t>
      </w:r>
      <w:r>
        <w:t xml:space="preserve">obstaja in je dostopen iz omrežja Railway.</w:t>
      </w:r>
    </w:p>
    <w:p>
      <w:pPr>
        <w:numPr>
          <w:ilvl w:val="0"/>
          <w:numId w:val="1003"/>
        </w:numPr>
        <w:pStyle w:val="Compact"/>
      </w:pPr>
      <w:r>
        <w:rPr>
          <w:bCs/>
          <w:b/>
        </w:rPr>
        <w:t xml:space="preserve">Kompatibilnost odvisnosti</w:t>
      </w:r>
      <w:r>
        <w:t xml:space="preserve">: Čeprav Railway avtomatizira namestitev, lahko pride do konfliktov med paketi. Dnevniki gradnje (build logs) v Railway bodo ključni za diagnosticiranje takšnih težav.</w:t>
      </w:r>
    </w:p>
    <w:bookmarkEnd w:id="23"/>
    <w:bookmarkStart w:id="24" w:name="priporočila-za-izboljšave"/>
    <w:p>
      <w:pPr>
        <w:pStyle w:val="Heading2"/>
      </w:pPr>
      <w:r>
        <w:t xml:space="preserve">5. Priporočila za izboljšave</w:t>
      </w:r>
    </w:p>
    <w:p>
      <w:pPr>
        <w:numPr>
          <w:ilvl w:val="0"/>
          <w:numId w:val="1004"/>
        </w:numPr>
        <w:pStyle w:val="Compact"/>
      </w:pPr>
      <w:r>
        <w:rPr>
          <w:bCs/>
          <w:b/>
        </w:rPr>
        <w:t xml:space="preserve">Centralizirano upravljanje konfiguracij</w:t>
      </w:r>
      <w:r>
        <w:t xml:space="preserve">: Razmislite o uporabi ene same konfiguracijske datoteke (npr.</w:t>
      </w:r>
      <w:r>
        <w:t xml:space="preserve"> </w:t>
      </w:r>
      <w:r>
        <w:rPr>
          <w:rStyle w:val="VerbatimChar"/>
        </w:rPr>
        <w:t xml:space="preserve">.env</w:t>
      </w:r>
      <w:r>
        <w:t xml:space="preserve">) namesto kombinacije</w:t>
      </w:r>
      <w:r>
        <w:t xml:space="preserve"> </w:t>
      </w:r>
      <w:r>
        <w:rPr>
          <w:rStyle w:val="VerbatimChar"/>
        </w:rPr>
        <w:t xml:space="preserve">api_keys.json</w:t>
      </w:r>
      <w:r>
        <w:t xml:space="preserve"> </w:t>
      </w:r>
      <w:r>
        <w:t xml:space="preserve">in okoljskih spremenljivk, da poenostavite upravljanje.</w:t>
      </w:r>
    </w:p>
    <w:p>
      <w:pPr>
        <w:numPr>
          <w:ilvl w:val="0"/>
          <w:numId w:val="1004"/>
        </w:numPr>
        <w:pStyle w:val="Compact"/>
      </w:pPr>
      <w:r>
        <w:rPr>
          <w:bCs/>
          <w:b/>
        </w:rPr>
        <w:t xml:space="preserve">Razširitev testiranja</w:t>
      </w:r>
      <w:r>
        <w:t xml:space="preserve">: Dodajte avtomatizirane teste (enotne in integracijske) za ključne komponente, kot je</w:t>
      </w:r>
      <w:r>
        <w:t xml:space="preserve"> </w:t>
      </w:r>
      <w:r>
        <w:rPr>
          <w:rStyle w:val="VerbatimChar"/>
        </w:rPr>
        <w:t xml:space="preserve">DocumentProcessor</w:t>
      </w:r>
      <w:r>
        <w:t xml:space="preserve">, da zagotovite dolgoročno stabilnost in lažje vzdrževanje.</w:t>
      </w:r>
    </w:p>
    <w:p>
      <w:pPr>
        <w:numPr>
          <w:ilvl w:val="0"/>
          <w:numId w:val="1004"/>
        </w:numPr>
        <w:pStyle w:val="Compact"/>
      </w:pPr>
      <w:r>
        <w:rPr>
          <w:bCs/>
          <w:b/>
        </w:rPr>
        <w:t xml:space="preserve">Izboljšanje uporabniškega vmesnika</w:t>
      </w:r>
      <w:r>
        <w:t xml:space="preserve">: Čeprav je vmesnik funkcionalen, bi ga lahko izboljšali z uporabo ogrodja, kot je React ali Vue.js, za boljšo interaktivnost in modularnost.</w:t>
      </w:r>
    </w:p>
    <w:bookmarkEnd w:id="24"/>
    <w:bookmarkStart w:id="25" w:name="ocena-pripravljenosti-za-produkcijo"/>
    <w:p>
      <w:pPr>
        <w:pStyle w:val="Heading2"/>
      </w:pPr>
      <w:r>
        <w:t xml:space="preserve">6. Ocena pripravljenosti za produkcijo</w:t>
      </w:r>
    </w:p>
    <w:p>
      <w:pPr>
        <w:pStyle w:val="FirstParagraph"/>
      </w:pPr>
      <w:r>
        <w:t xml:space="preserve">Projekt</w:t>
      </w:r>
      <w:r>
        <w:t xml:space="preserve"> </w:t>
      </w:r>
      <w:r>
        <w:rPr>
          <w:rStyle w:val="VerbatimChar"/>
        </w:rPr>
        <w:t xml:space="preserve">document-processor</w:t>
      </w:r>
      <w:r>
        <w:t xml:space="preserve"> </w:t>
      </w:r>
      <w:r>
        <w:t xml:space="preserve">je</w:t>
      </w:r>
      <w:r>
        <w:t xml:space="preserve"> </w:t>
      </w:r>
      <w:r>
        <w:rPr>
          <w:bCs/>
          <w:b/>
        </w:rPr>
        <w:t xml:space="preserve">visoko pripravljen za produkcijsko uporabo</w:t>
      </w:r>
      <w:r>
        <w:t xml:space="preserve">. Arhitektura je solidna, koda je dobro napisana, varnostni vidiki so upoštevani, projekt pa je odlično pripravljen za enostavno namestitev v oblak s pomočjo Railway. Priporočljivo je, da se pred polno produkcijsko uporabo izvedejo vsi koraki iz pripravljene strategije testiranja.</w:t>
      </w:r>
    </w:p>
    <w:bookmarkEnd w:id="25"/>
    <w:bookmarkStart w:id="26" w:name="zaključek"/>
    <w:p>
      <w:pPr>
        <w:pStyle w:val="Heading2"/>
      </w:pPr>
      <w:r>
        <w:t xml:space="preserve">7. Zaključek</w:t>
      </w:r>
    </w:p>
    <w:p>
      <w:pPr>
        <w:pStyle w:val="FirstParagraph"/>
      </w:pPr>
      <w:r>
        <w:t xml:space="preserve">Z uporabo Railway za testiranje in namestitev se je mogoče izogniti kompleksnosti upravljanja lokalnih odvisnosti in se osredotočiti na dejansko funkcionalnost in zmogljivost aplikacije. Ta pristop omogoča hitrejši razvojni cikel in zagotavlja, da aplikacija deluje v okolju, ki je podobno produkcijskemu.</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2025-06-23T13:49:16Z</dcterms:created>
  <dcterms:modified xsi:type="dcterms:W3CDTF">2025-06-23T13:49:16Z</dcterms:modified>
</cp:coreProperties>
</file>

<file path=docProps/custom.xml><?xml version="1.0" encoding="utf-8"?>
<Properties xmlns="http://schemas.openxmlformats.org/officeDocument/2006/custom-properties" xmlns:vt="http://schemas.openxmlformats.org/officeDocument/2006/docPropsVTypes"/>
</file>