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targeting scale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Averted cases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admins targeted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admins targeted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countries targeted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 (0.57-0.73)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(0.49-0.65)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(0.49-0.65)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(436-475)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(268-325)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 (254-313)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(155-168)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(100-121)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(93-114)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(27-29)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(23-26)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(22-26)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 (0.59-0.75)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 (0.54-0.71)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 (0.55-0.71)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1770 (1672-1835)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1200 (1118-1284)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1106 (1050-1165)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621 (586-647)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 (400-456)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 (375-425)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(30-32)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(28-30)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(28-31)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(0.49-0.65)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 (0.37-0.56)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(0.39-0.56)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 (281-328)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(142-185)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(139-180)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(102-123)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(53-70)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(53-69)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(23-25)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(16-21)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(17-21)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 (0.55-0.71)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(0.47-0.65)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(0.49-0.66)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1229 (1174-1274)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750 (690-825)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688 (641-747)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 (417-459)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 (252-301)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 (237-272)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(29-31)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(24-29)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(25-29)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 (0.2-0.35)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(0.06-0.2)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 (0.07-0.21)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(57-79)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(16-37)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(13-35)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(24-30)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(6-15)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(5-15)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(11-14)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(4-8)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(4-8)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(0.35-0.5)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 (0.22-0.4)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 (0.24-0.41)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(302-391)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(127-207)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(117-189)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(116-145)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(48-79)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(45-74)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(19-24)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(14-19)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(14-20)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2022-11-22T10:17:54Z</dcterms:modified>
  <cp:category/>
</cp:coreProperties>
</file>