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4C5E8" w14:textId="4919FDEE" w:rsidR="002B1D4B" w:rsidRPr="00B102B1" w:rsidRDefault="00AB63A4" w:rsidP="00AB63A4">
      <w:pPr>
        <w:jc w:val="center"/>
        <w:rPr>
          <w:sz w:val="40"/>
          <w:szCs w:val="40"/>
        </w:rPr>
      </w:pPr>
      <w:r w:rsidRPr="00B102B1">
        <w:rPr>
          <w:sz w:val="40"/>
          <w:szCs w:val="40"/>
        </w:rPr>
        <w:t>VIMC Model Method</w:t>
      </w:r>
    </w:p>
    <w:p w14:paraId="052F63F0" w14:textId="4F427963" w:rsidR="00AB63A4" w:rsidRPr="00B64435" w:rsidRDefault="00EF4221">
      <w:pPr>
        <w:rPr>
          <w:b/>
          <w:bCs/>
        </w:rPr>
      </w:pPr>
      <w:r w:rsidRPr="00B64435">
        <w:rPr>
          <w:b/>
          <w:bCs/>
        </w:rPr>
        <w:t xml:space="preserve">Underlying spatial incidence rate estimates </w:t>
      </w:r>
    </w:p>
    <w:p w14:paraId="3A09A844" w14:textId="008A0BC5" w:rsidR="0039038F" w:rsidRDefault="0001386D">
      <w:r>
        <w:t>We use the</w:t>
      </w:r>
      <w:r w:rsidR="002D7489">
        <w:t xml:space="preserve"> 5 km by 5 km</w:t>
      </w:r>
      <w:r w:rsidR="00B64435">
        <w:t xml:space="preserve"> spatial</w:t>
      </w:r>
      <w:r>
        <w:t xml:space="preserve"> incidence rate estimates </w:t>
      </w:r>
      <w:r w:rsidR="00827F98">
        <w:t xml:space="preserve">for countries of interest in </w:t>
      </w:r>
      <w:r w:rsidR="00827F98" w:rsidRPr="00B64435">
        <w:t>sub-Saharan Africa</w:t>
      </w:r>
      <w:r w:rsidR="00827F98">
        <w:t xml:space="preserve"> </w:t>
      </w:r>
      <w:r>
        <w:t>from a published study (</w:t>
      </w:r>
      <w:hyperlink r:id="rId4" w:history="1">
        <w:r w:rsidR="00B64435" w:rsidRPr="00B64435">
          <w:rPr>
            <w:rStyle w:val="Hyperlink"/>
          </w:rPr>
          <w:t>https://doi.org/10.1016/S0140-6736(17)33050-7</w:t>
        </w:r>
      </w:hyperlink>
      <w:r>
        <w:t>)</w:t>
      </w:r>
      <w:r w:rsidR="00B64435">
        <w:t xml:space="preserve">. </w:t>
      </w:r>
      <w:r w:rsidR="00827F98">
        <w:t xml:space="preserve">As for countries without such estimates, </w:t>
      </w:r>
      <w:r w:rsidR="00A60987">
        <w:t>we use</w:t>
      </w:r>
      <w:r w:rsidR="00CD6CE3">
        <w:t xml:space="preserve"> and process</w:t>
      </w:r>
      <w:r w:rsidR="00A60987">
        <w:t xml:space="preserve"> the</w:t>
      </w:r>
      <w:r w:rsidR="00B44417">
        <w:t xml:space="preserve"> country-level</w:t>
      </w:r>
      <w:r w:rsidR="00A60987">
        <w:t xml:space="preserve"> annual cholera cases</w:t>
      </w:r>
      <w:r w:rsidR="005107A0">
        <w:t xml:space="preserve"> </w:t>
      </w:r>
      <w:r w:rsidR="00A60987">
        <w:t>reported by WHO</w:t>
      </w:r>
      <w:r w:rsidR="00B44417">
        <w:t>. We first calculate the mean of the annual cholera cases</w:t>
      </w:r>
      <w:r w:rsidR="005A38F7">
        <w:t xml:space="preserve"> </w:t>
      </w:r>
      <w:r w:rsidR="003C1E5A">
        <w:t xml:space="preserve">from the most recent and available 5 </w:t>
      </w:r>
      <w:r w:rsidR="00CD6CE3">
        <w:t>years, divide</w:t>
      </w:r>
      <w:r w:rsidR="008768D7">
        <w:t xml:space="preserve"> it by the mean population</w:t>
      </w:r>
      <w:r w:rsidR="00CD6CE3">
        <w:t xml:space="preserve"> averaged</w:t>
      </w:r>
      <w:r w:rsidR="008768D7">
        <w:t xml:space="preserve"> over these 5 years</w:t>
      </w:r>
      <w:r w:rsidR="00CD6CE3">
        <w:t xml:space="preserve"> using demographic data provided by VIMC</w:t>
      </w:r>
      <w:r w:rsidR="008768D7">
        <w:t xml:space="preserve">, </w:t>
      </w:r>
      <w:r w:rsidR="005A38F7">
        <w:t>and</w:t>
      </w:r>
      <w:r w:rsidR="00CD6CE3">
        <w:t xml:space="preserve"> then</w:t>
      </w:r>
      <w:r w:rsidR="005A38F7">
        <w:t xml:space="preserve"> assume cholera incidence rate </w:t>
      </w:r>
      <w:r w:rsidR="00CD6CE3">
        <w:t xml:space="preserve">is spatially homogeneous </w:t>
      </w:r>
      <w:r w:rsidR="005A38F7">
        <w:t xml:space="preserve">across the country. </w:t>
      </w:r>
      <w:r w:rsidR="00D52D88">
        <w:t>To add stochasticity to this process, we draw random layers from the 1000-layer spatial incidence rate data</w:t>
      </w:r>
      <w:r w:rsidR="00A549D4">
        <w:t xml:space="preserve"> for the sub-Saharan African countries; in the other countries, we assume the annual cholera cases follows Poisson distribution and generate random layers</w:t>
      </w:r>
      <w:r w:rsidR="00723B8B">
        <w:t xml:space="preserve"> accordingly</w:t>
      </w:r>
      <w:r w:rsidR="00A549D4">
        <w:t xml:space="preserve">. </w:t>
      </w:r>
    </w:p>
    <w:p w14:paraId="2E3DD41F" w14:textId="77777777" w:rsidR="00B64435" w:rsidRDefault="00B64435"/>
    <w:p w14:paraId="0491BD56" w14:textId="71DACBD8" w:rsidR="00DE4C79" w:rsidRPr="00262487" w:rsidRDefault="004952BB">
      <w:pPr>
        <w:rPr>
          <w:b/>
          <w:bCs/>
        </w:rPr>
      </w:pPr>
      <w:r w:rsidRPr="00262487">
        <w:rPr>
          <w:b/>
          <w:bCs/>
        </w:rPr>
        <w:t>Time-varying</w:t>
      </w:r>
      <w:r w:rsidR="00EE32CA" w:rsidRPr="00262487">
        <w:rPr>
          <w:b/>
          <w:bCs/>
        </w:rPr>
        <w:t xml:space="preserve"> incidence rate</w:t>
      </w:r>
      <w:r w:rsidR="00C8638F" w:rsidRPr="00262487">
        <w:rPr>
          <w:b/>
          <w:bCs/>
        </w:rPr>
        <w:t xml:space="preserve"> </w:t>
      </w:r>
    </w:p>
    <w:p w14:paraId="3A81D0C5" w14:textId="46B9BA6D" w:rsidR="00DF1ACC" w:rsidRDefault="00262487">
      <w:r>
        <w:t xml:space="preserve">Over </w:t>
      </w:r>
      <w:r w:rsidR="00656D86">
        <w:t>a</w:t>
      </w:r>
      <w:r>
        <w:t xml:space="preserve"> period of 101 years (from 2000 to 2100) to simulate</w:t>
      </w:r>
      <w:r w:rsidR="00285FF3">
        <w:t xml:space="preserve"> in</w:t>
      </w:r>
      <w:r>
        <w:t xml:space="preserve"> the model, the underlying incidence rate is unlikely to remain constant, we implement two ways to factor in the time-dependent variance in </w:t>
      </w:r>
      <w:r w:rsidR="002F2050">
        <w:t xml:space="preserve">the spatial </w:t>
      </w:r>
      <w:r>
        <w:t>incidence rate</w:t>
      </w:r>
      <w:r w:rsidR="00EE2EA8">
        <w:t>s</w:t>
      </w:r>
      <w:r>
        <w:t xml:space="preserve">. </w:t>
      </w:r>
    </w:p>
    <w:p w14:paraId="5EB738B6" w14:textId="41141E3D" w:rsidR="00AF5AAA" w:rsidRDefault="00AF5AAA"/>
    <w:p w14:paraId="3BD8D756" w14:textId="24A1807E" w:rsidR="000D1CD1" w:rsidRDefault="00C15820">
      <w:r>
        <w:t>First, we assume a</w:t>
      </w:r>
      <w:r w:rsidR="00011910">
        <w:t xml:space="preserve"> deterministic</w:t>
      </w:r>
      <w:r>
        <w:t xml:space="preserve"> log-linear relation between time</w:t>
      </w:r>
      <w:r w:rsidR="009B737F">
        <w:t xml:space="preserve"> (in years)</w:t>
      </w:r>
      <w:r>
        <w:t xml:space="preserve"> and annual incidence rates. </w:t>
      </w:r>
      <w:r w:rsidR="00F22558">
        <w:t xml:space="preserve">A dataset </w:t>
      </w:r>
      <w:r w:rsidR="00D96092">
        <w:t>summarizing WHO-reported annual cholera cases for all available countries and years is developed</w:t>
      </w:r>
      <w:r w:rsidR="006E5134">
        <w:t xml:space="preserve"> initially</w:t>
      </w:r>
      <w:r w:rsidR="00F22558">
        <w:t xml:space="preserve">. </w:t>
      </w:r>
      <w:r w:rsidR="00607EBC">
        <w:t>For</w:t>
      </w:r>
      <w:r w:rsidR="009E0B6C">
        <w:t xml:space="preserve"> countries</w:t>
      </w:r>
      <w:r w:rsidR="00607EBC">
        <w:t xml:space="preserve"> with at least 5 years of WHO annual cholera case data, we develop </w:t>
      </w:r>
      <w:r w:rsidR="009E0B6C">
        <w:t xml:space="preserve">a Poisson regression model </w:t>
      </w:r>
      <w:r w:rsidR="00CB513B">
        <w:t>that</w:t>
      </w:r>
      <w:r w:rsidR="00BA4DBE">
        <w:t xml:space="preserve"> gives us </w:t>
      </w:r>
      <w:r w:rsidR="00D47FC2">
        <w:t xml:space="preserve">the </w:t>
      </w:r>
      <w:r w:rsidR="00BA4DBE">
        <w:t xml:space="preserve">estimated </w:t>
      </w:r>
      <w:r w:rsidR="004F40CB">
        <w:t>annual incidence rates</w:t>
      </w:r>
      <w:r w:rsidR="00842D81">
        <w:t xml:space="preserve"> for each individual country </w:t>
      </w:r>
      <w:r w:rsidR="00A41341">
        <w:t>from 2000 to 2100.</w:t>
      </w:r>
      <w:r w:rsidR="004F40CB">
        <w:t xml:space="preserve"> </w:t>
      </w:r>
      <w:r w:rsidR="008E3D07">
        <w:t xml:space="preserve">For </w:t>
      </w:r>
      <w:r w:rsidR="00B552F6">
        <w:t xml:space="preserve">countries without adequate WHO data or </w:t>
      </w:r>
      <w:r w:rsidR="00F51C9A">
        <w:t xml:space="preserve">with </w:t>
      </w:r>
      <w:r w:rsidR="00B552F6">
        <w:t xml:space="preserve">extreme annual incidence rate estimates from the Poisson regression model, </w:t>
      </w:r>
      <w:r w:rsidR="0005149F">
        <w:t xml:space="preserve">we develop another Poisson regression model </w:t>
      </w:r>
      <w:r w:rsidR="00AF4E0B">
        <w:t xml:space="preserve">uses </w:t>
      </w:r>
      <w:r w:rsidR="002949B5">
        <w:t>case data from all available countries</w:t>
      </w:r>
      <w:r w:rsidR="00C864D6">
        <w:t xml:space="preserve"> in the dataset</w:t>
      </w:r>
      <w:r w:rsidR="002949B5">
        <w:t xml:space="preserve"> </w:t>
      </w:r>
      <w:r w:rsidR="00CC7ABE">
        <w:t>and</w:t>
      </w:r>
      <w:r w:rsidR="00DC0A76">
        <w:t xml:space="preserve"> </w:t>
      </w:r>
      <w:r w:rsidR="00AF4E0B">
        <w:t xml:space="preserve">delivers </w:t>
      </w:r>
      <w:r w:rsidR="002949B5">
        <w:t xml:space="preserve">the global </w:t>
      </w:r>
      <w:r w:rsidR="00AF4E0B">
        <w:t>estimates</w:t>
      </w:r>
      <w:r w:rsidR="00CC7ABE">
        <w:t xml:space="preserve">. </w:t>
      </w:r>
      <w:r w:rsidR="0003413D">
        <w:t xml:space="preserve">To use the year-dependent incidence rate estimates for each country on top of their underlying spatial incidence rate, we assume </w:t>
      </w:r>
      <w:r w:rsidR="00E36F29">
        <w:t>the yearly and spatial incidence rates converge in year 2014—</w:t>
      </w:r>
      <w:r w:rsidR="00792643">
        <w:t xml:space="preserve">for year 2014, the original spatial incidence rate suffices; </w:t>
      </w:r>
      <w:r w:rsidR="00E36F29">
        <w:t xml:space="preserve">for </w:t>
      </w:r>
      <w:r w:rsidR="006C2F31">
        <w:t xml:space="preserve">any </w:t>
      </w:r>
      <w:r w:rsidR="00E36F29">
        <w:t xml:space="preserve">year other than 2014, we calculate a multiplicative scalar relative to 2014 </w:t>
      </w:r>
      <w:r w:rsidR="0016336E">
        <w:t xml:space="preserve">solely </w:t>
      </w:r>
      <w:r w:rsidR="00792643">
        <w:t>based</w:t>
      </w:r>
      <w:r w:rsidR="00E36F29">
        <w:t xml:space="preserve"> the yearly estimated incidence rates</w:t>
      </w:r>
      <w:r w:rsidR="006C2F31">
        <w:t xml:space="preserve"> and multiply it with the spatial incidence rate as the new spatial estimate for that year. </w:t>
      </w:r>
    </w:p>
    <w:p w14:paraId="70868410" w14:textId="73853BBE" w:rsidR="00442724" w:rsidRDefault="00442724"/>
    <w:p w14:paraId="5951D172" w14:textId="1DC268E5" w:rsidR="00442724" w:rsidRDefault="00442724">
      <w:r>
        <w:t xml:space="preserve">Second, we implement the district-level </w:t>
      </w:r>
      <w:r w:rsidR="00E865D5">
        <w:t xml:space="preserve">stochastic </w:t>
      </w:r>
      <w:r>
        <w:t>cholera outbreak layer</w:t>
      </w:r>
      <w:r w:rsidR="000C4921">
        <w:t xml:space="preserve">. </w:t>
      </w:r>
      <w:r w:rsidR="00DD4934">
        <w:t xml:space="preserve">To </w:t>
      </w:r>
      <w:r w:rsidR="009D7815">
        <w:t>estimate</w:t>
      </w:r>
      <w:r w:rsidR="00DD4934">
        <w:t xml:space="preserve"> the district-level outbreak pattern, we adopt a dataset</w:t>
      </w:r>
      <w:r w:rsidR="00142E6C">
        <w:t xml:space="preserve"> from a published paper (</w:t>
      </w:r>
      <w:hyperlink r:id="rId5" w:history="1">
        <w:r w:rsidR="00404ED8" w:rsidRPr="005F7295">
          <w:rPr>
            <w:rStyle w:val="Hyperlink"/>
          </w:rPr>
          <w:t>https://doi.org/10.1101/2021.10.25.21265347</w:t>
        </w:r>
      </w:hyperlink>
      <w:r w:rsidR="00404ED8">
        <w:t>)</w:t>
      </w:r>
      <w:r w:rsidR="00142E6C">
        <w:t xml:space="preserve"> that has </w:t>
      </w:r>
      <w:r w:rsidR="00404ED8">
        <w:t xml:space="preserve">the </w:t>
      </w:r>
      <w:r w:rsidR="00142E6C">
        <w:t xml:space="preserve">outbreak data across different spatial scales from 2010 to 2020. </w:t>
      </w:r>
      <w:r w:rsidR="00A55631">
        <w:t>This outbreak dataset has the</w:t>
      </w:r>
      <w:r w:rsidR="000D1DFA">
        <w:t xml:space="preserve"> outbreak attack rate, </w:t>
      </w:r>
      <w:r w:rsidR="008D7C44">
        <w:t xml:space="preserve">the name of the district where the outbreak happened, </w:t>
      </w:r>
      <w:r w:rsidR="000D1DFA">
        <w:t>the</w:t>
      </w:r>
      <w:r w:rsidR="00A55631">
        <w:t xml:space="preserve"> </w:t>
      </w:r>
      <w:r w:rsidR="00774261">
        <w:t>threshold incidence rate</w:t>
      </w:r>
      <w:r w:rsidR="006C734E">
        <w:t>, which is</w:t>
      </w:r>
      <w:r w:rsidR="00A55631">
        <w:t xml:space="preserve"> </w:t>
      </w:r>
      <w:r w:rsidR="006C734E">
        <w:t>used to determine whether an outbreak happened in one district</w:t>
      </w:r>
      <w:r w:rsidR="000D1DFA">
        <w:t>—an outbreak should have an attack rate well above the threshold incidence rate</w:t>
      </w:r>
      <w:r w:rsidR="00802414">
        <w:t xml:space="preserve"> (more detailed definition of an outbreak period can be found in the paper)</w:t>
      </w:r>
      <w:r w:rsidR="000D1DFA">
        <w:t>, the outbreak time</w:t>
      </w:r>
      <w:r w:rsidR="00234560">
        <w:t>, and the outbreak duration</w:t>
      </w:r>
      <w:r w:rsidR="00A55631">
        <w:t xml:space="preserve">. </w:t>
      </w:r>
      <w:r w:rsidR="002841E8">
        <w:t xml:space="preserve">For countries </w:t>
      </w:r>
      <w:r w:rsidR="00D61803">
        <w:t xml:space="preserve">and districts </w:t>
      </w:r>
      <w:r w:rsidR="002841E8">
        <w:t xml:space="preserve">without outbreak data, we assume that there is no </w:t>
      </w:r>
      <w:r w:rsidR="00AA378C">
        <w:t xml:space="preserve">time-varying outbreak pattern. For countries with outbreak data, </w:t>
      </w:r>
      <w:r w:rsidR="00A55631">
        <w:t>we</w:t>
      </w:r>
      <w:r w:rsidR="00F05022">
        <w:t xml:space="preserve"> only </w:t>
      </w:r>
      <w:r w:rsidR="005665E7">
        <w:t>focus on</w:t>
      </w:r>
      <w:r w:rsidR="000B7C98">
        <w:t xml:space="preserve"> the level</w:t>
      </w:r>
      <w:r w:rsidR="005665E7">
        <w:t>-</w:t>
      </w:r>
      <w:r w:rsidR="000B7C98">
        <w:t xml:space="preserve">2 administration </w:t>
      </w:r>
      <w:r w:rsidR="005665E7">
        <w:t xml:space="preserve">districts provided they have the most available data. </w:t>
      </w:r>
      <w:r w:rsidR="00190A2B">
        <w:t xml:space="preserve">We first calculate the </w:t>
      </w:r>
      <w:r w:rsidR="003467CC">
        <w:t>duration</w:t>
      </w:r>
      <w:r w:rsidR="00190A2B">
        <w:t xml:space="preserve">-weighted mean </w:t>
      </w:r>
      <w:r w:rsidR="00EA20B7">
        <w:t xml:space="preserve">incidence </w:t>
      </w:r>
      <w:r w:rsidR="00EA20B7">
        <w:lastRenderedPageBreak/>
        <w:t>rate over the outbreak periods and non-outbreak periods across all level-2 administration districts</w:t>
      </w:r>
      <w:r w:rsidR="005F1A95">
        <w:t xml:space="preserve">, then divide the outbreak and threshold incidence rate by the mean incidence rate </w:t>
      </w:r>
      <w:r w:rsidR="00FF2CE0">
        <w:t xml:space="preserve">to calculate outbreak scalar and threshold scalar for each district. </w:t>
      </w:r>
      <w:r w:rsidR="00852F08">
        <w:t>The annual probability of outbreak in each district is calculated by dividing the number of outbreaks</w:t>
      </w:r>
      <w:r w:rsidR="00E165D5">
        <w:t xml:space="preserve"> observed in that district</w:t>
      </w:r>
      <w:r w:rsidR="00852F08">
        <w:t xml:space="preserve"> by </w:t>
      </w:r>
      <w:r w:rsidR="00AE1791">
        <w:t xml:space="preserve">the </w:t>
      </w:r>
      <w:r w:rsidR="00852F08">
        <w:t xml:space="preserve">10-year </w:t>
      </w:r>
      <w:r w:rsidR="00AE1791">
        <w:t xml:space="preserve">period of observation. </w:t>
      </w:r>
    </w:p>
    <w:p w14:paraId="463EDA27" w14:textId="7443F683" w:rsidR="00EE7805" w:rsidRDefault="00EE7805"/>
    <w:p w14:paraId="6E54F274" w14:textId="55F41160" w:rsidR="00EE7805" w:rsidRDefault="001C0845">
      <w:r>
        <w:t>For each level-2 administration district, t</w:t>
      </w:r>
      <w:r w:rsidR="00362340">
        <w:t xml:space="preserve">he </w:t>
      </w:r>
      <w:r w:rsidR="00EE679E">
        <w:t xml:space="preserve">spatial </w:t>
      </w:r>
      <w:r w:rsidR="00362340">
        <w:t>outbreak multiplier</w:t>
      </w:r>
      <w:r>
        <w:t>s</w:t>
      </w:r>
      <w:r w:rsidR="00362340">
        <w:t xml:space="preserve"> are generated </w:t>
      </w:r>
      <w:r>
        <w:t xml:space="preserve">over the first decade in the period from 2000 to 2100 and repeatedly used </w:t>
      </w:r>
      <w:r w:rsidR="009562D9">
        <w:t>for the rest of the years</w:t>
      </w:r>
      <w:r w:rsidR="00970507">
        <w:t xml:space="preserve"> following the </w:t>
      </w:r>
      <w:r w:rsidR="00970507" w:rsidRPr="00970507">
        <w:t>decennial</w:t>
      </w:r>
      <w:r w:rsidR="00970507">
        <w:t xml:space="preserve"> pattern, e.g., the same outbreak multiplier is applied to 2001, 2011, 2021, </w:t>
      </w:r>
      <w:r w:rsidR="00276293">
        <w:t>etc.</w:t>
      </w:r>
      <w:r w:rsidR="00970507">
        <w:t xml:space="preserve"> </w:t>
      </w:r>
      <w:r w:rsidR="00276293">
        <w:t xml:space="preserve">Given there are 50 sets of stochastic underlying spatial incidence rate, the outbreak multipliers are generated </w:t>
      </w:r>
      <w:r w:rsidR="003730E8">
        <w:t xml:space="preserve">in correspondence to each layer individually. </w:t>
      </w:r>
      <w:r w:rsidR="00F741A2">
        <w:t xml:space="preserve">Prior to assigning values, an empty set of spatial multipliers is initialized with the only value “1”. </w:t>
      </w:r>
      <w:r w:rsidR="00B97CA8">
        <w:t xml:space="preserve">In the process of generating </w:t>
      </w:r>
      <w:r w:rsidR="0078667E">
        <w:t>an</w:t>
      </w:r>
      <w:r w:rsidR="00B97CA8">
        <w:t xml:space="preserve"> outbreak multiplier given a certain year, a certain layer of spatial incidence rate, and a certain level-2 administration district, an outbreak </w:t>
      </w:r>
      <w:r w:rsidR="008A465B">
        <w:t>check is passed first based on the outbreak probability: if an outbreak is supposed to happen, the</w:t>
      </w:r>
      <w:r w:rsidR="001C6C3D">
        <w:t>n the</w:t>
      </w:r>
      <w:r w:rsidR="008A465B">
        <w:t xml:space="preserve"> pre-calculated </w:t>
      </w:r>
      <w:r w:rsidR="00EE679E">
        <w:t>outbreak scalar will be applied to where the district belongs to on the spatial outbreak multiplier</w:t>
      </w:r>
      <w:r w:rsidR="00DB5367">
        <w:t xml:space="preserve"> while </w:t>
      </w:r>
      <w:r w:rsidR="005C2D9C">
        <w:t xml:space="preserve">the </w:t>
      </w:r>
      <w:r w:rsidR="00DB5367">
        <w:t>other districts remain unchanged</w:t>
      </w:r>
      <w:r w:rsidR="00EE679E">
        <w:t xml:space="preserve">; if an outbreak is not supposed to happen, the pre-calculated threshold scalar will be applied instead. </w:t>
      </w:r>
      <w:r w:rsidR="00C71409">
        <w:t xml:space="preserve">It’s worth noting that </w:t>
      </w:r>
      <w:r w:rsidR="00735397">
        <w:t xml:space="preserve">for districts without any temporal outbreak patterns, the initial value “1” will remain on the spatial outbreak multiplier alongside other districts. </w:t>
      </w:r>
    </w:p>
    <w:p w14:paraId="6FA8DECB" w14:textId="77777777" w:rsidR="00DE4C79" w:rsidRDefault="00DE4C79"/>
    <w:p w14:paraId="685491F4" w14:textId="338FE995" w:rsidR="00EF4221" w:rsidRPr="00873167" w:rsidRDefault="00D53D19">
      <w:pPr>
        <w:rPr>
          <w:b/>
          <w:bCs/>
        </w:rPr>
      </w:pPr>
      <w:r w:rsidRPr="00873167">
        <w:rPr>
          <w:b/>
          <w:bCs/>
        </w:rPr>
        <w:t xml:space="preserve">Vaccination campaign </w:t>
      </w:r>
      <w:r w:rsidR="00DD648C">
        <w:rPr>
          <w:b/>
          <w:bCs/>
        </w:rPr>
        <w:t>strategy, indirect effects, and</w:t>
      </w:r>
      <w:r w:rsidR="001C5720" w:rsidRPr="00873167">
        <w:rPr>
          <w:b/>
          <w:bCs/>
        </w:rPr>
        <w:t xml:space="preserve"> waning effectiveness </w:t>
      </w:r>
    </w:p>
    <w:p w14:paraId="494877C7" w14:textId="21FE43FB" w:rsidR="001C5720" w:rsidRDefault="000050A2">
      <w:r>
        <w:t xml:space="preserve">The vaccination campaign is hypothesized to be undertaken </w:t>
      </w:r>
      <w:r w:rsidR="00B17821">
        <w:t>on the district level in each country</w:t>
      </w:r>
      <w:r>
        <w:t>.</w:t>
      </w:r>
      <w:r w:rsidR="00B17821">
        <w:t xml:space="preserve"> </w:t>
      </w:r>
      <w:r w:rsidR="00B102B1">
        <w:t xml:space="preserve">First, the </w:t>
      </w:r>
      <w:r w:rsidR="003E0132">
        <w:t xml:space="preserve">level-2 administration </w:t>
      </w:r>
      <w:r w:rsidR="00B102B1">
        <w:t>districts are ranked based on the size of population affected by cholera.</w:t>
      </w:r>
      <w:r w:rsidR="007262AE">
        <w:t xml:space="preserve"> The affected population</w:t>
      </w:r>
      <w:r w:rsidR="006467C5">
        <w:t xml:space="preserve"> size</w:t>
      </w:r>
      <w:r w:rsidR="007262AE">
        <w:t xml:space="preserve"> is calculated by multiplying the </w:t>
      </w:r>
      <w:r w:rsidR="00EE451B">
        <w:t xml:space="preserve">5 km by 5 km </w:t>
      </w:r>
      <w:r w:rsidR="007262AE">
        <w:t>spatial population data</w:t>
      </w:r>
      <w:r w:rsidR="007C2682">
        <w:t xml:space="preserve"> in 2020</w:t>
      </w:r>
      <w:r w:rsidR="007262AE">
        <w:t xml:space="preserve"> with the mean spatial incidence rate in each district</w:t>
      </w:r>
      <w:r w:rsidR="006E671F">
        <w:t>, which is from the published study</w:t>
      </w:r>
      <w:r w:rsidR="002D7489">
        <w:t xml:space="preserve"> (</w:t>
      </w:r>
      <w:hyperlink r:id="rId6" w:history="1">
        <w:r w:rsidR="002D7489" w:rsidRPr="00B64435">
          <w:rPr>
            <w:rStyle w:val="Hyperlink"/>
          </w:rPr>
          <w:t>https://doi.org/10.1016/S0140-6736(17)33050-7</w:t>
        </w:r>
      </w:hyperlink>
      <w:r w:rsidR="002D7489">
        <w:t xml:space="preserve">) </w:t>
      </w:r>
      <w:r w:rsidR="006E671F">
        <w:t>as well</w:t>
      </w:r>
      <w:r w:rsidR="007262AE">
        <w:t xml:space="preserve">. </w:t>
      </w:r>
      <w:r w:rsidR="0072273E">
        <w:t xml:space="preserve">Second, the vaccines are given to </w:t>
      </w:r>
      <w:r w:rsidR="001924FD">
        <w:t xml:space="preserve">the </w:t>
      </w:r>
      <w:r w:rsidR="0072273E">
        <w:t xml:space="preserve">highest-ranking districts to fully cover their population until none is left. </w:t>
      </w:r>
      <w:r w:rsidR="00E83230">
        <w:t>The vaccination coverage data is provided by VIMC</w:t>
      </w:r>
      <w:r w:rsidR="00C95F04">
        <w:t xml:space="preserve">, including vaccination year, </w:t>
      </w:r>
      <w:r w:rsidR="003559E9">
        <w:t>target population, coverage, and fully vaccinated people (target population times coverage)</w:t>
      </w:r>
      <w:r w:rsidR="00E83230">
        <w:t xml:space="preserve">. </w:t>
      </w:r>
      <w:r w:rsidR="004D2377">
        <w:t>In each vaccination campaign year, g</w:t>
      </w:r>
      <w:r w:rsidR="00EE451B">
        <w:t>iven the limited vaccines, not all level-2 districts can</w:t>
      </w:r>
      <w:r w:rsidR="007E237E">
        <w:t xml:space="preserve"> have their whole population fully vaccinated, there are almost always districts not receiving any vaccines and one district partially vaccinated because of the vaccination strategy we implement. </w:t>
      </w:r>
      <w:r w:rsidR="004D2377">
        <w:t xml:space="preserve">Additionally, if the vaccination campaigns are undertaken in adjacent years, we </w:t>
      </w:r>
      <w:r w:rsidR="006D234B">
        <w:t>will not vaccinate a vaccinated</w:t>
      </w:r>
      <w:r w:rsidR="0082666F">
        <w:t xml:space="preserve"> (fully or partially)</w:t>
      </w:r>
      <w:r w:rsidR="006D234B">
        <w:t xml:space="preserve"> district again during the following three years. </w:t>
      </w:r>
    </w:p>
    <w:p w14:paraId="0AC33026" w14:textId="7D1AD37B" w:rsidR="00273641" w:rsidRDefault="00273641"/>
    <w:p w14:paraId="092FFFF0" w14:textId="2D996026" w:rsidR="00273641" w:rsidRDefault="00845FC5">
      <w:r>
        <w:t xml:space="preserve">The vaccines are assumed to directly reduce the </w:t>
      </w:r>
      <w:r w:rsidR="00890261">
        <w:t xml:space="preserve">proportion of </w:t>
      </w:r>
      <w:r>
        <w:t xml:space="preserve">population susceptible to cholera infection, </w:t>
      </w:r>
      <w:r w:rsidR="007D62D1">
        <w:t xml:space="preserve">in the meanwhile, the indirect protection of the vaccines </w:t>
      </w:r>
      <w:r w:rsidR="00797D3E">
        <w:t>and</w:t>
      </w:r>
      <w:r w:rsidR="007D62D1">
        <w:t xml:space="preserve"> </w:t>
      </w:r>
      <w:r w:rsidR="006417A8">
        <w:t>the</w:t>
      </w:r>
      <w:r w:rsidR="007D62D1">
        <w:t xml:space="preserve"> waning effectiveness are </w:t>
      </w:r>
      <w:r w:rsidR="00051066">
        <w:t xml:space="preserve">also </w:t>
      </w:r>
      <w:r w:rsidR="007D62D1">
        <w:t xml:space="preserve">considered. </w:t>
      </w:r>
      <w:r w:rsidR="0035002A">
        <w:t xml:space="preserve">To facilitate the mechanism of vaccination campaign bringing indirect protection to the unvaccinated, we assume that </w:t>
      </w:r>
      <w:r w:rsidR="00E267F0">
        <w:t>a certain vaccination coverage level will reduce the underlying spatial cholera incidence rate in each level-2 administration district.</w:t>
      </w:r>
      <w:r w:rsidR="001232A7">
        <w:t xml:space="preserve"> </w:t>
      </w:r>
      <w:r w:rsidR="00285011">
        <w:t xml:space="preserve">We </w:t>
      </w:r>
      <w:r w:rsidR="00E45CF1">
        <w:t>select</w:t>
      </w:r>
      <w:r w:rsidR="00285011">
        <w:t xml:space="preserve"> two published studies</w:t>
      </w:r>
      <w:r w:rsidR="00416728">
        <w:t xml:space="preserve"> (DOI)</w:t>
      </w:r>
      <w:r w:rsidR="00285011">
        <w:t xml:space="preserve"> that reported a range of cholera vaccine coverage levels and the corresponding incidence rates in each unvaccinated sub-population</w:t>
      </w:r>
      <w:r w:rsidR="00E45CF1">
        <w:t xml:space="preserve">, </w:t>
      </w:r>
      <w:r w:rsidR="00B32972">
        <w:t>combine their data</w:t>
      </w:r>
      <w:r w:rsidR="00E45CF1">
        <w:t>, and develop a logistic regression model based on the data</w:t>
      </w:r>
      <w:r w:rsidR="00240408">
        <w:t xml:space="preserve">, which will inform us the </w:t>
      </w:r>
      <w:r w:rsidR="00240408">
        <w:lastRenderedPageBreak/>
        <w:t>degree of reduction in the spatial incidence rate given a coverage value from any districts</w:t>
      </w:r>
      <w:r w:rsidR="00E45CF1">
        <w:t xml:space="preserve">. </w:t>
      </w:r>
      <w:r w:rsidR="006A5C09">
        <w:t xml:space="preserve">As for waning effectiveness of the cholera vaccine, we </w:t>
      </w:r>
      <w:r w:rsidR="00A551E0">
        <w:t>use</w:t>
      </w:r>
      <w:r w:rsidR="00D20097">
        <w:t xml:space="preserve"> the data from</w:t>
      </w:r>
      <w:r w:rsidR="006A5C09">
        <w:t xml:space="preserve"> a published meta-analysis</w:t>
      </w:r>
      <w:r w:rsidR="002A2F76">
        <w:t xml:space="preserve"> (</w:t>
      </w:r>
      <w:hyperlink r:id="rId7" w:history="1">
        <w:r w:rsidR="002A2F76" w:rsidRPr="005F7295">
          <w:rPr>
            <w:rStyle w:val="Hyperlink"/>
          </w:rPr>
          <w:t>https://doi.org/10.1016/S1473-3099(17)30359-6</w:t>
        </w:r>
      </w:hyperlink>
      <w:r w:rsidR="002A2F76">
        <w:t>)</w:t>
      </w:r>
      <w:r w:rsidR="00CB3397">
        <w:t xml:space="preserve"> that reported both effectiveness and efficacy</w:t>
      </w:r>
      <w:r w:rsidR="002A2F76">
        <w:t>.</w:t>
      </w:r>
      <w:r w:rsidR="009F5FEC">
        <w:t xml:space="preserve"> </w:t>
      </w:r>
      <w:r w:rsidR="00D20097">
        <w:t>First</w:t>
      </w:r>
      <w:r w:rsidR="009F5FEC">
        <w:t xml:space="preserve">, we subset the data </w:t>
      </w:r>
      <w:r w:rsidR="00D20097">
        <w:t>with no missing value for</w:t>
      </w:r>
      <w:r w:rsidR="009F5FEC">
        <w:t xml:space="preserve"> mean efficacy, upper </w:t>
      </w:r>
      <w:r w:rsidR="00536EDC">
        <w:t>bond</w:t>
      </w:r>
      <w:r w:rsidR="009F5FEC">
        <w:t xml:space="preserve"> of efficacy, lower </w:t>
      </w:r>
      <w:r w:rsidR="00536EDC">
        <w:t xml:space="preserve">bond of efficacy, standard error, and the period over which the efficacy was measured after people were fully vaccinated. </w:t>
      </w:r>
      <w:r w:rsidR="00AA0E23">
        <w:t xml:space="preserve">Second, a simple linear regression is developed with middle time point of the measurement period as the explanatory variable, mean efficacy as the response variable, and the inverse of the standard error squared (variance) as the weight. </w:t>
      </w:r>
      <w:r w:rsidR="008C6DBD">
        <w:t xml:space="preserve">This model is then used to inform the remaining proportion of protected population </w:t>
      </w:r>
      <w:r w:rsidR="005D5290">
        <w:t xml:space="preserve">a certain number of years </w:t>
      </w:r>
      <w:r w:rsidR="008C6DBD">
        <w:t>after</w:t>
      </w:r>
      <w:r w:rsidR="005D5290">
        <w:t xml:space="preserve"> the vaccination campaign. It’s worth noting that we assume the protection from vaccines doesn’t last for more than 5 years.   </w:t>
      </w:r>
      <w:r w:rsidR="00AA0E23">
        <w:t xml:space="preserve"> </w:t>
      </w:r>
    </w:p>
    <w:p w14:paraId="3EB59E29" w14:textId="77777777" w:rsidR="000C38C8" w:rsidRDefault="000C38C8"/>
    <w:p w14:paraId="213CBC23" w14:textId="16D84796" w:rsidR="001C5720" w:rsidRPr="003816B3" w:rsidRDefault="00E52AD9">
      <w:pPr>
        <w:rPr>
          <w:b/>
          <w:bCs/>
        </w:rPr>
      </w:pPr>
      <w:r w:rsidRPr="003816B3">
        <w:rPr>
          <w:b/>
          <w:bCs/>
        </w:rPr>
        <w:t>Simulation</w:t>
      </w:r>
      <w:r w:rsidR="003D6EBA" w:rsidRPr="003816B3">
        <w:rPr>
          <w:b/>
          <w:bCs/>
        </w:rPr>
        <w:t>, different settings,</w:t>
      </w:r>
      <w:r w:rsidRPr="003816B3">
        <w:rPr>
          <w:b/>
          <w:bCs/>
        </w:rPr>
        <w:t xml:space="preserve"> and </w:t>
      </w:r>
      <w:r w:rsidR="001867AF" w:rsidRPr="003816B3">
        <w:rPr>
          <w:b/>
          <w:bCs/>
        </w:rPr>
        <w:t xml:space="preserve">model output </w:t>
      </w:r>
    </w:p>
    <w:p w14:paraId="45C5E54F" w14:textId="4BE86C01" w:rsidR="00D53D19" w:rsidRDefault="003816B3">
      <w:r>
        <w:t>The simulation is done on the yearly basis from 2000 to 2100</w:t>
      </w:r>
      <w:r w:rsidR="009026F0">
        <w:t xml:space="preserve"> across two counterfactual scenarios: vaccination campaign scenario and no vaccination scenario</w:t>
      </w:r>
      <w:r w:rsidR="00187CAC">
        <w:t>, each with 50 stochastic runs</w:t>
      </w:r>
      <w:r>
        <w:t xml:space="preserve">. </w:t>
      </w:r>
      <w:r w:rsidR="009026F0">
        <w:t xml:space="preserve">For each year, different layers of spatial data and scalars are </w:t>
      </w:r>
      <w:r w:rsidR="004F6960">
        <w:t>aligned</w:t>
      </w:r>
      <w:r w:rsidR="009026F0">
        <w:t xml:space="preserve"> together</w:t>
      </w:r>
      <w:r w:rsidR="004F6960">
        <w:t xml:space="preserve"> and multiplied</w:t>
      </w:r>
      <w:r w:rsidR="009026F0">
        <w:t xml:space="preserve"> to estimate the number of cholera cases, </w:t>
      </w:r>
      <w:r w:rsidR="00737939">
        <w:t>including spatial population</w:t>
      </w:r>
      <w:r w:rsidR="00B80A2A">
        <w:t xml:space="preserve"> (integrated with the temporal change from the VIMC population data)</w:t>
      </w:r>
      <w:r w:rsidR="00737939">
        <w:t xml:space="preserve">, spatial default cholera incidence rate, spatial susceptible population proportion (derived from vaccine coverage data), spatial relative reduction in incidence rate due to the indirect protection from vaccination campaign, spatial outbreak-related incidence rate multiplier, and the </w:t>
      </w:r>
      <w:r w:rsidR="00F040C3">
        <w:t xml:space="preserve">incidence rate temporal trend scalar. </w:t>
      </w:r>
      <w:r w:rsidR="008A5B3C">
        <w:t xml:space="preserve">The stochastic simulations are facilitated multi-layer spatial data, including </w:t>
      </w:r>
      <w:r w:rsidR="009E5331">
        <w:t>the spatial incidence rate and the spatial outbreak-related incidence rate multiplier. E</w:t>
      </w:r>
      <w:r w:rsidR="008A5B3C">
        <w:t xml:space="preserve">ach layer is used for one stochastic run. </w:t>
      </w:r>
      <w:r w:rsidR="00BB5225">
        <w:t xml:space="preserve">Under the no vaccination scenario and among the years when the vaccines have no protective effects on the population under the </w:t>
      </w:r>
      <w:r w:rsidR="00BB5225">
        <w:t>vaccination campaign scenari</w:t>
      </w:r>
      <w:r w:rsidR="00BB5225">
        <w:t xml:space="preserve">o, </w:t>
      </w:r>
      <w:r w:rsidR="00B631E3">
        <w:t xml:space="preserve">the overall population is assumed to be susceptible to cholera infection. </w:t>
      </w:r>
    </w:p>
    <w:p w14:paraId="4F25453B" w14:textId="63DDC21A" w:rsidR="004A002E" w:rsidRDefault="004A002E"/>
    <w:p w14:paraId="7C13B624" w14:textId="77777777" w:rsidR="003B52AE" w:rsidRDefault="00325CA9">
      <w:r>
        <w:t>We consider four different setting</w:t>
      </w:r>
      <w:r w:rsidR="008A6AEC">
        <w:t>s</w:t>
      </w:r>
      <w:r>
        <w:t xml:space="preserve">, each of which has </w:t>
      </w:r>
      <w:r w:rsidR="004C6698">
        <w:t>two scenarios</w:t>
      </w:r>
      <w:r w:rsidR="008A6AEC">
        <w:t xml:space="preserve"> and 100 stochastic simulations</w:t>
      </w:r>
      <w:r w:rsidR="004C6698">
        <w:t xml:space="preserve">. </w:t>
      </w:r>
      <w:r w:rsidR="00455426">
        <w:t xml:space="preserve">These four </w:t>
      </w:r>
      <w:r w:rsidR="00DF073C">
        <w:t xml:space="preserve">settings </w:t>
      </w:r>
      <w:r w:rsidR="00261C17">
        <w:t xml:space="preserve">are different in terms of whether the outbreak-related incidence rate multiplier and the </w:t>
      </w:r>
      <w:r w:rsidR="00080C2C">
        <w:t>incidence rate temporal trend scalar</w:t>
      </w:r>
      <w:r w:rsidR="00080C2C">
        <w:t xml:space="preserve"> are applied. Additionally, they also have different underlying spatial incidence rate given 50 new layers of spatial incidence rate data are randomly drawn from the source for each setting. </w:t>
      </w:r>
      <w:r w:rsidR="00330687">
        <w:t xml:space="preserve">On the side note, the same set of </w:t>
      </w:r>
      <w:r w:rsidR="00330687">
        <w:t>outbreak-related incidence rate multiplier</w:t>
      </w:r>
      <w:r w:rsidR="00330687">
        <w:t xml:space="preserve">s are used for the two settings that have the </w:t>
      </w:r>
      <w:r w:rsidR="00330687">
        <w:t>outbreak-related incidence rate multiplier</w:t>
      </w:r>
      <w:r w:rsidR="00330687">
        <w:t xml:space="preserve"> applied</w:t>
      </w:r>
      <w:r w:rsidR="0056750C">
        <w:t xml:space="preserve"> for the purpose of efficiency</w:t>
      </w:r>
      <w:r w:rsidR="00330687">
        <w:t>.</w:t>
      </w:r>
    </w:p>
    <w:p w14:paraId="6CE466C3" w14:textId="77777777" w:rsidR="003B52AE" w:rsidRDefault="003B52AE"/>
    <w:p w14:paraId="4D6C5169" w14:textId="0B318442" w:rsidR="004A002E" w:rsidRDefault="007D6331">
      <w:r>
        <w:t xml:space="preserve">With the estimated number of cholera cases in each country, we can then calculate the number of death and </w:t>
      </w:r>
      <w:r w:rsidR="00FF2A1F">
        <w:t>d</w:t>
      </w:r>
      <w:r w:rsidR="00FF2A1F" w:rsidRPr="00FF2A1F">
        <w:t>isability-adjusted life years (DALYs)</w:t>
      </w:r>
      <w:r w:rsidR="00FF2A1F">
        <w:t xml:space="preserve"> </w:t>
      </w:r>
      <w:r>
        <w:t>related to cholera infection</w:t>
      </w:r>
      <w:r>
        <w:t xml:space="preserve">. </w:t>
      </w:r>
      <w:r w:rsidR="0043232C">
        <w:t xml:space="preserve">The </w:t>
      </w:r>
      <w:r w:rsidR="00EE1A68">
        <w:t xml:space="preserve">country-specific </w:t>
      </w:r>
      <w:r w:rsidR="0043232C">
        <w:t xml:space="preserve">case fatality ratio (CFR) data is from WHO (source), </w:t>
      </w:r>
      <w:r w:rsidR="00EE1A68">
        <w:t xml:space="preserve">which is used to multiply with the number of cases to calculate the number of deaths. For the countries without CFR data or with CFR data higher than 0.07, we aggregate all the cholera case and death data from WHO and calculate an overall CFR, which is then used </w:t>
      </w:r>
      <w:r w:rsidR="00910EF2">
        <w:t xml:space="preserve">on those countries. </w:t>
      </w:r>
      <w:r w:rsidR="00306BD4">
        <w:t>Cholera-related DALYs is calculated using the data provided by VIMC</w:t>
      </w:r>
      <w:r w:rsidR="009A28AF">
        <w:t xml:space="preserve"> (source)</w:t>
      </w:r>
      <w:r w:rsidR="00306BD4">
        <w:t xml:space="preserve">. </w:t>
      </w:r>
    </w:p>
    <w:p w14:paraId="5D1DE09C" w14:textId="77777777" w:rsidR="00D53D19" w:rsidRDefault="00D53D19"/>
    <w:sectPr w:rsidR="00D53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3A4"/>
    <w:rsid w:val="00003E46"/>
    <w:rsid w:val="000050A2"/>
    <w:rsid w:val="00011910"/>
    <w:rsid w:val="0001386D"/>
    <w:rsid w:val="0003413D"/>
    <w:rsid w:val="00051066"/>
    <w:rsid w:val="0005149F"/>
    <w:rsid w:val="00080C2C"/>
    <w:rsid w:val="000B1832"/>
    <w:rsid w:val="000B7C98"/>
    <w:rsid w:val="000C38C8"/>
    <w:rsid w:val="000C4921"/>
    <w:rsid w:val="000D1CD1"/>
    <w:rsid w:val="000D1DFA"/>
    <w:rsid w:val="001232A7"/>
    <w:rsid w:val="00142E6C"/>
    <w:rsid w:val="0016336E"/>
    <w:rsid w:val="001867AF"/>
    <w:rsid w:val="00187CAC"/>
    <w:rsid w:val="00190A2B"/>
    <w:rsid w:val="001924FD"/>
    <w:rsid w:val="00193B73"/>
    <w:rsid w:val="001C0845"/>
    <w:rsid w:val="001C5720"/>
    <w:rsid w:val="001C6C3D"/>
    <w:rsid w:val="00226BD6"/>
    <w:rsid w:val="002273ED"/>
    <w:rsid w:val="00234560"/>
    <w:rsid w:val="00240408"/>
    <w:rsid w:val="00261C17"/>
    <w:rsid w:val="00262487"/>
    <w:rsid w:val="00273641"/>
    <w:rsid w:val="00276293"/>
    <w:rsid w:val="002841E8"/>
    <w:rsid w:val="00285011"/>
    <w:rsid w:val="00285FF3"/>
    <w:rsid w:val="00286FB8"/>
    <w:rsid w:val="002949B5"/>
    <w:rsid w:val="002A2F76"/>
    <w:rsid w:val="002B1D4B"/>
    <w:rsid w:val="002D7489"/>
    <w:rsid w:val="002E2A4B"/>
    <w:rsid w:val="002F2050"/>
    <w:rsid w:val="00306BD4"/>
    <w:rsid w:val="00316BAC"/>
    <w:rsid w:val="00325CA9"/>
    <w:rsid w:val="00330687"/>
    <w:rsid w:val="003467CC"/>
    <w:rsid w:val="0035002A"/>
    <w:rsid w:val="003559E9"/>
    <w:rsid w:val="00362340"/>
    <w:rsid w:val="003730E8"/>
    <w:rsid w:val="003816B3"/>
    <w:rsid w:val="0039038F"/>
    <w:rsid w:val="003B52AE"/>
    <w:rsid w:val="003C1E5A"/>
    <w:rsid w:val="003D6EBA"/>
    <w:rsid w:val="003E0132"/>
    <w:rsid w:val="003E443C"/>
    <w:rsid w:val="003F5756"/>
    <w:rsid w:val="00404ED8"/>
    <w:rsid w:val="00416728"/>
    <w:rsid w:val="0043232C"/>
    <w:rsid w:val="00442724"/>
    <w:rsid w:val="00455426"/>
    <w:rsid w:val="004952BB"/>
    <w:rsid w:val="004A002E"/>
    <w:rsid w:val="004C6698"/>
    <w:rsid w:val="004D2377"/>
    <w:rsid w:val="004F40CB"/>
    <w:rsid w:val="004F6960"/>
    <w:rsid w:val="005107A0"/>
    <w:rsid w:val="00536EDC"/>
    <w:rsid w:val="005665E7"/>
    <w:rsid w:val="0056750C"/>
    <w:rsid w:val="00572E58"/>
    <w:rsid w:val="005A13C1"/>
    <w:rsid w:val="005A38F7"/>
    <w:rsid w:val="005A7DD5"/>
    <w:rsid w:val="005C2D9C"/>
    <w:rsid w:val="005D5290"/>
    <w:rsid w:val="005F1A95"/>
    <w:rsid w:val="00607EBC"/>
    <w:rsid w:val="006417A8"/>
    <w:rsid w:val="006467C5"/>
    <w:rsid w:val="00656D86"/>
    <w:rsid w:val="006A5C09"/>
    <w:rsid w:val="006C2F31"/>
    <w:rsid w:val="006C734E"/>
    <w:rsid w:val="006D234B"/>
    <w:rsid w:val="006D2ED4"/>
    <w:rsid w:val="006E5134"/>
    <w:rsid w:val="006E671F"/>
    <w:rsid w:val="0072273E"/>
    <w:rsid w:val="00723B8B"/>
    <w:rsid w:val="007262AE"/>
    <w:rsid w:val="00735397"/>
    <w:rsid w:val="00737939"/>
    <w:rsid w:val="00774261"/>
    <w:rsid w:val="0078667E"/>
    <w:rsid w:val="00792643"/>
    <w:rsid w:val="00797D3E"/>
    <w:rsid w:val="007C0382"/>
    <w:rsid w:val="007C2682"/>
    <w:rsid w:val="007D62D1"/>
    <w:rsid w:val="007D6331"/>
    <w:rsid w:val="007E237E"/>
    <w:rsid w:val="00802414"/>
    <w:rsid w:val="00810AE3"/>
    <w:rsid w:val="0082666F"/>
    <w:rsid w:val="00827F98"/>
    <w:rsid w:val="00842D81"/>
    <w:rsid w:val="00845FC5"/>
    <w:rsid w:val="00852F08"/>
    <w:rsid w:val="00873167"/>
    <w:rsid w:val="008768D7"/>
    <w:rsid w:val="00890261"/>
    <w:rsid w:val="00890417"/>
    <w:rsid w:val="008A465B"/>
    <w:rsid w:val="008A480B"/>
    <w:rsid w:val="008A5B3C"/>
    <w:rsid w:val="008A6AEC"/>
    <w:rsid w:val="008C6DBD"/>
    <w:rsid w:val="008D7C44"/>
    <w:rsid w:val="008E3D07"/>
    <w:rsid w:val="009026F0"/>
    <w:rsid w:val="00910EF2"/>
    <w:rsid w:val="00946452"/>
    <w:rsid w:val="009562D9"/>
    <w:rsid w:val="00970507"/>
    <w:rsid w:val="009A28AF"/>
    <w:rsid w:val="009B737F"/>
    <w:rsid w:val="009C4495"/>
    <w:rsid w:val="009D7815"/>
    <w:rsid w:val="009E0B6C"/>
    <w:rsid w:val="009E2712"/>
    <w:rsid w:val="009E5331"/>
    <w:rsid w:val="009F5FEC"/>
    <w:rsid w:val="00A41341"/>
    <w:rsid w:val="00A549D4"/>
    <w:rsid w:val="00A551E0"/>
    <w:rsid w:val="00A55631"/>
    <w:rsid w:val="00A60987"/>
    <w:rsid w:val="00AA0E23"/>
    <w:rsid w:val="00AA378C"/>
    <w:rsid w:val="00AB63A4"/>
    <w:rsid w:val="00AE1791"/>
    <w:rsid w:val="00AF4E0B"/>
    <w:rsid w:val="00AF5AAA"/>
    <w:rsid w:val="00B03E9F"/>
    <w:rsid w:val="00B102B1"/>
    <w:rsid w:val="00B17821"/>
    <w:rsid w:val="00B32972"/>
    <w:rsid w:val="00B44417"/>
    <w:rsid w:val="00B552F6"/>
    <w:rsid w:val="00B631E3"/>
    <w:rsid w:val="00B64435"/>
    <w:rsid w:val="00B71DC4"/>
    <w:rsid w:val="00B80A2A"/>
    <w:rsid w:val="00B97CA8"/>
    <w:rsid w:val="00BA4DBE"/>
    <w:rsid w:val="00BB3DCA"/>
    <w:rsid w:val="00BB5225"/>
    <w:rsid w:val="00C15820"/>
    <w:rsid w:val="00C260B8"/>
    <w:rsid w:val="00C71409"/>
    <w:rsid w:val="00C8638F"/>
    <w:rsid w:val="00C864D6"/>
    <w:rsid w:val="00C95F04"/>
    <w:rsid w:val="00CB3397"/>
    <w:rsid w:val="00CB513B"/>
    <w:rsid w:val="00CC7ABE"/>
    <w:rsid w:val="00CD6CE3"/>
    <w:rsid w:val="00D20097"/>
    <w:rsid w:val="00D21891"/>
    <w:rsid w:val="00D22FD0"/>
    <w:rsid w:val="00D47FC2"/>
    <w:rsid w:val="00D52D88"/>
    <w:rsid w:val="00D53D19"/>
    <w:rsid w:val="00D61803"/>
    <w:rsid w:val="00D96092"/>
    <w:rsid w:val="00DB5367"/>
    <w:rsid w:val="00DC0A76"/>
    <w:rsid w:val="00DD4934"/>
    <w:rsid w:val="00DD648C"/>
    <w:rsid w:val="00DE4C79"/>
    <w:rsid w:val="00DF073C"/>
    <w:rsid w:val="00DF1ACC"/>
    <w:rsid w:val="00E165D5"/>
    <w:rsid w:val="00E2389B"/>
    <w:rsid w:val="00E267F0"/>
    <w:rsid w:val="00E36F29"/>
    <w:rsid w:val="00E45CF1"/>
    <w:rsid w:val="00E52AD9"/>
    <w:rsid w:val="00E737D3"/>
    <w:rsid w:val="00E83230"/>
    <w:rsid w:val="00E84484"/>
    <w:rsid w:val="00E865D5"/>
    <w:rsid w:val="00E87FB3"/>
    <w:rsid w:val="00EA20B7"/>
    <w:rsid w:val="00EE1A68"/>
    <w:rsid w:val="00EE2EA8"/>
    <w:rsid w:val="00EE32CA"/>
    <w:rsid w:val="00EE451B"/>
    <w:rsid w:val="00EE679E"/>
    <w:rsid w:val="00EE7805"/>
    <w:rsid w:val="00EF4221"/>
    <w:rsid w:val="00F040C3"/>
    <w:rsid w:val="00F05022"/>
    <w:rsid w:val="00F22558"/>
    <w:rsid w:val="00F51C9A"/>
    <w:rsid w:val="00F57739"/>
    <w:rsid w:val="00F741A2"/>
    <w:rsid w:val="00FF2A1F"/>
    <w:rsid w:val="00FF2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E01F33"/>
  <w15:chartTrackingRefBased/>
  <w15:docId w15:val="{E753EDAB-2B74-5B4A-8A75-23A8565D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435"/>
    <w:rPr>
      <w:color w:val="0563C1" w:themeColor="hyperlink"/>
      <w:u w:val="single"/>
    </w:rPr>
  </w:style>
  <w:style w:type="character" w:styleId="UnresolvedMention">
    <w:name w:val="Unresolved Mention"/>
    <w:basedOn w:val="DefaultParagraphFont"/>
    <w:uiPriority w:val="99"/>
    <w:semiHidden/>
    <w:unhideWhenUsed/>
    <w:rsid w:val="00B64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55281">
      <w:bodyDiv w:val="1"/>
      <w:marLeft w:val="0"/>
      <w:marRight w:val="0"/>
      <w:marTop w:val="0"/>
      <w:marBottom w:val="0"/>
      <w:divBdr>
        <w:top w:val="none" w:sz="0" w:space="0" w:color="auto"/>
        <w:left w:val="none" w:sz="0" w:space="0" w:color="auto"/>
        <w:bottom w:val="none" w:sz="0" w:space="0" w:color="auto"/>
        <w:right w:val="none" w:sz="0" w:space="0" w:color="auto"/>
      </w:divBdr>
    </w:div>
    <w:div w:id="887956485">
      <w:bodyDiv w:val="1"/>
      <w:marLeft w:val="0"/>
      <w:marRight w:val="0"/>
      <w:marTop w:val="0"/>
      <w:marBottom w:val="0"/>
      <w:divBdr>
        <w:top w:val="none" w:sz="0" w:space="0" w:color="auto"/>
        <w:left w:val="none" w:sz="0" w:space="0" w:color="auto"/>
        <w:bottom w:val="none" w:sz="0" w:space="0" w:color="auto"/>
        <w:right w:val="none" w:sz="0" w:space="0" w:color="auto"/>
      </w:divBdr>
    </w:div>
    <w:div w:id="1024133949">
      <w:bodyDiv w:val="1"/>
      <w:marLeft w:val="0"/>
      <w:marRight w:val="0"/>
      <w:marTop w:val="0"/>
      <w:marBottom w:val="0"/>
      <w:divBdr>
        <w:top w:val="none" w:sz="0" w:space="0" w:color="auto"/>
        <w:left w:val="none" w:sz="0" w:space="0" w:color="auto"/>
        <w:bottom w:val="none" w:sz="0" w:space="0" w:color="auto"/>
        <w:right w:val="none" w:sz="0" w:space="0" w:color="auto"/>
      </w:divBdr>
    </w:div>
    <w:div w:id="1308629816">
      <w:bodyDiv w:val="1"/>
      <w:marLeft w:val="0"/>
      <w:marRight w:val="0"/>
      <w:marTop w:val="0"/>
      <w:marBottom w:val="0"/>
      <w:divBdr>
        <w:top w:val="none" w:sz="0" w:space="0" w:color="auto"/>
        <w:left w:val="none" w:sz="0" w:space="0" w:color="auto"/>
        <w:bottom w:val="none" w:sz="0" w:space="0" w:color="auto"/>
        <w:right w:val="none" w:sz="0" w:space="0" w:color="auto"/>
      </w:divBdr>
    </w:div>
    <w:div w:id="1310473480">
      <w:bodyDiv w:val="1"/>
      <w:marLeft w:val="0"/>
      <w:marRight w:val="0"/>
      <w:marTop w:val="0"/>
      <w:marBottom w:val="0"/>
      <w:divBdr>
        <w:top w:val="none" w:sz="0" w:space="0" w:color="auto"/>
        <w:left w:val="none" w:sz="0" w:space="0" w:color="auto"/>
        <w:bottom w:val="none" w:sz="0" w:space="0" w:color="auto"/>
        <w:right w:val="none" w:sz="0" w:space="0" w:color="auto"/>
      </w:divBdr>
    </w:div>
    <w:div w:id="1393773241">
      <w:bodyDiv w:val="1"/>
      <w:marLeft w:val="0"/>
      <w:marRight w:val="0"/>
      <w:marTop w:val="0"/>
      <w:marBottom w:val="0"/>
      <w:divBdr>
        <w:top w:val="none" w:sz="0" w:space="0" w:color="auto"/>
        <w:left w:val="none" w:sz="0" w:space="0" w:color="auto"/>
        <w:bottom w:val="none" w:sz="0" w:space="0" w:color="auto"/>
        <w:right w:val="none" w:sz="0" w:space="0" w:color="auto"/>
      </w:divBdr>
    </w:div>
    <w:div w:id="1727952404">
      <w:bodyDiv w:val="1"/>
      <w:marLeft w:val="0"/>
      <w:marRight w:val="0"/>
      <w:marTop w:val="0"/>
      <w:marBottom w:val="0"/>
      <w:divBdr>
        <w:top w:val="none" w:sz="0" w:space="0" w:color="auto"/>
        <w:left w:val="none" w:sz="0" w:space="0" w:color="auto"/>
        <w:bottom w:val="none" w:sz="0" w:space="0" w:color="auto"/>
        <w:right w:val="none" w:sz="0" w:space="0" w:color="auto"/>
      </w:divBdr>
    </w:div>
    <w:div w:id="1915507253">
      <w:bodyDiv w:val="1"/>
      <w:marLeft w:val="0"/>
      <w:marRight w:val="0"/>
      <w:marTop w:val="0"/>
      <w:marBottom w:val="0"/>
      <w:divBdr>
        <w:top w:val="none" w:sz="0" w:space="0" w:color="auto"/>
        <w:left w:val="none" w:sz="0" w:space="0" w:color="auto"/>
        <w:bottom w:val="none" w:sz="0" w:space="0" w:color="auto"/>
        <w:right w:val="none" w:sz="0" w:space="0" w:color="auto"/>
      </w:divBdr>
    </w:div>
    <w:div w:id="214184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16/S1473-3099(17)30359-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S0140-6736(17)33050-7" TargetMode="External"/><Relationship Id="rId5" Type="http://schemas.openxmlformats.org/officeDocument/2006/relationships/hyperlink" Target="https://doi.org/10.1101/2021.10.25.21265347" TargetMode="External"/><Relationship Id="rId4" Type="http://schemas.openxmlformats.org/officeDocument/2006/relationships/hyperlink" Target="https://doi.org/10.1016/S0140-6736(17)33050-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3</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Ky</dc:creator>
  <cp:keywords/>
  <dc:description/>
  <cp:lastModifiedBy>ZOU Ky</cp:lastModifiedBy>
  <cp:revision>185</cp:revision>
  <dcterms:created xsi:type="dcterms:W3CDTF">2022-02-11T17:17:00Z</dcterms:created>
  <dcterms:modified xsi:type="dcterms:W3CDTF">2022-02-18T03:00:00Z</dcterms:modified>
</cp:coreProperties>
</file>