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5"/>
        <w:gridCol w:w="900"/>
        <w:gridCol w:w="1646"/>
        <w:gridCol w:w="1731"/>
        <w:gridCol w:w="2954"/>
        <w:gridCol w:w="2538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positive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negative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Seroprevalence (95% CrI)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Relative risk (95% CI)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1 - 4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(70.6%)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(31.3 - 56.1)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 (0.96-1.71)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5 - 9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(76.8%)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 (29.5 - 51.1)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(0.92-1.51)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10 - 19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324 (72.3%)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44.9 (36.3 - 56)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 (1.11-1.66)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20 - 29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 (25.6 - 42)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30 - 39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(83.1%)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(21.9 - 39.3)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(0.68-1.17)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40 - 49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(81.3%)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 (22.8 - 45.6)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 (0.71-1.35)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50 - 64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(74.2%)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 (30.6 - 57.6)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(0.94-1.73)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65 - 84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 (25.2 - 54.8)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 (0.78-1.63)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 (77.4%)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 (25.6 - 42)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(21.9%)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540 (78.1%)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 (23.6 - 41.2)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 (0.81-1.12)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2021-03-19T18:09:00Z</dcterms:modified>
  <cp:category/>
</cp:coreProperties>
</file>