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125"/>
        <w:gridCol w:w="2954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Analysis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Seroprevalence (95% CrI)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Primary (age/sex-matched data, n = 1840)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 (32.1 - 46.8)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covariates (full dataset, n = 2214)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 (31 - 43.3)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covariates (age/sex-matched data, n = 1840)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 (31.3 - 44.2)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2021-03-13T15:48:13Z</dcterms:modified>
  <cp:category/>
</cp:coreProperties>
</file>