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40"/>
        <w:gridCol w:w="2807"/>
        <w:gridCol w:w="900"/>
        <w:gridCol w:w="839"/>
        <w:gridCol w:w="1621"/>
        <w:gridCol w:w="2025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Seropositive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Seropositive (%)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bari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Muniki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33.6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Rejaf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Gondokoro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Teacher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Market merchant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Civil servant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 laboratory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Taxi driver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Healthcare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Working with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Traditional healer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Covid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Covid tested positive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22.5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Respiratory illness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23.5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Seek medical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Missed work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</w:tr>
      <w:tr>
        <w:trPr>
          <w:cantSplit/>
          <w:trHeight w:val="45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</w:t>
            </w:r>
          </w:p>
        </w:tc>
      </w:tr>
      <w:tr>
        <w:trPr>
          <w:cantSplit/>
          <w:trHeight w:val="45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Travel international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Covid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1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 gathering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Visit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</w:tr>
      <w:tr>
        <w:trPr>
          <w:cantSplit/>
          <w:trHeight w:val="45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</w:tr>
      <w:tr>
        <w:trPr>
          <w:cantSplit/>
          <w:trHeight w:val="45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Visit traditional healer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</w:tr>
      <w:tr>
        <w:trPr>
          <w:cantSplit/>
          <w:trHeight w:val="4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2021-03-19T18:09:00Z</dcterms:modified>
  <cp:category/>
</cp:coreProperties>
</file>