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125"/>
        <w:gridCol w:w="2954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Analysis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Seroprevalence (95% CrI)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Primary (age/sex-matched data, n = 1840)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 (31.8 - 46.5)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covariates (full dataset, n = 2214)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 (31.2 - 42.7)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covariates (age/sex-matched data, n = 1840)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36.3 (31.1 - 42.6)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2021-03-19T18:09:00Z</dcterms:modified>
  <cp:category/>
</cp:coreProperties>
</file>