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6DFEC" w14:textId="457E66C9" w:rsidR="00F2600B" w:rsidRPr="004239C5" w:rsidRDefault="002564FB" w:rsidP="0079792C">
      <w:pPr>
        <w:spacing w:line="240" w:lineRule="auto"/>
        <w:rPr>
          <w:rFonts w:ascii="Arial" w:hAnsi="Arial" w:cs="Arial"/>
          <w:b/>
          <w:bCs/>
          <w:sz w:val="22"/>
          <w:szCs w:val="22"/>
        </w:rPr>
      </w:pPr>
      <w:r w:rsidRPr="004239C5">
        <w:rPr>
          <w:rFonts w:ascii="Arial" w:hAnsi="Arial" w:cs="Arial"/>
          <w:b/>
          <w:bCs/>
          <w:sz w:val="22"/>
          <w:szCs w:val="22"/>
        </w:rPr>
        <w:t>Information about datasets</w:t>
      </w:r>
      <w:r w:rsidR="00417961" w:rsidRPr="004239C5">
        <w:rPr>
          <w:rFonts w:ascii="Arial" w:hAnsi="Arial" w:cs="Arial"/>
          <w:b/>
          <w:bCs/>
          <w:sz w:val="22"/>
          <w:szCs w:val="22"/>
        </w:rPr>
        <w:t>:</w:t>
      </w:r>
    </w:p>
    <w:p w14:paraId="07AE2725" w14:textId="518180E5" w:rsidR="002564FB" w:rsidRPr="004239C5" w:rsidRDefault="002564FB" w:rsidP="0079792C">
      <w:pPr>
        <w:spacing w:line="240" w:lineRule="auto"/>
        <w:rPr>
          <w:rFonts w:ascii="Arial" w:hAnsi="Arial" w:cs="Arial"/>
          <w:sz w:val="22"/>
          <w:szCs w:val="22"/>
        </w:rPr>
      </w:pPr>
      <w:r w:rsidRPr="004239C5">
        <w:rPr>
          <w:rFonts w:ascii="Arial" w:hAnsi="Arial" w:cs="Arial"/>
          <w:sz w:val="22"/>
          <w:szCs w:val="22"/>
        </w:rPr>
        <w:t>The data we’ll use during this training is modeled after actual data</w:t>
      </w:r>
      <w:r w:rsidR="00A53DEA" w:rsidRPr="004239C5">
        <w:rPr>
          <w:rFonts w:ascii="Arial" w:hAnsi="Arial" w:cs="Arial"/>
          <w:sz w:val="22"/>
          <w:szCs w:val="22"/>
        </w:rPr>
        <w:t>. Therefore,</w:t>
      </w:r>
      <w:r w:rsidR="00417961" w:rsidRPr="004239C5">
        <w:rPr>
          <w:rFonts w:ascii="Arial" w:hAnsi="Arial" w:cs="Arial"/>
          <w:sz w:val="22"/>
          <w:szCs w:val="22"/>
        </w:rPr>
        <w:t xml:space="preserve"> the results </w:t>
      </w:r>
      <w:r w:rsidR="00A53DEA" w:rsidRPr="004239C5">
        <w:rPr>
          <w:rFonts w:ascii="Arial" w:hAnsi="Arial" w:cs="Arial"/>
          <w:sz w:val="22"/>
          <w:szCs w:val="22"/>
        </w:rPr>
        <w:t xml:space="preserve">and inferences </w:t>
      </w:r>
      <w:r w:rsidR="00417961" w:rsidRPr="004239C5">
        <w:rPr>
          <w:rFonts w:ascii="Arial" w:hAnsi="Arial" w:cs="Arial"/>
          <w:sz w:val="22"/>
          <w:szCs w:val="22"/>
        </w:rPr>
        <w:t xml:space="preserve">of the analysis we’ll conduct are </w:t>
      </w:r>
      <w:proofErr w:type="gramStart"/>
      <w:r w:rsidR="00417961" w:rsidRPr="004239C5">
        <w:rPr>
          <w:rFonts w:ascii="Arial" w:hAnsi="Arial" w:cs="Arial"/>
          <w:sz w:val="22"/>
          <w:szCs w:val="22"/>
        </w:rPr>
        <w:t>similar to</w:t>
      </w:r>
      <w:proofErr w:type="gramEnd"/>
      <w:r w:rsidR="00417961" w:rsidRPr="004239C5">
        <w:rPr>
          <w:rFonts w:ascii="Arial" w:hAnsi="Arial" w:cs="Arial"/>
          <w:sz w:val="22"/>
          <w:szCs w:val="22"/>
        </w:rPr>
        <w:t xml:space="preserve"> </w:t>
      </w:r>
      <w:r w:rsidR="00A53DEA" w:rsidRPr="004239C5">
        <w:rPr>
          <w:rFonts w:ascii="Arial" w:hAnsi="Arial" w:cs="Arial"/>
          <w:sz w:val="22"/>
          <w:szCs w:val="22"/>
        </w:rPr>
        <w:t>those</w:t>
      </w:r>
      <w:r w:rsidR="00417961" w:rsidRPr="004239C5">
        <w:rPr>
          <w:rFonts w:ascii="Arial" w:hAnsi="Arial" w:cs="Arial"/>
          <w:sz w:val="22"/>
          <w:szCs w:val="22"/>
        </w:rPr>
        <w:t xml:space="preserve"> we’d expect using real data. </w:t>
      </w:r>
    </w:p>
    <w:p w14:paraId="0B06672E" w14:textId="77777777" w:rsidR="00417961" w:rsidRPr="004239C5" w:rsidRDefault="00417961" w:rsidP="0079792C">
      <w:pPr>
        <w:spacing w:line="240" w:lineRule="auto"/>
        <w:rPr>
          <w:rFonts w:ascii="Arial" w:hAnsi="Arial" w:cs="Arial"/>
          <w:sz w:val="22"/>
          <w:szCs w:val="22"/>
        </w:rPr>
      </w:pPr>
    </w:p>
    <w:p w14:paraId="169485F0" w14:textId="6A0E667B" w:rsidR="00417961" w:rsidRPr="004239C5" w:rsidRDefault="00417961" w:rsidP="0079792C">
      <w:pPr>
        <w:spacing w:line="240" w:lineRule="auto"/>
        <w:rPr>
          <w:rFonts w:ascii="Arial" w:hAnsi="Arial" w:cs="Arial"/>
          <w:b/>
          <w:bCs/>
          <w:sz w:val="22"/>
          <w:szCs w:val="22"/>
        </w:rPr>
      </w:pPr>
      <w:r w:rsidRPr="004239C5">
        <w:rPr>
          <w:rFonts w:ascii="Arial" w:hAnsi="Arial" w:cs="Arial"/>
          <w:b/>
          <w:bCs/>
          <w:sz w:val="22"/>
          <w:szCs w:val="22"/>
        </w:rPr>
        <w:t xml:space="preserve">Methods: </w:t>
      </w:r>
    </w:p>
    <w:p w14:paraId="17121C0F" w14:textId="117E2E29" w:rsidR="002564FB" w:rsidRPr="004239C5" w:rsidRDefault="002564FB" w:rsidP="0079792C">
      <w:pPr>
        <w:pStyle w:val="p1"/>
        <w:rPr>
          <w:rFonts w:ascii="Arial" w:hAnsi="Arial" w:cs="Arial"/>
          <w:sz w:val="22"/>
          <w:szCs w:val="22"/>
        </w:rPr>
      </w:pPr>
      <w:r w:rsidRPr="004239C5">
        <w:rPr>
          <w:rFonts w:ascii="Arial" w:hAnsi="Arial" w:cs="Arial"/>
          <w:sz w:val="22"/>
          <w:szCs w:val="22"/>
        </w:rPr>
        <w:t xml:space="preserve">Data comes from a </w:t>
      </w:r>
      <w:r w:rsidRPr="004239C5">
        <w:rPr>
          <w:rFonts w:ascii="Arial" w:hAnsi="Arial" w:cs="Arial"/>
          <w:sz w:val="22"/>
          <w:szCs w:val="22"/>
        </w:rPr>
        <w:t>cross-sectional multiplex serological survey in</w:t>
      </w:r>
      <w:r w:rsidR="00A53DEA" w:rsidRPr="004239C5">
        <w:rPr>
          <w:rFonts w:ascii="Arial" w:hAnsi="Arial" w:cs="Arial"/>
          <w:sz w:val="22"/>
          <w:szCs w:val="22"/>
        </w:rPr>
        <w:t xml:space="preserve"> central</w:t>
      </w:r>
      <w:r w:rsidRPr="004239C5">
        <w:rPr>
          <w:rFonts w:ascii="Arial" w:hAnsi="Arial" w:cs="Arial"/>
          <w:sz w:val="22"/>
          <w:szCs w:val="22"/>
        </w:rPr>
        <w:t xml:space="preserve"> Malawi</w:t>
      </w:r>
      <w:r w:rsidR="00A53DEA" w:rsidRPr="004239C5">
        <w:rPr>
          <w:rFonts w:ascii="Arial" w:hAnsi="Arial" w:cs="Arial"/>
          <w:sz w:val="22"/>
          <w:szCs w:val="22"/>
        </w:rPr>
        <w:t xml:space="preserve"> in 2023</w:t>
      </w:r>
      <w:r w:rsidRPr="004239C5">
        <w:rPr>
          <w:rFonts w:ascii="Arial" w:hAnsi="Arial" w:cs="Arial"/>
          <w:sz w:val="22"/>
          <w:szCs w:val="22"/>
        </w:rPr>
        <w:t xml:space="preserve"> to assess population-level exposure to a range of arboviruses and malaria antigens.</w:t>
      </w:r>
      <w:r w:rsidRPr="004239C5">
        <w:rPr>
          <w:rFonts w:ascii="Arial" w:hAnsi="Arial" w:cs="Arial"/>
          <w:sz w:val="22"/>
          <w:szCs w:val="22"/>
        </w:rPr>
        <w:t xml:space="preserve"> Dried blood spots from a</w:t>
      </w:r>
      <w:r w:rsidRPr="004239C5">
        <w:rPr>
          <w:rFonts w:ascii="Arial" w:hAnsi="Arial" w:cs="Arial"/>
          <w:sz w:val="22"/>
          <w:szCs w:val="22"/>
        </w:rPr>
        <w:t xml:space="preserve"> total of 1,000 participants were selected using simple random sampling from a census list within a defined geographic catchment area. The survey included individuals of all ages (0–100 years)</w:t>
      </w:r>
      <w:r w:rsidR="00A53DEA" w:rsidRPr="004239C5">
        <w:rPr>
          <w:rFonts w:ascii="Arial" w:hAnsi="Arial" w:cs="Arial"/>
          <w:sz w:val="22"/>
          <w:szCs w:val="22"/>
        </w:rPr>
        <w:t>. S</w:t>
      </w:r>
      <w:r w:rsidRPr="004239C5">
        <w:rPr>
          <w:rFonts w:ascii="Arial" w:hAnsi="Arial" w:cs="Arial"/>
          <w:sz w:val="22"/>
          <w:szCs w:val="22"/>
        </w:rPr>
        <w:t>ex</w:t>
      </w:r>
      <w:r w:rsidR="00A53DEA" w:rsidRPr="004239C5">
        <w:rPr>
          <w:rFonts w:ascii="Arial" w:hAnsi="Arial" w:cs="Arial"/>
          <w:sz w:val="22"/>
          <w:szCs w:val="22"/>
        </w:rPr>
        <w:t xml:space="preserve">, </w:t>
      </w:r>
      <w:r w:rsidRPr="004239C5">
        <w:rPr>
          <w:rFonts w:ascii="Arial" w:hAnsi="Arial" w:cs="Arial"/>
          <w:sz w:val="22"/>
          <w:szCs w:val="22"/>
        </w:rPr>
        <w:t>coded as 1 for male and 2 for female</w:t>
      </w:r>
      <w:r w:rsidR="00A53DEA" w:rsidRPr="004239C5">
        <w:rPr>
          <w:rFonts w:ascii="Arial" w:hAnsi="Arial" w:cs="Arial"/>
          <w:sz w:val="22"/>
          <w:szCs w:val="22"/>
        </w:rPr>
        <w:t>,</w:t>
      </w:r>
      <w:r w:rsidRPr="004239C5">
        <w:rPr>
          <w:rFonts w:ascii="Arial" w:hAnsi="Arial" w:cs="Arial"/>
          <w:sz w:val="22"/>
          <w:szCs w:val="22"/>
        </w:rPr>
        <w:t xml:space="preserve"> was recorded for each participant.</w:t>
      </w:r>
    </w:p>
    <w:p w14:paraId="32E2D088" w14:textId="77777777" w:rsidR="00F70FC4" w:rsidRPr="004239C5" w:rsidRDefault="00F70FC4" w:rsidP="0079792C">
      <w:pPr>
        <w:pStyle w:val="p1"/>
        <w:rPr>
          <w:rFonts w:ascii="Arial" w:hAnsi="Arial" w:cs="Arial"/>
          <w:sz w:val="22"/>
          <w:szCs w:val="22"/>
        </w:rPr>
      </w:pPr>
      <w:r w:rsidRPr="004239C5">
        <w:rPr>
          <w:rFonts w:ascii="Arial" w:hAnsi="Arial" w:cs="Arial"/>
          <w:sz w:val="22"/>
          <w:szCs w:val="22"/>
        </w:rPr>
        <w:t>Capillary blood samples were collected via finger prick onto Whatman 903 filter paper cards to create dried blood spots (DBS). DBS samples were dried overnight at ambient temperature, stored with desiccant in zip-sealed bags, and transported to the laboratory under cold chain conditions. Antibodies were eluted from DBS punches using</w:t>
      </w:r>
      <w:r>
        <w:rPr>
          <w:rFonts w:ascii="Arial" w:hAnsi="Arial" w:cs="Arial"/>
          <w:sz w:val="22"/>
          <w:szCs w:val="22"/>
        </w:rPr>
        <w:t xml:space="preserve"> Buffer B and diluted to a concentration equivalent to 1:400 serum dilution in the assay. </w:t>
      </w:r>
      <w:r w:rsidRPr="004239C5">
        <w:rPr>
          <w:rFonts w:ascii="Arial" w:hAnsi="Arial" w:cs="Arial"/>
          <w:sz w:val="22"/>
          <w:szCs w:val="22"/>
        </w:rPr>
        <w:t>Eluates were analyzed using a Luminex-based multiplex bead assay (MBA). Antigens were selected based on prior validation studies and were covalently coupled to uniquely labeled magnetic microspheres using standard carbodiimide chemistry.</w:t>
      </w:r>
    </w:p>
    <w:p w14:paraId="4266B644" w14:textId="77777777" w:rsidR="00F70FC4" w:rsidRPr="004239C5" w:rsidRDefault="00F70FC4" w:rsidP="0079792C">
      <w:pPr>
        <w:pStyle w:val="p1"/>
        <w:rPr>
          <w:rFonts w:ascii="Arial" w:hAnsi="Arial" w:cs="Arial"/>
          <w:sz w:val="22"/>
          <w:szCs w:val="22"/>
        </w:rPr>
      </w:pPr>
      <w:r w:rsidRPr="004239C5">
        <w:rPr>
          <w:rStyle w:val="apple-converted-space"/>
          <w:rFonts w:ascii="Arial" w:eastAsiaTheme="majorEastAsia" w:hAnsi="Arial" w:cs="Arial"/>
          <w:sz w:val="22"/>
          <w:szCs w:val="22"/>
        </w:rPr>
        <w:t> </w:t>
      </w:r>
      <w:r w:rsidRPr="004239C5">
        <w:rPr>
          <w:rFonts w:ascii="Arial" w:hAnsi="Arial" w:cs="Arial"/>
          <w:sz w:val="22"/>
          <w:szCs w:val="22"/>
        </w:rPr>
        <w:t>Assays were performed in 96-well plates, with each well containing 50 µL of diluted eluate incubated with the bead panel, followed by biotinylated anti-human IgG detection and streptavidin-phycoerythrin labeling. Plates were read on a MAGPIX instrument, and median fluorescence intensity (MFI) values were recorded for each antigen.</w:t>
      </w:r>
    </w:p>
    <w:p w14:paraId="4ED9F010" w14:textId="01E062BC" w:rsidR="002564FB" w:rsidRPr="00F70FC4" w:rsidRDefault="00F70FC4" w:rsidP="0079792C">
      <w:pPr>
        <w:pStyle w:val="p1"/>
        <w:rPr>
          <w:rFonts w:ascii="Arial" w:hAnsi="Arial" w:cs="Arial"/>
          <w:sz w:val="22"/>
          <w:szCs w:val="22"/>
        </w:rPr>
      </w:pPr>
      <w:r>
        <w:rPr>
          <w:rFonts w:ascii="Arial" w:hAnsi="Arial" w:cs="Arial"/>
          <w:sz w:val="22"/>
          <w:szCs w:val="22"/>
        </w:rPr>
        <w:t xml:space="preserve">This assay included </w:t>
      </w:r>
      <w:r w:rsidR="002564FB" w:rsidRPr="004239C5">
        <w:rPr>
          <w:rFonts w:ascii="Arial" w:hAnsi="Arial" w:cs="Arial"/>
          <w:sz w:val="22"/>
          <w:szCs w:val="22"/>
        </w:rPr>
        <w:t>13 antigens</w:t>
      </w:r>
      <w:r w:rsidR="002564FB" w:rsidRPr="004239C5">
        <w:rPr>
          <w:rFonts w:ascii="Arial" w:hAnsi="Arial" w:cs="Arial"/>
          <w:sz w:val="22"/>
          <w:szCs w:val="22"/>
        </w:rPr>
        <w:t xml:space="preserve"> from the following pathogens:</w:t>
      </w:r>
      <w:r w:rsidR="002564FB" w:rsidRPr="004239C5">
        <w:rPr>
          <w:rStyle w:val="s1"/>
          <w:rFonts w:ascii="Arial" w:eastAsiaTheme="majorEastAsia" w:hAnsi="Arial" w:cs="Arial"/>
          <w:sz w:val="22"/>
          <w:szCs w:val="22"/>
        </w:rPr>
        <w:t xml:space="preserve"> WNV (West Nile virus), Yellow Fever (YF), Japanese Encephalitis Virus (JE3), Zika virus</w:t>
      </w:r>
      <w:r w:rsidR="0079792C">
        <w:rPr>
          <w:rStyle w:val="s1"/>
          <w:rFonts w:ascii="Arial" w:eastAsiaTheme="majorEastAsia" w:hAnsi="Arial" w:cs="Arial"/>
          <w:sz w:val="22"/>
          <w:szCs w:val="22"/>
        </w:rPr>
        <w:t xml:space="preserve"> (ZIKA)</w:t>
      </w:r>
      <w:r w:rsidR="002564FB" w:rsidRPr="004239C5">
        <w:rPr>
          <w:rStyle w:val="s1"/>
          <w:rFonts w:ascii="Arial" w:eastAsiaTheme="majorEastAsia" w:hAnsi="Arial" w:cs="Arial"/>
          <w:sz w:val="22"/>
          <w:szCs w:val="22"/>
        </w:rPr>
        <w:t xml:space="preserve">, Dengue virus (DENV), Chikungunya virus (CHIKV), </w:t>
      </w:r>
      <w:r w:rsidR="002564FB" w:rsidRPr="004239C5">
        <w:rPr>
          <w:rStyle w:val="s1"/>
          <w:rFonts w:ascii="Arial" w:eastAsiaTheme="majorEastAsia" w:hAnsi="Arial" w:cs="Arial"/>
          <w:i/>
          <w:iCs/>
          <w:sz w:val="22"/>
          <w:szCs w:val="22"/>
        </w:rPr>
        <w:t xml:space="preserve">Plasmodium falciparum </w:t>
      </w:r>
      <w:r w:rsidR="002564FB" w:rsidRPr="004239C5">
        <w:rPr>
          <w:rStyle w:val="s1"/>
          <w:rFonts w:ascii="Arial" w:eastAsiaTheme="majorEastAsia" w:hAnsi="Arial" w:cs="Arial"/>
          <w:sz w:val="22"/>
          <w:szCs w:val="22"/>
        </w:rPr>
        <w:t>malaria (</w:t>
      </w:r>
      <w:r w:rsidR="002564FB" w:rsidRPr="004239C5">
        <w:rPr>
          <w:rStyle w:val="s1"/>
          <w:rFonts w:ascii="Arial" w:eastAsiaTheme="majorEastAsia" w:hAnsi="Arial" w:cs="Arial"/>
          <w:sz w:val="22"/>
          <w:szCs w:val="22"/>
        </w:rPr>
        <w:t>GLURPR2, CSP, PfAMA1,</w:t>
      </w:r>
      <w:r w:rsidR="002564FB" w:rsidRPr="004239C5">
        <w:rPr>
          <w:rStyle w:val="s1"/>
          <w:rFonts w:ascii="Arial" w:eastAsiaTheme="majorEastAsia" w:hAnsi="Arial" w:cs="Arial"/>
          <w:sz w:val="22"/>
          <w:szCs w:val="22"/>
        </w:rPr>
        <w:t xml:space="preserve"> and</w:t>
      </w:r>
      <w:r w:rsidR="002564FB" w:rsidRPr="004239C5">
        <w:rPr>
          <w:rStyle w:val="s1"/>
          <w:rFonts w:ascii="Arial" w:eastAsiaTheme="majorEastAsia" w:hAnsi="Arial" w:cs="Arial"/>
          <w:sz w:val="22"/>
          <w:szCs w:val="22"/>
        </w:rPr>
        <w:t xml:space="preserve"> PfMSP119</w:t>
      </w:r>
      <w:r w:rsidR="002564FB" w:rsidRPr="004239C5">
        <w:rPr>
          <w:rStyle w:val="s1"/>
          <w:rFonts w:ascii="Arial" w:eastAsiaTheme="majorEastAsia" w:hAnsi="Arial" w:cs="Arial"/>
          <w:sz w:val="22"/>
          <w:szCs w:val="22"/>
        </w:rPr>
        <w:t>)</w:t>
      </w:r>
      <w:r w:rsidR="002564FB" w:rsidRPr="004239C5">
        <w:rPr>
          <w:rStyle w:val="s1"/>
          <w:rFonts w:ascii="Arial" w:eastAsiaTheme="majorEastAsia" w:hAnsi="Arial" w:cs="Arial"/>
          <w:sz w:val="22"/>
          <w:szCs w:val="22"/>
        </w:rPr>
        <w:t xml:space="preserve">, </w:t>
      </w:r>
      <w:r w:rsidR="002564FB" w:rsidRPr="004239C5">
        <w:rPr>
          <w:rStyle w:val="s1"/>
          <w:rFonts w:ascii="Arial" w:eastAsiaTheme="majorEastAsia" w:hAnsi="Arial" w:cs="Arial"/>
          <w:sz w:val="22"/>
          <w:szCs w:val="22"/>
        </w:rPr>
        <w:t>Rubella (</w:t>
      </w:r>
      <w:r w:rsidR="002564FB" w:rsidRPr="004239C5">
        <w:rPr>
          <w:rStyle w:val="s1"/>
          <w:rFonts w:ascii="Arial" w:eastAsiaTheme="majorEastAsia" w:hAnsi="Arial" w:cs="Arial"/>
          <w:sz w:val="22"/>
          <w:szCs w:val="22"/>
        </w:rPr>
        <w:t>WRUV</w:t>
      </w:r>
      <w:r w:rsidR="002564FB" w:rsidRPr="004239C5">
        <w:rPr>
          <w:rStyle w:val="s1"/>
          <w:rFonts w:ascii="Arial" w:eastAsiaTheme="majorEastAsia" w:hAnsi="Arial" w:cs="Arial"/>
          <w:sz w:val="22"/>
          <w:szCs w:val="22"/>
        </w:rPr>
        <w:t>)</w:t>
      </w:r>
      <w:r w:rsidR="002564FB" w:rsidRPr="004239C5">
        <w:rPr>
          <w:rStyle w:val="s1"/>
          <w:rFonts w:ascii="Arial" w:eastAsiaTheme="majorEastAsia" w:hAnsi="Arial" w:cs="Arial"/>
          <w:sz w:val="22"/>
          <w:szCs w:val="22"/>
        </w:rPr>
        <w:t xml:space="preserve">, and </w:t>
      </w:r>
      <w:r w:rsidR="002564FB" w:rsidRPr="004239C5">
        <w:rPr>
          <w:rStyle w:val="s1"/>
          <w:rFonts w:ascii="Arial" w:eastAsiaTheme="majorEastAsia" w:hAnsi="Arial" w:cs="Arial"/>
          <w:sz w:val="22"/>
          <w:szCs w:val="22"/>
        </w:rPr>
        <w:t>Measles (</w:t>
      </w:r>
      <w:r w:rsidR="002564FB" w:rsidRPr="004239C5">
        <w:rPr>
          <w:rStyle w:val="s1"/>
          <w:rFonts w:ascii="Arial" w:eastAsiaTheme="majorEastAsia" w:hAnsi="Arial" w:cs="Arial"/>
          <w:sz w:val="22"/>
          <w:szCs w:val="22"/>
        </w:rPr>
        <w:t>WMEV</w:t>
      </w:r>
      <w:r w:rsidR="002564FB" w:rsidRPr="004239C5">
        <w:rPr>
          <w:rStyle w:val="s1"/>
          <w:rFonts w:ascii="Arial" w:eastAsiaTheme="majorEastAsia" w:hAnsi="Arial" w:cs="Arial"/>
          <w:sz w:val="22"/>
          <w:szCs w:val="22"/>
        </w:rPr>
        <w:t>)</w:t>
      </w:r>
      <w:r w:rsidR="002564FB" w:rsidRPr="004239C5">
        <w:rPr>
          <w:rFonts w:ascii="Arial" w:hAnsi="Arial" w:cs="Arial"/>
          <w:sz w:val="22"/>
          <w:szCs w:val="22"/>
        </w:rPr>
        <w:t xml:space="preserve">. </w:t>
      </w:r>
      <w:r w:rsidR="002564FB" w:rsidRPr="004239C5">
        <w:rPr>
          <w:rFonts w:ascii="Arial" w:hAnsi="Arial" w:cs="Arial"/>
          <w:sz w:val="22"/>
          <w:szCs w:val="22"/>
        </w:rPr>
        <w:t xml:space="preserve">Additionally, </w:t>
      </w:r>
      <w:r w:rsidR="002564FB" w:rsidRPr="004239C5">
        <w:rPr>
          <w:rFonts w:ascii="Arial" w:hAnsi="Arial" w:cs="Arial"/>
          <w:sz w:val="22"/>
          <w:szCs w:val="22"/>
        </w:rPr>
        <w:t xml:space="preserve">SNAP </w:t>
      </w:r>
      <w:r w:rsidR="002564FB" w:rsidRPr="004239C5">
        <w:rPr>
          <w:rFonts w:ascii="Arial" w:hAnsi="Arial" w:cs="Arial"/>
          <w:sz w:val="22"/>
          <w:szCs w:val="22"/>
        </w:rPr>
        <w:t xml:space="preserve">was included to </w:t>
      </w:r>
      <w:r w:rsidR="002564FB" w:rsidRPr="004239C5">
        <w:rPr>
          <w:rFonts w:ascii="Arial" w:hAnsi="Arial" w:cs="Arial"/>
          <w:sz w:val="22"/>
          <w:szCs w:val="22"/>
        </w:rPr>
        <w:t xml:space="preserve">as a control to assess technical consistency across samples. </w:t>
      </w:r>
    </w:p>
    <w:p w14:paraId="1134D868" w14:textId="07CF82A1" w:rsidR="002564FB" w:rsidRDefault="002564FB" w:rsidP="0079792C">
      <w:pPr>
        <w:pStyle w:val="p1"/>
        <w:rPr>
          <w:rFonts w:ascii="Arial" w:hAnsi="Arial" w:cs="Arial"/>
          <w:sz w:val="22"/>
          <w:szCs w:val="22"/>
        </w:rPr>
      </w:pPr>
      <w:r w:rsidRPr="004239C5">
        <w:rPr>
          <w:rFonts w:ascii="Arial" w:hAnsi="Arial" w:cs="Arial"/>
          <w:sz w:val="22"/>
          <w:szCs w:val="22"/>
        </w:rPr>
        <w:t>C</w:t>
      </w:r>
      <w:r w:rsidRPr="004239C5">
        <w:rPr>
          <w:rFonts w:ascii="Arial" w:hAnsi="Arial" w:cs="Arial"/>
          <w:sz w:val="22"/>
          <w:szCs w:val="22"/>
        </w:rPr>
        <w:t>ontrol</w:t>
      </w:r>
      <w:r w:rsidRPr="004239C5">
        <w:rPr>
          <w:rFonts w:ascii="Arial" w:hAnsi="Arial" w:cs="Arial"/>
          <w:sz w:val="22"/>
          <w:szCs w:val="22"/>
        </w:rPr>
        <w:t>s are available for many antigens</w:t>
      </w:r>
      <w:r w:rsidRPr="004239C5">
        <w:rPr>
          <w:rFonts w:ascii="Arial" w:hAnsi="Arial" w:cs="Arial"/>
          <w:sz w:val="22"/>
          <w:szCs w:val="22"/>
        </w:rPr>
        <w:t>. Positive controls</w:t>
      </w:r>
      <w:r w:rsidRPr="004239C5">
        <w:rPr>
          <w:rFonts w:ascii="Arial" w:hAnsi="Arial" w:cs="Arial"/>
          <w:sz w:val="22"/>
          <w:szCs w:val="22"/>
        </w:rPr>
        <w:t xml:space="preserve"> came from sera </w:t>
      </w:r>
      <w:r w:rsidRPr="004239C5">
        <w:rPr>
          <w:rFonts w:ascii="Arial" w:hAnsi="Arial" w:cs="Arial"/>
          <w:sz w:val="22"/>
          <w:szCs w:val="22"/>
        </w:rPr>
        <w:t xml:space="preserve">from clinically confirmed cases, while negative controls </w:t>
      </w:r>
      <w:r w:rsidRPr="004239C5">
        <w:rPr>
          <w:rFonts w:ascii="Arial" w:hAnsi="Arial" w:cs="Arial"/>
          <w:sz w:val="22"/>
          <w:szCs w:val="22"/>
        </w:rPr>
        <w:t>came</w:t>
      </w:r>
      <w:r w:rsidRPr="004239C5">
        <w:rPr>
          <w:rFonts w:ascii="Arial" w:hAnsi="Arial" w:cs="Arial"/>
          <w:sz w:val="22"/>
          <w:szCs w:val="22"/>
        </w:rPr>
        <w:t xml:space="preserve"> from </w:t>
      </w:r>
      <w:r w:rsidRPr="004239C5">
        <w:rPr>
          <w:rFonts w:ascii="Arial" w:hAnsi="Arial" w:cs="Arial"/>
          <w:sz w:val="22"/>
          <w:szCs w:val="22"/>
        </w:rPr>
        <w:t xml:space="preserve">sera from </w:t>
      </w:r>
      <w:r w:rsidRPr="004239C5">
        <w:rPr>
          <w:rFonts w:ascii="Arial" w:hAnsi="Arial" w:cs="Arial"/>
          <w:sz w:val="22"/>
          <w:szCs w:val="22"/>
        </w:rPr>
        <w:t xml:space="preserve">healthy U.S. adults with no known travel to regions where the target pathogens are endemic. </w:t>
      </w:r>
      <w:r w:rsidRPr="004239C5">
        <w:rPr>
          <w:rFonts w:ascii="Arial" w:hAnsi="Arial" w:cs="Arial"/>
          <w:sz w:val="22"/>
          <w:szCs w:val="22"/>
        </w:rPr>
        <w:t xml:space="preserve">Control samples were not available for </w:t>
      </w:r>
      <w:r w:rsidRPr="004239C5">
        <w:rPr>
          <w:rFonts w:ascii="Arial" w:hAnsi="Arial" w:cs="Arial"/>
          <w:sz w:val="22"/>
          <w:szCs w:val="22"/>
        </w:rPr>
        <w:t>DENV or CHIKV antigens</w:t>
      </w:r>
      <w:r w:rsidRPr="004239C5">
        <w:rPr>
          <w:rFonts w:ascii="Arial" w:hAnsi="Arial" w:cs="Arial"/>
          <w:sz w:val="22"/>
          <w:szCs w:val="22"/>
        </w:rPr>
        <w:t>.</w:t>
      </w:r>
    </w:p>
    <w:p w14:paraId="5E33A319" w14:textId="37E65F03" w:rsidR="004239C5" w:rsidRPr="004239C5" w:rsidRDefault="003B049A" w:rsidP="0079792C">
      <w:pPr>
        <w:pStyle w:val="p1"/>
        <w:rPr>
          <w:rFonts w:ascii="Arial" w:hAnsi="Arial" w:cs="Arial"/>
          <w:sz w:val="22"/>
          <w:szCs w:val="22"/>
        </w:rPr>
      </w:pPr>
      <w:r>
        <w:rPr>
          <w:rFonts w:ascii="Arial" w:hAnsi="Arial" w:cs="Arial"/>
          <w:sz w:val="22"/>
          <w:szCs w:val="22"/>
        </w:rPr>
        <w:t>Samples were also run with three standard curves on</w:t>
      </w:r>
      <w:r w:rsidR="0079792C">
        <w:rPr>
          <w:rFonts w:ascii="Arial" w:hAnsi="Arial" w:cs="Arial"/>
          <w:sz w:val="22"/>
          <w:szCs w:val="22"/>
        </w:rPr>
        <w:t xml:space="preserve"> all plates (raw plate data is provided for four plates) </w:t>
      </w:r>
      <w:r w:rsidR="0079792C" w:rsidRPr="004239C5">
        <w:rPr>
          <w:rFonts w:ascii="Arial" w:hAnsi="Arial" w:cs="Arial"/>
          <w:sz w:val="22"/>
          <w:szCs w:val="22"/>
        </w:rPr>
        <w:t>to allow for quantitative interpretation of antibody levels</w:t>
      </w:r>
      <w:r w:rsidR="0079792C">
        <w:rPr>
          <w:rFonts w:ascii="Arial" w:hAnsi="Arial" w:cs="Arial"/>
          <w:sz w:val="22"/>
          <w:szCs w:val="22"/>
        </w:rPr>
        <w:t xml:space="preserve">. These standard curves are for WRUV, WMEV, and a standard curve that is valid for the remaining 10 antigens (all except WRUV, WMEV, and SNAP). </w:t>
      </w:r>
      <w:r>
        <w:rPr>
          <w:rFonts w:ascii="Arial" w:hAnsi="Arial" w:cs="Arial"/>
          <w:sz w:val="22"/>
          <w:szCs w:val="22"/>
        </w:rPr>
        <w:t xml:space="preserve">Both Measles and Rubella vaccination is common in this region, although </w:t>
      </w:r>
      <w:r w:rsidR="0079792C">
        <w:rPr>
          <w:rFonts w:ascii="Arial" w:hAnsi="Arial" w:cs="Arial"/>
          <w:sz w:val="22"/>
          <w:szCs w:val="22"/>
        </w:rPr>
        <w:t xml:space="preserve">people may also be seropositive because of </w:t>
      </w:r>
      <w:r>
        <w:rPr>
          <w:rFonts w:ascii="Arial" w:hAnsi="Arial" w:cs="Arial"/>
          <w:sz w:val="22"/>
          <w:szCs w:val="22"/>
        </w:rPr>
        <w:t>Measles and Rubella disease outbreak</w:t>
      </w:r>
      <w:r w:rsidR="0079792C">
        <w:rPr>
          <w:rFonts w:ascii="Arial" w:hAnsi="Arial" w:cs="Arial"/>
          <w:sz w:val="22"/>
          <w:szCs w:val="22"/>
        </w:rPr>
        <w:t>s.</w:t>
      </w:r>
    </w:p>
    <w:sectPr w:rsidR="004239C5" w:rsidRPr="00423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437EE"/>
    <w:multiLevelType w:val="hybridMultilevel"/>
    <w:tmpl w:val="8526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95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0B"/>
    <w:rsid w:val="002564FB"/>
    <w:rsid w:val="003054F4"/>
    <w:rsid w:val="003B049A"/>
    <w:rsid w:val="00417961"/>
    <w:rsid w:val="004239C5"/>
    <w:rsid w:val="006548E2"/>
    <w:rsid w:val="006A3144"/>
    <w:rsid w:val="0079792C"/>
    <w:rsid w:val="00800839"/>
    <w:rsid w:val="008126F0"/>
    <w:rsid w:val="00A53DEA"/>
    <w:rsid w:val="00DD0D74"/>
    <w:rsid w:val="00F2600B"/>
    <w:rsid w:val="00F70FC4"/>
    <w:rsid w:val="00FC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3301D"/>
  <w15:chartTrackingRefBased/>
  <w15:docId w15:val="{71CE9D2E-7905-EF4D-A877-2106F649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0B"/>
    <w:rPr>
      <w:rFonts w:eastAsiaTheme="majorEastAsia" w:cstheme="majorBidi"/>
      <w:color w:val="272727" w:themeColor="text1" w:themeTint="D8"/>
    </w:rPr>
  </w:style>
  <w:style w:type="paragraph" w:styleId="Title">
    <w:name w:val="Title"/>
    <w:basedOn w:val="Normal"/>
    <w:next w:val="Normal"/>
    <w:link w:val="TitleChar"/>
    <w:uiPriority w:val="10"/>
    <w:qFormat/>
    <w:rsid w:val="00F26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0B"/>
    <w:pPr>
      <w:spacing w:before="160"/>
      <w:jc w:val="center"/>
    </w:pPr>
    <w:rPr>
      <w:i/>
      <w:iCs/>
      <w:color w:val="404040" w:themeColor="text1" w:themeTint="BF"/>
    </w:rPr>
  </w:style>
  <w:style w:type="character" w:customStyle="1" w:styleId="QuoteChar">
    <w:name w:val="Quote Char"/>
    <w:basedOn w:val="DefaultParagraphFont"/>
    <w:link w:val="Quote"/>
    <w:uiPriority w:val="29"/>
    <w:rsid w:val="00F2600B"/>
    <w:rPr>
      <w:i/>
      <w:iCs/>
      <w:color w:val="404040" w:themeColor="text1" w:themeTint="BF"/>
    </w:rPr>
  </w:style>
  <w:style w:type="paragraph" w:styleId="ListParagraph">
    <w:name w:val="List Paragraph"/>
    <w:basedOn w:val="Normal"/>
    <w:uiPriority w:val="34"/>
    <w:qFormat/>
    <w:rsid w:val="00F2600B"/>
    <w:pPr>
      <w:ind w:left="720"/>
      <w:contextualSpacing/>
    </w:pPr>
  </w:style>
  <w:style w:type="character" w:styleId="IntenseEmphasis">
    <w:name w:val="Intense Emphasis"/>
    <w:basedOn w:val="DefaultParagraphFont"/>
    <w:uiPriority w:val="21"/>
    <w:qFormat/>
    <w:rsid w:val="00F2600B"/>
    <w:rPr>
      <w:i/>
      <w:iCs/>
      <w:color w:val="0F4761" w:themeColor="accent1" w:themeShade="BF"/>
    </w:rPr>
  </w:style>
  <w:style w:type="paragraph" w:styleId="IntenseQuote">
    <w:name w:val="Intense Quote"/>
    <w:basedOn w:val="Normal"/>
    <w:next w:val="Normal"/>
    <w:link w:val="IntenseQuoteChar"/>
    <w:uiPriority w:val="30"/>
    <w:qFormat/>
    <w:rsid w:val="00F26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00B"/>
    <w:rPr>
      <w:i/>
      <w:iCs/>
      <w:color w:val="0F4761" w:themeColor="accent1" w:themeShade="BF"/>
    </w:rPr>
  </w:style>
  <w:style w:type="character" w:styleId="IntenseReference">
    <w:name w:val="Intense Reference"/>
    <w:basedOn w:val="DefaultParagraphFont"/>
    <w:uiPriority w:val="32"/>
    <w:qFormat/>
    <w:rsid w:val="00F2600B"/>
    <w:rPr>
      <w:b/>
      <w:bCs/>
      <w:smallCaps/>
      <w:color w:val="0F4761" w:themeColor="accent1" w:themeShade="BF"/>
      <w:spacing w:val="5"/>
    </w:rPr>
  </w:style>
  <w:style w:type="paragraph" w:customStyle="1" w:styleId="p1">
    <w:name w:val="p1"/>
    <w:basedOn w:val="Normal"/>
    <w:rsid w:val="002564F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2564F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564FB"/>
  </w:style>
  <w:style w:type="character" w:customStyle="1" w:styleId="apple-tab-span">
    <w:name w:val="apple-tab-span"/>
    <w:basedOn w:val="DefaultParagraphFont"/>
    <w:rsid w:val="00A53DEA"/>
  </w:style>
  <w:style w:type="character" w:customStyle="1" w:styleId="apple-converted-space">
    <w:name w:val="apple-converted-space"/>
    <w:basedOn w:val="DefaultParagraphFont"/>
    <w:rsid w:val="00423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775100">
      <w:bodyDiv w:val="1"/>
      <w:marLeft w:val="0"/>
      <w:marRight w:val="0"/>
      <w:marTop w:val="0"/>
      <w:marBottom w:val="0"/>
      <w:divBdr>
        <w:top w:val="none" w:sz="0" w:space="0" w:color="auto"/>
        <w:left w:val="none" w:sz="0" w:space="0" w:color="auto"/>
        <w:bottom w:val="none" w:sz="0" w:space="0" w:color="auto"/>
        <w:right w:val="none" w:sz="0" w:space="0" w:color="auto"/>
      </w:divBdr>
    </w:div>
    <w:div w:id="805202118">
      <w:bodyDiv w:val="1"/>
      <w:marLeft w:val="0"/>
      <w:marRight w:val="0"/>
      <w:marTop w:val="0"/>
      <w:marBottom w:val="0"/>
      <w:divBdr>
        <w:top w:val="none" w:sz="0" w:space="0" w:color="auto"/>
        <w:left w:val="none" w:sz="0" w:space="0" w:color="auto"/>
        <w:bottom w:val="none" w:sz="0" w:space="0" w:color="auto"/>
        <w:right w:val="none" w:sz="0" w:space="0" w:color="auto"/>
      </w:divBdr>
    </w:div>
    <w:div w:id="823669564">
      <w:bodyDiv w:val="1"/>
      <w:marLeft w:val="0"/>
      <w:marRight w:val="0"/>
      <w:marTop w:val="0"/>
      <w:marBottom w:val="0"/>
      <w:divBdr>
        <w:top w:val="none" w:sz="0" w:space="0" w:color="auto"/>
        <w:left w:val="none" w:sz="0" w:space="0" w:color="auto"/>
        <w:bottom w:val="none" w:sz="0" w:space="0" w:color="auto"/>
        <w:right w:val="none" w:sz="0" w:space="0" w:color="auto"/>
      </w:divBdr>
    </w:div>
    <w:div w:id="1122580884">
      <w:bodyDiv w:val="1"/>
      <w:marLeft w:val="0"/>
      <w:marRight w:val="0"/>
      <w:marTop w:val="0"/>
      <w:marBottom w:val="0"/>
      <w:divBdr>
        <w:top w:val="none" w:sz="0" w:space="0" w:color="auto"/>
        <w:left w:val="none" w:sz="0" w:space="0" w:color="auto"/>
        <w:bottom w:val="none" w:sz="0" w:space="0" w:color="auto"/>
        <w:right w:val="none" w:sz="0" w:space="0" w:color="auto"/>
      </w:divBdr>
    </w:div>
    <w:div w:id="1322274150">
      <w:bodyDiv w:val="1"/>
      <w:marLeft w:val="0"/>
      <w:marRight w:val="0"/>
      <w:marTop w:val="0"/>
      <w:marBottom w:val="0"/>
      <w:divBdr>
        <w:top w:val="none" w:sz="0" w:space="0" w:color="auto"/>
        <w:left w:val="none" w:sz="0" w:space="0" w:color="auto"/>
        <w:bottom w:val="none" w:sz="0" w:space="0" w:color="auto"/>
        <w:right w:val="none" w:sz="0" w:space="0" w:color="auto"/>
      </w:divBdr>
    </w:div>
    <w:div w:id="1550268416">
      <w:bodyDiv w:val="1"/>
      <w:marLeft w:val="0"/>
      <w:marRight w:val="0"/>
      <w:marTop w:val="0"/>
      <w:marBottom w:val="0"/>
      <w:divBdr>
        <w:top w:val="none" w:sz="0" w:space="0" w:color="auto"/>
        <w:left w:val="none" w:sz="0" w:space="0" w:color="auto"/>
        <w:bottom w:val="none" w:sz="0" w:space="0" w:color="auto"/>
        <w:right w:val="none" w:sz="0" w:space="0" w:color="auto"/>
      </w:divBdr>
    </w:div>
    <w:div w:id="202862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Lapidus</dc:creator>
  <cp:keywords/>
  <dc:description/>
  <cp:lastModifiedBy>Sarah Lapidus</cp:lastModifiedBy>
  <cp:revision>3</cp:revision>
  <dcterms:created xsi:type="dcterms:W3CDTF">2025-05-08T07:42:00Z</dcterms:created>
  <dcterms:modified xsi:type="dcterms:W3CDTF">2025-05-20T05:55:00Z</dcterms:modified>
</cp:coreProperties>
</file>