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D6C85" w14:textId="30C46ED4" w:rsidR="00402A3B" w:rsidRDefault="00402A3B" w:rsidP="000356B7">
      <w:pPr>
        <w:pStyle w:val="Subtitle"/>
        <w:jc w:val="both"/>
      </w:pPr>
      <w:r>
        <w:t>Hopkins Group – University of Waterloo</w:t>
      </w:r>
    </w:p>
    <w:p w14:paraId="27E5B031" w14:textId="778A1995" w:rsidR="005E3F87" w:rsidRDefault="00402A3B" w:rsidP="000356B7">
      <w:pPr>
        <w:pStyle w:val="Title"/>
        <w:spacing w:after="0"/>
        <w:jc w:val="both"/>
      </w:pPr>
      <w:r>
        <w:t>MobCal-MPI User Guide</w:t>
      </w:r>
    </w:p>
    <w:p w14:paraId="40EBFA1B" w14:textId="77777777" w:rsidR="006E2D3D" w:rsidRDefault="006E2D3D" w:rsidP="000356B7">
      <w:pPr>
        <w:jc w:val="both"/>
      </w:pPr>
    </w:p>
    <w:p w14:paraId="2B3C94AA" w14:textId="77777777" w:rsidR="006E2D3D" w:rsidRDefault="006E2D3D" w:rsidP="000356B7">
      <w:pPr>
        <w:jc w:val="both"/>
      </w:pPr>
    </w:p>
    <w:p w14:paraId="3F0567F6" w14:textId="77777777" w:rsidR="006E2D3D" w:rsidRDefault="006E2D3D" w:rsidP="000356B7">
      <w:pPr>
        <w:jc w:val="both"/>
      </w:pPr>
    </w:p>
    <w:p w14:paraId="30BF0419" w14:textId="77777777" w:rsidR="006E2D3D" w:rsidRDefault="006E2D3D" w:rsidP="000356B7">
      <w:pPr>
        <w:jc w:val="both"/>
      </w:pPr>
    </w:p>
    <w:p w14:paraId="2B0C7591" w14:textId="77777777" w:rsidR="006E2D3D" w:rsidRDefault="006E2D3D" w:rsidP="000356B7">
      <w:pPr>
        <w:jc w:val="both"/>
      </w:pPr>
    </w:p>
    <w:p w14:paraId="7A0295D7" w14:textId="1A762C52" w:rsidR="00402A3B" w:rsidRDefault="00402A3B" w:rsidP="000356B7">
      <w:pPr>
        <w:jc w:val="both"/>
      </w:pPr>
    </w:p>
    <w:p w14:paraId="4F381FE5" w14:textId="372C7CF1" w:rsidR="006E2D3D" w:rsidRDefault="006E2D3D" w:rsidP="000356B7">
      <w:pPr>
        <w:jc w:val="both"/>
      </w:pPr>
    </w:p>
    <w:p w14:paraId="40C200D8" w14:textId="12DE7585" w:rsidR="006E2D3D" w:rsidRDefault="000E0FE1" w:rsidP="000356B7">
      <w:pPr>
        <w:jc w:val="both"/>
      </w:pPr>
      <w:r>
        <w:rPr>
          <w:noProof/>
        </w:rPr>
        <w:drawing>
          <wp:inline distT="0" distB="0" distL="0" distR="0" wp14:anchorId="301D4C54" wp14:editId="5AE70BA2">
            <wp:extent cx="5659431" cy="2253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3353" cy="2270491"/>
                    </a:xfrm>
                    <a:prstGeom prst="rect">
                      <a:avLst/>
                    </a:prstGeom>
                    <a:noFill/>
                    <a:ln>
                      <a:noFill/>
                    </a:ln>
                  </pic:spPr>
                </pic:pic>
              </a:graphicData>
            </a:graphic>
          </wp:inline>
        </w:drawing>
      </w:r>
    </w:p>
    <w:p w14:paraId="109BB4EA" w14:textId="40782B8E" w:rsidR="00402A3B" w:rsidRDefault="00402A3B" w:rsidP="000356B7">
      <w:pPr>
        <w:jc w:val="both"/>
      </w:pPr>
    </w:p>
    <w:p w14:paraId="5D2BC96A" w14:textId="73DAD7BF" w:rsidR="00402A3B" w:rsidRDefault="00402A3B" w:rsidP="000356B7">
      <w:pPr>
        <w:jc w:val="both"/>
      </w:pPr>
    </w:p>
    <w:p w14:paraId="2D93BE56" w14:textId="17F9BE24" w:rsidR="00402A3B" w:rsidRDefault="00402A3B" w:rsidP="000356B7">
      <w:pPr>
        <w:jc w:val="both"/>
      </w:pPr>
    </w:p>
    <w:p w14:paraId="630016D6" w14:textId="1578EC95" w:rsidR="00402A3B" w:rsidRDefault="00402A3B" w:rsidP="000356B7">
      <w:pPr>
        <w:jc w:val="both"/>
      </w:pPr>
    </w:p>
    <w:p w14:paraId="5B18C5A0" w14:textId="60627F7D" w:rsidR="00402A3B" w:rsidRDefault="00402A3B" w:rsidP="000356B7">
      <w:pPr>
        <w:jc w:val="both"/>
      </w:pPr>
    </w:p>
    <w:p w14:paraId="78A59477" w14:textId="1EB8BFFA" w:rsidR="00551FBB" w:rsidRDefault="00551FBB" w:rsidP="00551FBB">
      <w:pPr>
        <w:jc w:val="center"/>
        <w:rPr>
          <w:sz w:val="32"/>
          <w:szCs w:val="32"/>
        </w:rPr>
      </w:pPr>
      <w:r>
        <w:rPr>
          <w:sz w:val="32"/>
          <w:szCs w:val="32"/>
        </w:rPr>
        <w:t>Hopkins Lab</w:t>
      </w:r>
    </w:p>
    <w:p w14:paraId="6B6AFD8E" w14:textId="77777777" w:rsidR="00551FBB" w:rsidRDefault="00551FBB" w:rsidP="00551FBB">
      <w:pPr>
        <w:jc w:val="center"/>
        <w:rPr>
          <w:sz w:val="32"/>
          <w:szCs w:val="32"/>
        </w:rPr>
      </w:pPr>
    </w:p>
    <w:p w14:paraId="5688FEF3" w14:textId="1112F11E" w:rsidR="00551FBB" w:rsidRPr="00551FBB" w:rsidRDefault="00551FBB" w:rsidP="00551FBB">
      <w:pPr>
        <w:jc w:val="center"/>
        <w:rPr>
          <w:sz w:val="32"/>
          <w:szCs w:val="32"/>
        </w:rPr>
        <w:sectPr w:rsidR="00551FBB" w:rsidRPr="00551FBB">
          <w:footerReference w:type="default" r:id="rId9"/>
          <w:pgSz w:w="12240" w:h="15840"/>
          <w:pgMar w:top="1440" w:right="1440" w:bottom="1440" w:left="1440" w:header="720" w:footer="720" w:gutter="0"/>
          <w:cols w:space="720"/>
          <w:docGrid w:linePitch="360"/>
        </w:sectPr>
      </w:pPr>
      <w:r>
        <w:rPr>
          <w:sz w:val="32"/>
          <w:szCs w:val="32"/>
        </w:rPr>
        <w:t>Revised March</w:t>
      </w:r>
      <w:r w:rsidR="002E25B1">
        <w:rPr>
          <w:sz w:val="32"/>
          <w:szCs w:val="32"/>
        </w:rPr>
        <w:t xml:space="preserve"> 10, 2021</w:t>
      </w:r>
    </w:p>
    <w:sdt>
      <w:sdtPr>
        <w:rPr>
          <w:rFonts w:ascii="Garamond" w:eastAsia="Times New Roman" w:hAnsi="Garamond" w:cs="Times New Roman"/>
          <w:color w:val="auto"/>
          <w:sz w:val="24"/>
          <w:szCs w:val="20"/>
        </w:rPr>
        <w:id w:val="2099050311"/>
        <w:docPartObj>
          <w:docPartGallery w:val="Table of Contents"/>
          <w:docPartUnique/>
        </w:docPartObj>
      </w:sdtPr>
      <w:sdtEndPr>
        <w:rPr>
          <w:b/>
          <w:bCs/>
          <w:noProof/>
        </w:rPr>
      </w:sdtEndPr>
      <w:sdtContent>
        <w:p w14:paraId="2FE96320" w14:textId="344E653C" w:rsidR="00B1199B" w:rsidRPr="00B1199B" w:rsidRDefault="00B1199B" w:rsidP="000356B7">
          <w:pPr>
            <w:pStyle w:val="TOCHeading"/>
            <w:jc w:val="both"/>
            <w:rPr>
              <w:rFonts w:ascii="Arial Black" w:hAnsi="Arial Black"/>
              <w:sz w:val="36"/>
              <w:szCs w:val="36"/>
            </w:rPr>
          </w:pPr>
          <w:r w:rsidRPr="00B1199B">
            <w:rPr>
              <w:rFonts w:ascii="Arial Black" w:hAnsi="Arial Black"/>
              <w:sz w:val="36"/>
              <w:szCs w:val="36"/>
            </w:rPr>
            <w:t>Table of Contents</w:t>
          </w:r>
        </w:p>
        <w:p w14:paraId="7B7F27C0" w14:textId="7D947A87" w:rsidR="00A30C2F" w:rsidRDefault="00B1199B">
          <w:pPr>
            <w:pStyle w:val="TOC1"/>
            <w:tabs>
              <w:tab w:val="right" w:leader="dot" w:pos="935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66269152" w:history="1">
            <w:r w:rsidR="00A30C2F" w:rsidRPr="00BD6A3E">
              <w:rPr>
                <w:rStyle w:val="Hyperlink"/>
                <w:rFonts w:eastAsiaTheme="majorEastAsia"/>
                <w:noProof/>
              </w:rPr>
              <w:t>1. Introduction</w:t>
            </w:r>
            <w:r w:rsidR="00A30C2F">
              <w:rPr>
                <w:noProof/>
                <w:webHidden/>
              </w:rPr>
              <w:tab/>
            </w:r>
            <w:r w:rsidR="00A30C2F">
              <w:rPr>
                <w:noProof/>
                <w:webHidden/>
              </w:rPr>
              <w:fldChar w:fldCharType="begin"/>
            </w:r>
            <w:r w:rsidR="00A30C2F">
              <w:rPr>
                <w:noProof/>
                <w:webHidden/>
              </w:rPr>
              <w:instrText xml:space="preserve"> PAGEREF _Toc66269152 \h </w:instrText>
            </w:r>
            <w:r w:rsidR="00A30C2F">
              <w:rPr>
                <w:noProof/>
                <w:webHidden/>
              </w:rPr>
            </w:r>
            <w:r w:rsidR="00A30C2F">
              <w:rPr>
                <w:noProof/>
                <w:webHidden/>
              </w:rPr>
              <w:fldChar w:fldCharType="separate"/>
            </w:r>
            <w:r w:rsidR="00DB5CF9">
              <w:rPr>
                <w:noProof/>
                <w:webHidden/>
              </w:rPr>
              <w:t>4</w:t>
            </w:r>
            <w:r w:rsidR="00A30C2F">
              <w:rPr>
                <w:noProof/>
                <w:webHidden/>
              </w:rPr>
              <w:fldChar w:fldCharType="end"/>
            </w:r>
          </w:hyperlink>
        </w:p>
        <w:p w14:paraId="5824EF14" w14:textId="41042B11" w:rsidR="00A30C2F" w:rsidRDefault="00A30C2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66269153" w:history="1">
            <w:r w:rsidRPr="00BD6A3E">
              <w:rPr>
                <w:rStyle w:val="Hyperlink"/>
                <w:rFonts w:eastAsiaTheme="majorEastAsia"/>
                <w:noProof/>
              </w:rPr>
              <w:t>1.1</w:t>
            </w:r>
            <w:r>
              <w:rPr>
                <w:rFonts w:asciiTheme="minorHAnsi" w:eastAsiaTheme="minorEastAsia" w:hAnsiTheme="minorHAnsi" w:cstheme="minorBidi"/>
                <w:noProof/>
                <w:sz w:val="22"/>
                <w:szCs w:val="22"/>
                <w:lang w:val="en-CA" w:eastAsia="en-CA"/>
              </w:rPr>
              <w:tab/>
            </w:r>
            <w:r w:rsidRPr="00BD6A3E">
              <w:rPr>
                <w:rStyle w:val="Hyperlink"/>
                <w:rFonts w:eastAsiaTheme="majorEastAsia"/>
                <w:noProof/>
              </w:rPr>
              <w:t>Terms of use</w:t>
            </w:r>
            <w:r>
              <w:rPr>
                <w:noProof/>
                <w:webHidden/>
              </w:rPr>
              <w:tab/>
            </w:r>
            <w:r>
              <w:rPr>
                <w:noProof/>
                <w:webHidden/>
              </w:rPr>
              <w:fldChar w:fldCharType="begin"/>
            </w:r>
            <w:r>
              <w:rPr>
                <w:noProof/>
                <w:webHidden/>
              </w:rPr>
              <w:instrText xml:space="preserve"> PAGEREF _Toc66269153 \h </w:instrText>
            </w:r>
            <w:r>
              <w:rPr>
                <w:noProof/>
                <w:webHidden/>
              </w:rPr>
            </w:r>
            <w:r>
              <w:rPr>
                <w:noProof/>
                <w:webHidden/>
              </w:rPr>
              <w:fldChar w:fldCharType="separate"/>
            </w:r>
            <w:r w:rsidR="00DB5CF9">
              <w:rPr>
                <w:noProof/>
                <w:webHidden/>
              </w:rPr>
              <w:t>4</w:t>
            </w:r>
            <w:r>
              <w:rPr>
                <w:noProof/>
                <w:webHidden/>
              </w:rPr>
              <w:fldChar w:fldCharType="end"/>
            </w:r>
          </w:hyperlink>
        </w:p>
        <w:p w14:paraId="1BF4B5B3" w14:textId="6E4416D2" w:rsidR="00A30C2F" w:rsidRDefault="00A30C2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66269154" w:history="1">
            <w:r w:rsidRPr="00BD6A3E">
              <w:rPr>
                <w:rStyle w:val="Hyperlink"/>
                <w:rFonts w:eastAsiaTheme="majorEastAsia"/>
                <w:noProof/>
              </w:rPr>
              <w:t>1.2</w:t>
            </w:r>
            <w:r>
              <w:rPr>
                <w:rFonts w:asciiTheme="minorHAnsi" w:eastAsiaTheme="minorEastAsia" w:hAnsiTheme="minorHAnsi" w:cstheme="minorBidi"/>
                <w:noProof/>
                <w:sz w:val="22"/>
                <w:szCs w:val="22"/>
                <w:lang w:val="en-CA" w:eastAsia="en-CA"/>
              </w:rPr>
              <w:tab/>
            </w:r>
            <w:r w:rsidRPr="00BD6A3E">
              <w:rPr>
                <w:rStyle w:val="Hyperlink"/>
                <w:rFonts w:eastAsiaTheme="majorEastAsia"/>
                <w:noProof/>
              </w:rPr>
              <w:t>Change log</w:t>
            </w:r>
            <w:r>
              <w:rPr>
                <w:noProof/>
                <w:webHidden/>
              </w:rPr>
              <w:tab/>
            </w:r>
            <w:r>
              <w:rPr>
                <w:noProof/>
                <w:webHidden/>
              </w:rPr>
              <w:fldChar w:fldCharType="begin"/>
            </w:r>
            <w:r>
              <w:rPr>
                <w:noProof/>
                <w:webHidden/>
              </w:rPr>
              <w:instrText xml:space="preserve"> PAGEREF _Toc66269154 \h </w:instrText>
            </w:r>
            <w:r>
              <w:rPr>
                <w:noProof/>
                <w:webHidden/>
              </w:rPr>
            </w:r>
            <w:r>
              <w:rPr>
                <w:noProof/>
                <w:webHidden/>
              </w:rPr>
              <w:fldChar w:fldCharType="separate"/>
            </w:r>
            <w:r w:rsidR="00DB5CF9">
              <w:rPr>
                <w:noProof/>
                <w:webHidden/>
              </w:rPr>
              <w:t>4</w:t>
            </w:r>
            <w:r>
              <w:rPr>
                <w:noProof/>
                <w:webHidden/>
              </w:rPr>
              <w:fldChar w:fldCharType="end"/>
            </w:r>
          </w:hyperlink>
        </w:p>
        <w:p w14:paraId="15EB48EE" w14:textId="53664D24" w:rsidR="00A30C2F" w:rsidRDefault="00A30C2F">
          <w:pPr>
            <w:pStyle w:val="TOC1"/>
            <w:tabs>
              <w:tab w:val="right" w:leader="dot" w:pos="9350"/>
            </w:tabs>
            <w:rPr>
              <w:rFonts w:asciiTheme="minorHAnsi" w:eastAsiaTheme="minorEastAsia" w:hAnsiTheme="minorHAnsi" w:cstheme="minorBidi"/>
              <w:noProof/>
              <w:sz w:val="22"/>
              <w:szCs w:val="22"/>
              <w:lang w:val="en-CA" w:eastAsia="en-CA"/>
            </w:rPr>
          </w:pPr>
          <w:hyperlink w:anchor="_Toc66269155" w:history="1">
            <w:r w:rsidRPr="00BD6A3E">
              <w:rPr>
                <w:rStyle w:val="Hyperlink"/>
                <w:rFonts w:eastAsiaTheme="majorEastAsia"/>
                <w:noProof/>
              </w:rPr>
              <w:t>2. Methods within MobCal-MPI</w:t>
            </w:r>
            <w:r>
              <w:rPr>
                <w:noProof/>
                <w:webHidden/>
              </w:rPr>
              <w:tab/>
            </w:r>
            <w:r>
              <w:rPr>
                <w:noProof/>
                <w:webHidden/>
              </w:rPr>
              <w:fldChar w:fldCharType="begin"/>
            </w:r>
            <w:r>
              <w:rPr>
                <w:noProof/>
                <w:webHidden/>
              </w:rPr>
              <w:instrText xml:space="preserve"> PAGEREF _Toc66269155 \h </w:instrText>
            </w:r>
            <w:r>
              <w:rPr>
                <w:noProof/>
                <w:webHidden/>
              </w:rPr>
            </w:r>
            <w:r>
              <w:rPr>
                <w:noProof/>
                <w:webHidden/>
              </w:rPr>
              <w:fldChar w:fldCharType="separate"/>
            </w:r>
            <w:r w:rsidR="00DB5CF9">
              <w:rPr>
                <w:noProof/>
                <w:webHidden/>
              </w:rPr>
              <w:t>5</w:t>
            </w:r>
            <w:r>
              <w:rPr>
                <w:noProof/>
                <w:webHidden/>
              </w:rPr>
              <w:fldChar w:fldCharType="end"/>
            </w:r>
          </w:hyperlink>
        </w:p>
        <w:p w14:paraId="7E598F13" w14:textId="1C8614A8" w:rsidR="00A30C2F" w:rsidRDefault="00A30C2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66269156" w:history="1">
            <w:r w:rsidRPr="00BD6A3E">
              <w:rPr>
                <w:rStyle w:val="Hyperlink"/>
                <w:rFonts w:eastAsiaTheme="majorEastAsia"/>
                <w:noProof/>
              </w:rPr>
              <w:t>2.1</w:t>
            </w:r>
            <w:r>
              <w:rPr>
                <w:rFonts w:asciiTheme="minorHAnsi" w:eastAsiaTheme="minorEastAsia" w:hAnsiTheme="minorHAnsi" w:cstheme="minorBidi"/>
                <w:noProof/>
                <w:sz w:val="22"/>
                <w:szCs w:val="22"/>
                <w:lang w:val="en-CA" w:eastAsia="en-CA"/>
              </w:rPr>
              <w:tab/>
            </w:r>
            <w:r w:rsidRPr="00BD6A3E">
              <w:rPr>
                <w:rStyle w:val="Hyperlink"/>
                <w:rFonts w:eastAsiaTheme="majorEastAsia"/>
                <w:noProof/>
              </w:rPr>
              <w:t>Trajectory method</w:t>
            </w:r>
            <w:r>
              <w:rPr>
                <w:noProof/>
                <w:webHidden/>
              </w:rPr>
              <w:tab/>
            </w:r>
            <w:r>
              <w:rPr>
                <w:noProof/>
                <w:webHidden/>
              </w:rPr>
              <w:fldChar w:fldCharType="begin"/>
            </w:r>
            <w:r>
              <w:rPr>
                <w:noProof/>
                <w:webHidden/>
              </w:rPr>
              <w:instrText xml:space="preserve"> PAGEREF _Toc66269156 \h </w:instrText>
            </w:r>
            <w:r>
              <w:rPr>
                <w:noProof/>
                <w:webHidden/>
              </w:rPr>
            </w:r>
            <w:r>
              <w:rPr>
                <w:noProof/>
                <w:webHidden/>
              </w:rPr>
              <w:fldChar w:fldCharType="separate"/>
            </w:r>
            <w:r w:rsidR="00DB5CF9">
              <w:rPr>
                <w:noProof/>
                <w:webHidden/>
              </w:rPr>
              <w:t>5</w:t>
            </w:r>
            <w:r>
              <w:rPr>
                <w:noProof/>
                <w:webHidden/>
              </w:rPr>
              <w:fldChar w:fldCharType="end"/>
            </w:r>
          </w:hyperlink>
        </w:p>
        <w:p w14:paraId="4CD2CA15" w14:textId="665A3351" w:rsidR="00A30C2F" w:rsidRDefault="00A30C2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66269157" w:history="1">
            <w:r w:rsidRPr="00BD6A3E">
              <w:rPr>
                <w:rStyle w:val="Hyperlink"/>
                <w:rFonts w:eastAsiaTheme="majorEastAsia"/>
                <w:noProof/>
              </w:rPr>
              <w:t>2.2</w:t>
            </w:r>
            <w:r>
              <w:rPr>
                <w:rFonts w:asciiTheme="minorHAnsi" w:eastAsiaTheme="minorEastAsia" w:hAnsiTheme="minorHAnsi" w:cstheme="minorBidi"/>
                <w:noProof/>
                <w:sz w:val="22"/>
                <w:szCs w:val="22"/>
                <w:lang w:val="en-CA" w:eastAsia="en-CA"/>
              </w:rPr>
              <w:tab/>
            </w:r>
            <w:r w:rsidRPr="00BD6A3E">
              <w:rPr>
                <w:rStyle w:val="Hyperlink"/>
                <w:rFonts w:eastAsiaTheme="majorEastAsia"/>
                <w:noProof/>
              </w:rPr>
              <w:t>Optimization of atom-specific vdW parameters in MobCal-MPI</w:t>
            </w:r>
            <w:r>
              <w:rPr>
                <w:noProof/>
                <w:webHidden/>
              </w:rPr>
              <w:tab/>
            </w:r>
            <w:r>
              <w:rPr>
                <w:noProof/>
                <w:webHidden/>
              </w:rPr>
              <w:fldChar w:fldCharType="begin"/>
            </w:r>
            <w:r>
              <w:rPr>
                <w:noProof/>
                <w:webHidden/>
              </w:rPr>
              <w:instrText xml:space="preserve"> PAGEREF _Toc66269157 \h </w:instrText>
            </w:r>
            <w:r>
              <w:rPr>
                <w:noProof/>
                <w:webHidden/>
              </w:rPr>
            </w:r>
            <w:r>
              <w:rPr>
                <w:noProof/>
                <w:webHidden/>
              </w:rPr>
              <w:fldChar w:fldCharType="separate"/>
            </w:r>
            <w:r w:rsidR="00DB5CF9">
              <w:rPr>
                <w:noProof/>
                <w:webHidden/>
              </w:rPr>
              <w:t>7</w:t>
            </w:r>
            <w:r>
              <w:rPr>
                <w:noProof/>
                <w:webHidden/>
              </w:rPr>
              <w:fldChar w:fldCharType="end"/>
            </w:r>
          </w:hyperlink>
        </w:p>
        <w:p w14:paraId="4D9F5CF9" w14:textId="2E45676E" w:rsidR="00A30C2F" w:rsidRDefault="00A30C2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66269158" w:history="1">
            <w:r w:rsidRPr="00BD6A3E">
              <w:rPr>
                <w:rStyle w:val="Hyperlink"/>
                <w:rFonts w:eastAsiaTheme="majorEastAsia"/>
                <w:noProof/>
              </w:rPr>
              <w:t>2.3</w:t>
            </w:r>
            <w:r>
              <w:rPr>
                <w:rFonts w:asciiTheme="minorHAnsi" w:eastAsiaTheme="minorEastAsia" w:hAnsiTheme="minorHAnsi" w:cstheme="minorBidi"/>
                <w:noProof/>
                <w:sz w:val="22"/>
                <w:szCs w:val="22"/>
                <w:lang w:val="en-CA" w:eastAsia="en-CA"/>
              </w:rPr>
              <w:tab/>
            </w:r>
            <w:r w:rsidRPr="00BD6A3E">
              <w:rPr>
                <w:rStyle w:val="Hyperlink"/>
                <w:rFonts w:eastAsiaTheme="majorEastAsia"/>
                <w:noProof/>
              </w:rPr>
              <w:t>Assessing the accuracy of MobCal-MPI</w:t>
            </w:r>
            <w:r>
              <w:rPr>
                <w:noProof/>
                <w:webHidden/>
              </w:rPr>
              <w:tab/>
            </w:r>
            <w:r>
              <w:rPr>
                <w:noProof/>
                <w:webHidden/>
              </w:rPr>
              <w:fldChar w:fldCharType="begin"/>
            </w:r>
            <w:r>
              <w:rPr>
                <w:noProof/>
                <w:webHidden/>
              </w:rPr>
              <w:instrText xml:space="preserve"> PAGEREF _Toc66269158 \h </w:instrText>
            </w:r>
            <w:r>
              <w:rPr>
                <w:noProof/>
                <w:webHidden/>
              </w:rPr>
            </w:r>
            <w:r>
              <w:rPr>
                <w:noProof/>
                <w:webHidden/>
              </w:rPr>
              <w:fldChar w:fldCharType="separate"/>
            </w:r>
            <w:r w:rsidR="00DB5CF9">
              <w:rPr>
                <w:noProof/>
                <w:webHidden/>
              </w:rPr>
              <w:t>9</w:t>
            </w:r>
            <w:r>
              <w:rPr>
                <w:noProof/>
                <w:webHidden/>
              </w:rPr>
              <w:fldChar w:fldCharType="end"/>
            </w:r>
          </w:hyperlink>
        </w:p>
        <w:p w14:paraId="75BE9206" w14:textId="39F1AA88"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59" w:history="1">
            <w:r w:rsidRPr="00BD6A3E">
              <w:rPr>
                <w:rStyle w:val="Hyperlink"/>
                <w:rFonts w:eastAsiaTheme="majorEastAsia"/>
                <w:noProof/>
              </w:rPr>
              <w:t>2.3.1 – Accuracy of the trajectory method</w:t>
            </w:r>
            <w:r>
              <w:rPr>
                <w:noProof/>
                <w:webHidden/>
              </w:rPr>
              <w:tab/>
            </w:r>
            <w:r>
              <w:rPr>
                <w:noProof/>
                <w:webHidden/>
              </w:rPr>
              <w:fldChar w:fldCharType="begin"/>
            </w:r>
            <w:r>
              <w:rPr>
                <w:noProof/>
                <w:webHidden/>
              </w:rPr>
              <w:instrText xml:space="preserve"> PAGEREF _Toc66269159 \h </w:instrText>
            </w:r>
            <w:r>
              <w:rPr>
                <w:noProof/>
                <w:webHidden/>
              </w:rPr>
            </w:r>
            <w:r>
              <w:rPr>
                <w:noProof/>
                <w:webHidden/>
              </w:rPr>
              <w:fldChar w:fldCharType="separate"/>
            </w:r>
            <w:r w:rsidR="00DB5CF9">
              <w:rPr>
                <w:noProof/>
                <w:webHidden/>
              </w:rPr>
              <w:t>9</w:t>
            </w:r>
            <w:r>
              <w:rPr>
                <w:noProof/>
                <w:webHidden/>
              </w:rPr>
              <w:fldChar w:fldCharType="end"/>
            </w:r>
          </w:hyperlink>
        </w:p>
        <w:p w14:paraId="2AF4DAA8" w14:textId="25F436FF"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60" w:history="1">
            <w:r w:rsidRPr="00BD6A3E">
              <w:rPr>
                <w:rStyle w:val="Hyperlink"/>
                <w:rFonts w:eastAsiaTheme="majorEastAsia"/>
                <w:noProof/>
              </w:rPr>
              <w:t>2.3.2 – Influence of trajectory method parameters on calculated CCS accuracy</w:t>
            </w:r>
            <w:r>
              <w:rPr>
                <w:noProof/>
                <w:webHidden/>
              </w:rPr>
              <w:tab/>
            </w:r>
            <w:r>
              <w:rPr>
                <w:noProof/>
                <w:webHidden/>
              </w:rPr>
              <w:fldChar w:fldCharType="begin"/>
            </w:r>
            <w:r>
              <w:rPr>
                <w:noProof/>
                <w:webHidden/>
              </w:rPr>
              <w:instrText xml:space="preserve"> PAGEREF _Toc66269160 \h </w:instrText>
            </w:r>
            <w:r>
              <w:rPr>
                <w:noProof/>
                <w:webHidden/>
              </w:rPr>
            </w:r>
            <w:r>
              <w:rPr>
                <w:noProof/>
                <w:webHidden/>
              </w:rPr>
              <w:fldChar w:fldCharType="separate"/>
            </w:r>
            <w:r w:rsidR="00DB5CF9">
              <w:rPr>
                <w:noProof/>
                <w:webHidden/>
              </w:rPr>
              <w:t>10</w:t>
            </w:r>
            <w:r>
              <w:rPr>
                <w:noProof/>
                <w:webHidden/>
              </w:rPr>
              <w:fldChar w:fldCharType="end"/>
            </w:r>
          </w:hyperlink>
        </w:p>
        <w:p w14:paraId="0E7516DB" w14:textId="73213611"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61" w:history="1">
            <w:r w:rsidRPr="00BD6A3E">
              <w:rPr>
                <w:rStyle w:val="Hyperlink"/>
                <w:rFonts w:eastAsiaTheme="majorEastAsia"/>
                <w:noProof/>
              </w:rPr>
              <w:t>2.3.3 – Influence of charge-neutral interactions in CCS calculations</w:t>
            </w:r>
            <w:r>
              <w:rPr>
                <w:noProof/>
                <w:webHidden/>
              </w:rPr>
              <w:tab/>
            </w:r>
            <w:r>
              <w:rPr>
                <w:noProof/>
                <w:webHidden/>
              </w:rPr>
              <w:fldChar w:fldCharType="begin"/>
            </w:r>
            <w:r>
              <w:rPr>
                <w:noProof/>
                <w:webHidden/>
              </w:rPr>
              <w:instrText xml:space="preserve"> PAGEREF _Toc66269161 \h </w:instrText>
            </w:r>
            <w:r>
              <w:rPr>
                <w:noProof/>
                <w:webHidden/>
              </w:rPr>
            </w:r>
            <w:r>
              <w:rPr>
                <w:noProof/>
                <w:webHidden/>
              </w:rPr>
              <w:fldChar w:fldCharType="separate"/>
            </w:r>
            <w:r w:rsidR="00DB5CF9">
              <w:rPr>
                <w:noProof/>
                <w:webHidden/>
              </w:rPr>
              <w:t>11</w:t>
            </w:r>
            <w:r>
              <w:rPr>
                <w:noProof/>
                <w:webHidden/>
              </w:rPr>
              <w:fldChar w:fldCharType="end"/>
            </w:r>
          </w:hyperlink>
        </w:p>
        <w:p w14:paraId="3CFA8F66" w14:textId="72B13A9A" w:rsidR="00A30C2F" w:rsidRDefault="00A30C2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66269162" w:history="1">
            <w:r w:rsidRPr="00BD6A3E">
              <w:rPr>
                <w:rStyle w:val="Hyperlink"/>
                <w:rFonts w:eastAsiaTheme="majorEastAsia"/>
                <w:noProof/>
              </w:rPr>
              <w:t>2.4</w:t>
            </w:r>
            <w:r>
              <w:rPr>
                <w:rFonts w:asciiTheme="minorHAnsi" w:eastAsiaTheme="minorEastAsia" w:hAnsiTheme="minorHAnsi" w:cstheme="minorBidi"/>
                <w:noProof/>
                <w:sz w:val="22"/>
                <w:szCs w:val="22"/>
                <w:lang w:val="en-CA" w:eastAsia="en-CA"/>
              </w:rPr>
              <w:tab/>
            </w:r>
            <w:r w:rsidRPr="00BD6A3E">
              <w:rPr>
                <w:rStyle w:val="Hyperlink"/>
                <w:rFonts w:eastAsiaTheme="majorEastAsia"/>
                <w:noProof/>
              </w:rPr>
              <w:t>Benchmarking CCS calculation speed</w:t>
            </w:r>
            <w:r>
              <w:rPr>
                <w:noProof/>
                <w:webHidden/>
              </w:rPr>
              <w:tab/>
            </w:r>
            <w:r>
              <w:rPr>
                <w:noProof/>
                <w:webHidden/>
              </w:rPr>
              <w:fldChar w:fldCharType="begin"/>
            </w:r>
            <w:r>
              <w:rPr>
                <w:noProof/>
                <w:webHidden/>
              </w:rPr>
              <w:instrText xml:space="preserve"> PAGEREF _Toc66269162 \h </w:instrText>
            </w:r>
            <w:r>
              <w:rPr>
                <w:noProof/>
                <w:webHidden/>
              </w:rPr>
            </w:r>
            <w:r>
              <w:rPr>
                <w:noProof/>
                <w:webHidden/>
              </w:rPr>
              <w:fldChar w:fldCharType="separate"/>
            </w:r>
            <w:r w:rsidR="00DB5CF9">
              <w:rPr>
                <w:noProof/>
                <w:webHidden/>
              </w:rPr>
              <w:t>14</w:t>
            </w:r>
            <w:r>
              <w:rPr>
                <w:noProof/>
                <w:webHidden/>
              </w:rPr>
              <w:fldChar w:fldCharType="end"/>
            </w:r>
          </w:hyperlink>
        </w:p>
        <w:p w14:paraId="735C0C9A" w14:textId="79279F46" w:rsidR="00A30C2F" w:rsidRDefault="00A30C2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66269163" w:history="1">
            <w:r w:rsidRPr="00BD6A3E">
              <w:rPr>
                <w:rStyle w:val="Hyperlink"/>
                <w:rFonts w:eastAsiaTheme="majorEastAsia"/>
                <w:noProof/>
              </w:rPr>
              <w:t>2.5</w:t>
            </w:r>
            <w:r>
              <w:rPr>
                <w:rFonts w:asciiTheme="minorHAnsi" w:eastAsiaTheme="minorEastAsia" w:hAnsiTheme="minorHAnsi" w:cstheme="minorBidi"/>
                <w:noProof/>
                <w:sz w:val="22"/>
                <w:szCs w:val="22"/>
                <w:lang w:val="en-CA" w:eastAsia="en-CA"/>
              </w:rPr>
              <w:tab/>
            </w:r>
            <w:r w:rsidRPr="00BD6A3E">
              <w:rPr>
                <w:rStyle w:val="Hyperlink"/>
                <w:rFonts w:eastAsiaTheme="majorEastAsia"/>
                <w:noProof/>
              </w:rPr>
              <w:t>Additional Reading</w:t>
            </w:r>
            <w:r>
              <w:rPr>
                <w:noProof/>
                <w:webHidden/>
              </w:rPr>
              <w:tab/>
            </w:r>
            <w:r>
              <w:rPr>
                <w:noProof/>
                <w:webHidden/>
              </w:rPr>
              <w:fldChar w:fldCharType="begin"/>
            </w:r>
            <w:r>
              <w:rPr>
                <w:noProof/>
                <w:webHidden/>
              </w:rPr>
              <w:instrText xml:space="preserve"> PAGEREF _Toc66269163 \h </w:instrText>
            </w:r>
            <w:r>
              <w:rPr>
                <w:noProof/>
                <w:webHidden/>
              </w:rPr>
            </w:r>
            <w:r>
              <w:rPr>
                <w:noProof/>
                <w:webHidden/>
              </w:rPr>
              <w:fldChar w:fldCharType="separate"/>
            </w:r>
            <w:r w:rsidR="00DB5CF9">
              <w:rPr>
                <w:noProof/>
                <w:webHidden/>
              </w:rPr>
              <w:t>15</w:t>
            </w:r>
            <w:r>
              <w:rPr>
                <w:noProof/>
                <w:webHidden/>
              </w:rPr>
              <w:fldChar w:fldCharType="end"/>
            </w:r>
          </w:hyperlink>
        </w:p>
        <w:p w14:paraId="2D5C53E7" w14:textId="7249E6B2" w:rsidR="00A30C2F" w:rsidRDefault="00A30C2F">
          <w:pPr>
            <w:pStyle w:val="TOC1"/>
            <w:tabs>
              <w:tab w:val="right" w:leader="dot" w:pos="9350"/>
            </w:tabs>
            <w:rPr>
              <w:rFonts w:asciiTheme="minorHAnsi" w:eastAsiaTheme="minorEastAsia" w:hAnsiTheme="minorHAnsi" w:cstheme="minorBidi"/>
              <w:noProof/>
              <w:sz w:val="22"/>
              <w:szCs w:val="22"/>
              <w:lang w:val="en-CA" w:eastAsia="en-CA"/>
            </w:rPr>
          </w:pPr>
          <w:hyperlink w:anchor="_Toc66269164" w:history="1">
            <w:r w:rsidRPr="00BD6A3E">
              <w:rPr>
                <w:rStyle w:val="Hyperlink"/>
                <w:rFonts w:eastAsiaTheme="majorEastAsia"/>
                <w:noProof/>
              </w:rPr>
              <w:t>3. Installing the MobCal-MPI Suite Graphical User Interface (GUI)</w:t>
            </w:r>
            <w:r>
              <w:rPr>
                <w:noProof/>
                <w:webHidden/>
              </w:rPr>
              <w:tab/>
            </w:r>
            <w:r>
              <w:rPr>
                <w:noProof/>
                <w:webHidden/>
              </w:rPr>
              <w:fldChar w:fldCharType="begin"/>
            </w:r>
            <w:r>
              <w:rPr>
                <w:noProof/>
                <w:webHidden/>
              </w:rPr>
              <w:instrText xml:space="preserve"> PAGEREF _Toc66269164 \h </w:instrText>
            </w:r>
            <w:r>
              <w:rPr>
                <w:noProof/>
                <w:webHidden/>
              </w:rPr>
            </w:r>
            <w:r>
              <w:rPr>
                <w:noProof/>
                <w:webHidden/>
              </w:rPr>
              <w:fldChar w:fldCharType="separate"/>
            </w:r>
            <w:r w:rsidR="00DB5CF9">
              <w:rPr>
                <w:noProof/>
                <w:webHidden/>
              </w:rPr>
              <w:t>16</w:t>
            </w:r>
            <w:r>
              <w:rPr>
                <w:noProof/>
                <w:webHidden/>
              </w:rPr>
              <w:fldChar w:fldCharType="end"/>
            </w:r>
          </w:hyperlink>
        </w:p>
        <w:p w14:paraId="4A0B8462" w14:textId="3D9D7C84"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65" w:history="1">
            <w:r w:rsidRPr="00BD6A3E">
              <w:rPr>
                <w:rStyle w:val="Hyperlink"/>
                <w:rFonts w:eastAsiaTheme="majorEastAsia"/>
                <w:noProof/>
              </w:rPr>
              <w:t>3.1 Installing prerequisite packages</w:t>
            </w:r>
            <w:r>
              <w:rPr>
                <w:noProof/>
                <w:webHidden/>
              </w:rPr>
              <w:tab/>
            </w:r>
            <w:r>
              <w:rPr>
                <w:noProof/>
                <w:webHidden/>
              </w:rPr>
              <w:fldChar w:fldCharType="begin"/>
            </w:r>
            <w:r>
              <w:rPr>
                <w:noProof/>
                <w:webHidden/>
              </w:rPr>
              <w:instrText xml:space="preserve"> PAGEREF _Toc66269165 \h </w:instrText>
            </w:r>
            <w:r>
              <w:rPr>
                <w:noProof/>
                <w:webHidden/>
              </w:rPr>
            </w:r>
            <w:r>
              <w:rPr>
                <w:noProof/>
                <w:webHidden/>
              </w:rPr>
              <w:fldChar w:fldCharType="separate"/>
            </w:r>
            <w:r w:rsidR="00DB5CF9">
              <w:rPr>
                <w:noProof/>
                <w:webHidden/>
              </w:rPr>
              <w:t>16</w:t>
            </w:r>
            <w:r>
              <w:rPr>
                <w:noProof/>
                <w:webHidden/>
              </w:rPr>
              <w:fldChar w:fldCharType="end"/>
            </w:r>
          </w:hyperlink>
        </w:p>
        <w:p w14:paraId="36E277AC" w14:textId="78ECE198"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66" w:history="1">
            <w:r w:rsidRPr="00BD6A3E">
              <w:rPr>
                <w:rStyle w:val="Hyperlink"/>
                <w:rFonts w:eastAsiaTheme="majorEastAsia"/>
                <w:noProof/>
              </w:rPr>
              <w:t>Babel 2.4.1</w:t>
            </w:r>
            <w:r>
              <w:rPr>
                <w:noProof/>
                <w:webHidden/>
              </w:rPr>
              <w:tab/>
            </w:r>
            <w:r>
              <w:rPr>
                <w:noProof/>
                <w:webHidden/>
              </w:rPr>
              <w:fldChar w:fldCharType="begin"/>
            </w:r>
            <w:r>
              <w:rPr>
                <w:noProof/>
                <w:webHidden/>
              </w:rPr>
              <w:instrText xml:space="preserve"> PAGEREF _Toc66269166 \h </w:instrText>
            </w:r>
            <w:r>
              <w:rPr>
                <w:noProof/>
                <w:webHidden/>
              </w:rPr>
            </w:r>
            <w:r>
              <w:rPr>
                <w:noProof/>
                <w:webHidden/>
              </w:rPr>
              <w:fldChar w:fldCharType="separate"/>
            </w:r>
            <w:r w:rsidR="00DB5CF9">
              <w:rPr>
                <w:noProof/>
                <w:webHidden/>
              </w:rPr>
              <w:t>16</w:t>
            </w:r>
            <w:r>
              <w:rPr>
                <w:noProof/>
                <w:webHidden/>
              </w:rPr>
              <w:fldChar w:fldCharType="end"/>
            </w:r>
          </w:hyperlink>
        </w:p>
        <w:p w14:paraId="2915D3AF" w14:textId="77FCA95B"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67" w:history="1">
            <w:r w:rsidRPr="00BD6A3E">
              <w:rPr>
                <w:rStyle w:val="Hyperlink"/>
                <w:rFonts w:eastAsiaTheme="majorEastAsia"/>
                <w:noProof/>
              </w:rPr>
              <w:t>3.2 Installing Python and Python libraries</w:t>
            </w:r>
            <w:r>
              <w:rPr>
                <w:noProof/>
                <w:webHidden/>
              </w:rPr>
              <w:tab/>
            </w:r>
            <w:r>
              <w:rPr>
                <w:noProof/>
                <w:webHidden/>
              </w:rPr>
              <w:fldChar w:fldCharType="begin"/>
            </w:r>
            <w:r>
              <w:rPr>
                <w:noProof/>
                <w:webHidden/>
              </w:rPr>
              <w:instrText xml:space="preserve"> PAGEREF _Toc66269167 \h </w:instrText>
            </w:r>
            <w:r>
              <w:rPr>
                <w:noProof/>
                <w:webHidden/>
              </w:rPr>
            </w:r>
            <w:r>
              <w:rPr>
                <w:noProof/>
                <w:webHidden/>
              </w:rPr>
              <w:fldChar w:fldCharType="separate"/>
            </w:r>
            <w:r w:rsidR="00DB5CF9">
              <w:rPr>
                <w:noProof/>
                <w:webHidden/>
              </w:rPr>
              <w:t>17</w:t>
            </w:r>
            <w:r>
              <w:rPr>
                <w:noProof/>
                <w:webHidden/>
              </w:rPr>
              <w:fldChar w:fldCharType="end"/>
            </w:r>
          </w:hyperlink>
        </w:p>
        <w:p w14:paraId="45669E04" w14:textId="3E5AD5CF"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68" w:history="1">
            <w:r w:rsidRPr="00BD6A3E">
              <w:rPr>
                <w:rStyle w:val="Hyperlink"/>
                <w:rFonts w:eastAsiaTheme="majorEastAsia"/>
                <w:noProof/>
              </w:rPr>
              <w:t>Python 3.7 or 3.8</w:t>
            </w:r>
            <w:r>
              <w:rPr>
                <w:noProof/>
                <w:webHidden/>
              </w:rPr>
              <w:tab/>
            </w:r>
            <w:r>
              <w:rPr>
                <w:noProof/>
                <w:webHidden/>
              </w:rPr>
              <w:fldChar w:fldCharType="begin"/>
            </w:r>
            <w:r>
              <w:rPr>
                <w:noProof/>
                <w:webHidden/>
              </w:rPr>
              <w:instrText xml:space="preserve"> PAGEREF _Toc66269168 \h </w:instrText>
            </w:r>
            <w:r>
              <w:rPr>
                <w:noProof/>
                <w:webHidden/>
              </w:rPr>
            </w:r>
            <w:r>
              <w:rPr>
                <w:noProof/>
                <w:webHidden/>
              </w:rPr>
              <w:fldChar w:fldCharType="separate"/>
            </w:r>
            <w:r w:rsidR="00DB5CF9">
              <w:rPr>
                <w:noProof/>
                <w:webHidden/>
              </w:rPr>
              <w:t>17</w:t>
            </w:r>
            <w:r>
              <w:rPr>
                <w:noProof/>
                <w:webHidden/>
              </w:rPr>
              <w:fldChar w:fldCharType="end"/>
            </w:r>
          </w:hyperlink>
        </w:p>
        <w:p w14:paraId="0CC8D733" w14:textId="69605732"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69" w:history="1">
            <w:r w:rsidRPr="00BD6A3E">
              <w:rPr>
                <w:rStyle w:val="Hyperlink"/>
                <w:rFonts w:eastAsiaTheme="majorEastAsia"/>
                <w:noProof/>
              </w:rPr>
              <w:t>Numpy and PyQt5</w:t>
            </w:r>
            <w:r>
              <w:rPr>
                <w:noProof/>
                <w:webHidden/>
              </w:rPr>
              <w:tab/>
            </w:r>
            <w:r>
              <w:rPr>
                <w:noProof/>
                <w:webHidden/>
              </w:rPr>
              <w:fldChar w:fldCharType="begin"/>
            </w:r>
            <w:r>
              <w:rPr>
                <w:noProof/>
                <w:webHidden/>
              </w:rPr>
              <w:instrText xml:space="preserve"> PAGEREF _Toc66269169 \h </w:instrText>
            </w:r>
            <w:r>
              <w:rPr>
                <w:noProof/>
                <w:webHidden/>
              </w:rPr>
            </w:r>
            <w:r>
              <w:rPr>
                <w:noProof/>
                <w:webHidden/>
              </w:rPr>
              <w:fldChar w:fldCharType="separate"/>
            </w:r>
            <w:r w:rsidR="00DB5CF9">
              <w:rPr>
                <w:noProof/>
                <w:webHidden/>
              </w:rPr>
              <w:t>17</w:t>
            </w:r>
            <w:r>
              <w:rPr>
                <w:noProof/>
                <w:webHidden/>
              </w:rPr>
              <w:fldChar w:fldCharType="end"/>
            </w:r>
          </w:hyperlink>
        </w:p>
        <w:p w14:paraId="0FF4678B" w14:textId="3F098063"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70" w:history="1">
            <w:r w:rsidRPr="00BD6A3E">
              <w:rPr>
                <w:rStyle w:val="Hyperlink"/>
                <w:rFonts w:eastAsiaTheme="majorEastAsia"/>
                <w:noProof/>
              </w:rPr>
              <w:t>3.3 Verifying installation</w:t>
            </w:r>
            <w:r>
              <w:rPr>
                <w:noProof/>
                <w:webHidden/>
              </w:rPr>
              <w:tab/>
            </w:r>
            <w:r>
              <w:rPr>
                <w:noProof/>
                <w:webHidden/>
              </w:rPr>
              <w:fldChar w:fldCharType="begin"/>
            </w:r>
            <w:r>
              <w:rPr>
                <w:noProof/>
                <w:webHidden/>
              </w:rPr>
              <w:instrText xml:space="preserve"> PAGEREF _Toc66269170 \h </w:instrText>
            </w:r>
            <w:r>
              <w:rPr>
                <w:noProof/>
                <w:webHidden/>
              </w:rPr>
            </w:r>
            <w:r>
              <w:rPr>
                <w:noProof/>
                <w:webHidden/>
              </w:rPr>
              <w:fldChar w:fldCharType="separate"/>
            </w:r>
            <w:r w:rsidR="00DB5CF9">
              <w:rPr>
                <w:noProof/>
                <w:webHidden/>
              </w:rPr>
              <w:t>17</w:t>
            </w:r>
            <w:r>
              <w:rPr>
                <w:noProof/>
                <w:webHidden/>
              </w:rPr>
              <w:fldChar w:fldCharType="end"/>
            </w:r>
          </w:hyperlink>
        </w:p>
        <w:p w14:paraId="2E34F2D3" w14:textId="0F7502AE"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71" w:history="1">
            <w:r w:rsidRPr="00BD6A3E">
              <w:rPr>
                <w:rStyle w:val="Hyperlink"/>
                <w:rFonts w:eastAsiaTheme="majorEastAsia"/>
                <w:noProof/>
              </w:rPr>
              <w:t>3.4 Using the MobCal-MPI Suite GUI</w:t>
            </w:r>
            <w:r>
              <w:rPr>
                <w:noProof/>
                <w:webHidden/>
              </w:rPr>
              <w:tab/>
            </w:r>
            <w:r>
              <w:rPr>
                <w:noProof/>
                <w:webHidden/>
              </w:rPr>
              <w:fldChar w:fldCharType="begin"/>
            </w:r>
            <w:r>
              <w:rPr>
                <w:noProof/>
                <w:webHidden/>
              </w:rPr>
              <w:instrText xml:space="preserve"> PAGEREF _Toc66269171 \h </w:instrText>
            </w:r>
            <w:r>
              <w:rPr>
                <w:noProof/>
                <w:webHidden/>
              </w:rPr>
            </w:r>
            <w:r>
              <w:rPr>
                <w:noProof/>
                <w:webHidden/>
              </w:rPr>
              <w:fldChar w:fldCharType="separate"/>
            </w:r>
            <w:r w:rsidR="00DB5CF9">
              <w:rPr>
                <w:noProof/>
                <w:webHidden/>
              </w:rPr>
              <w:t>18</w:t>
            </w:r>
            <w:r>
              <w:rPr>
                <w:noProof/>
                <w:webHidden/>
              </w:rPr>
              <w:fldChar w:fldCharType="end"/>
            </w:r>
          </w:hyperlink>
        </w:p>
        <w:p w14:paraId="40544C63" w14:textId="3C4499C2"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72" w:history="1">
            <w:r w:rsidRPr="00BD6A3E">
              <w:rPr>
                <w:rStyle w:val="Hyperlink"/>
                <w:rFonts w:eastAsiaTheme="majorEastAsia"/>
                <w:noProof/>
              </w:rPr>
              <w:t>3.4.1 mfj Creator</w:t>
            </w:r>
            <w:r>
              <w:rPr>
                <w:noProof/>
                <w:webHidden/>
              </w:rPr>
              <w:tab/>
            </w:r>
            <w:r>
              <w:rPr>
                <w:noProof/>
                <w:webHidden/>
              </w:rPr>
              <w:fldChar w:fldCharType="begin"/>
            </w:r>
            <w:r>
              <w:rPr>
                <w:noProof/>
                <w:webHidden/>
              </w:rPr>
              <w:instrText xml:space="preserve"> PAGEREF _Toc66269172 \h </w:instrText>
            </w:r>
            <w:r>
              <w:rPr>
                <w:noProof/>
                <w:webHidden/>
              </w:rPr>
            </w:r>
            <w:r>
              <w:rPr>
                <w:noProof/>
                <w:webHidden/>
              </w:rPr>
              <w:fldChar w:fldCharType="separate"/>
            </w:r>
            <w:r w:rsidR="00DB5CF9">
              <w:rPr>
                <w:noProof/>
                <w:webHidden/>
              </w:rPr>
              <w:t>18</w:t>
            </w:r>
            <w:r>
              <w:rPr>
                <w:noProof/>
                <w:webHidden/>
              </w:rPr>
              <w:fldChar w:fldCharType="end"/>
            </w:r>
          </w:hyperlink>
        </w:p>
        <w:p w14:paraId="7D035398" w14:textId="4EC58243"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73" w:history="1">
            <w:r w:rsidRPr="00BD6A3E">
              <w:rPr>
                <w:rStyle w:val="Hyperlink"/>
                <w:rFonts w:eastAsiaTheme="majorEastAsia"/>
                <w:noProof/>
              </w:rPr>
              <w:t>3.4.2 Energy Weighter</w:t>
            </w:r>
            <w:r>
              <w:rPr>
                <w:noProof/>
                <w:webHidden/>
              </w:rPr>
              <w:tab/>
            </w:r>
            <w:r>
              <w:rPr>
                <w:noProof/>
                <w:webHidden/>
              </w:rPr>
              <w:fldChar w:fldCharType="begin"/>
            </w:r>
            <w:r>
              <w:rPr>
                <w:noProof/>
                <w:webHidden/>
              </w:rPr>
              <w:instrText xml:space="preserve"> PAGEREF _Toc66269173 \h </w:instrText>
            </w:r>
            <w:r>
              <w:rPr>
                <w:noProof/>
                <w:webHidden/>
              </w:rPr>
            </w:r>
            <w:r>
              <w:rPr>
                <w:noProof/>
                <w:webHidden/>
              </w:rPr>
              <w:fldChar w:fldCharType="separate"/>
            </w:r>
            <w:r w:rsidR="00DB5CF9">
              <w:rPr>
                <w:noProof/>
                <w:webHidden/>
              </w:rPr>
              <w:t>21</w:t>
            </w:r>
            <w:r>
              <w:rPr>
                <w:noProof/>
                <w:webHidden/>
              </w:rPr>
              <w:fldChar w:fldCharType="end"/>
            </w:r>
          </w:hyperlink>
        </w:p>
        <w:p w14:paraId="03AAE210" w14:textId="02ADE0D7"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74" w:history="1">
            <w:r w:rsidRPr="00BD6A3E">
              <w:rPr>
                <w:rStyle w:val="Hyperlink"/>
                <w:rFonts w:eastAsiaTheme="majorEastAsia"/>
                <w:noProof/>
              </w:rPr>
              <w:t>3.4.3 CCS Extractor</w:t>
            </w:r>
            <w:r>
              <w:rPr>
                <w:noProof/>
                <w:webHidden/>
              </w:rPr>
              <w:tab/>
            </w:r>
            <w:r>
              <w:rPr>
                <w:noProof/>
                <w:webHidden/>
              </w:rPr>
              <w:fldChar w:fldCharType="begin"/>
            </w:r>
            <w:r>
              <w:rPr>
                <w:noProof/>
                <w:webHidden/>
              </w:rPr>
              <w:instrText xml:space="preserve"> PAGEREF _Toc66269174 \h </w:instrText>
            </w:r>
            <w:r>
              <w:rPr>
                <w:noProof/>
                <w:webHidden/>
              </w:rPr>
            </w:r>
            <w:r>
              <w:rPr>
                <w:noProof/>
                <w:webHidden/>
              </w:rPr>
              <w:fldChar w:fldCharType="separate"/>
            </w:r>
            <w:r w:rsidR="00DB5CF9">
              <w:rPr>
                <w:noProof/>
                <w:webHidden/>
              </w:rPr>
              <w:t>22</w:t>
            </w:r>
            <w:r>
              <w:rPr>
                <w:noProof/>
                <w:webHidden/>
              </w:rPr>
              <w:fldChar w:fldCharType="end"/>
            </w:r>
          </w:hyperlink>
        </w:p>
        <w:p w14:paraId="4DAF2C65" w14:textId="3ED97DB1" w:rsidR="00A30C2F" w:rsidRDefault="00A30C2F">
          <w:pPr>
            <w:pStyle w:val="TOC1"/>
            <w:tabs>
              <w:tab w:val="right" w:leader="dot" w:pos="9350"/>
            </w:tabs>
            <w:rPr>
              <w:rFonts w:asciiTheme="minorHAnsi" w:eastAsiaTheme="minorEastAsia" w:hAnsiTheme="minorHAnsi" w:cstheme="minorBidi"/>
              <w:noProof/>
              <w:sz w:val="22"/>
              <w:szCs w:val="22"/>
              <w:lang w:val="en-CA" w:eastAsia="en-CA"/>
            </w:rPr>
          </w:pPr>
          <w:hyperlink w:anchor="_Toc66269175" w:history="1">
            <w:r w:rsidRPr="00BD6A3E">
              <w:rPr>
                <w:rStyle w:val="Hyperlink"/>
                <w:rFonts w:eastAsiaTheme="majorEastAsia"/>
                <w:noProof/>
              </w:rPr>
              <w:t>4. Running CCS Calculations in MobCal-MPI</w:t>
            </w:r>
            <w:r>
              <w:rPr>
                <w:noProof/>
                <w:webHidden/>
              </w:rPr>
              <w:tab/>
            </w:r>
            <w:r>
              <w:rPr>
                <w:noProof/>
                <w:webHidden/>
              </w:rPr>
              <w:fldChar w:fldCharType="begin"/>
            </w:r>
            <w:r>
              <w:rPr>
                <w:noProof/>
                <w:webHidden/>
              </w:rPr>
              <w:instrText xml:space="preserve"> PAGEREF _Toc66269175 \h </w:instrText>
            </w:r>
            <w:r>
              <w:rPr>
                <w:noProof/>
                <w:webHidden/>
              </w:rPr>
            </w:r>
            <w:r>
              <w:rPr>
                <w:noProof/>
                <w:webHidden/>
              </w:rPr>
              <w:fldChar w:fldCharType="separate"/>
            </w:r>
            <w:r w:rsidR="00DB5CF9">
              <w:rPr>
                <w:noProof/>
                <w:webHidden/>
              </w:rPr>
              <w:t>23</w:t>
            </w:r>
            <w:r>
              <w:rPr>
                <w:noProof/>
                <w:webHidden/>
              </w:rPr>
              <w:fldChar w:fldCharType="end"/>
            </w:r>
          </w:hyperlink>
        </w:p>
        <w:p w14:paraId="5446FB74" w14:textId="7BD4D0F5"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76" w:history="1">
            <w:r w:rsidRPr="00BD6A3E">
              <w:rPr>
                <w:rStyle w:val="Hyperlink"/>
                <w:rFonts w:eastAsiaTheme="majorEastAsia"/>
                <w:noProof/>
              </w:rPr>
              <w:t>4.1 Compiling MobCal-MPI</w:t>
            </w:r>
            <w:r>
              <w:rPr>
                <w:noProof/>
                <w:webHidden/>
              </w:rPr>
              <w:tab/>
            </w:r>
            <w:r>
              <w:rPr>
                <w:noProof/>
                <w:webHidden/>
              </w:rPr>
              <w:fldChar w:fldCharType="begin"/>
            </w:r>
            <w:r>
              <w:rPr>
                <w:noProof/>
                <w:webHidden/>
              </w:rPr>
              <w:instrText xml:space="preserve"> PAGEREF _Toc66269176 \h </w:instrText>
            </w:r>
            <w:r>
              <w:rPr>
                <w:noProof/>
                <w:webHidden/>
              </w:rPr>
            </w:r>
            <w:r>
              <w:rPr>
                <w:noProof/>
                <w:webHidden/>
              </w:rPr>
              <w:fldChar w:fldCharType="separate"/>
            </w:r>
            <w:r w:rsidR="00DB5CF9">
              <w:rPr>
                <w:noProof/>
                <w:webHidden/>
              </w:rPr>
              <w:t>23</w:t>
            </w:r>
            <w:r>
              <w:rPr>
                <w:noProof/>
                <w:webHidden/>
              </w:rPr>
              <w:fldChar w:fldCharType="end"/>
            </w:r>
          </w:hyperlink>
        </w:p>
        <w:p w14:paraId="42296609" w14:textId="62B0E81F"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77" w:history="1">
            <w:r w:rsidRPr="00BD6A3E">
              <w:rPr>
                <w:rStyle w:val="Hyperlink"/>
                <w:rFonts w:eastAsiaTheme="majorEastAsia"/>
                <w:noProof/>
              </w:rPr>
              <w:t>4.1.1 Compiler version</w:t>
            </w:r>
            <w:r>
              <w:rPr>
                <w:noProof/>
                <w:webHidden/>
              </w:rPr>
              <w:tab/>
            </w:r>
            <w:r>
              <w:rPr>
                <w:noProof/>
                <w:webHidden/>
              </w:rPr>
              <w:fldChar w:fldCharType="begin"/>
            </w:r>
            <w:r>
              <w:rPr>
                <w:noProof/>
                <w:webHidden/>
              </w:rPr>
              <w:instrText xml:space="preserve"> PAGEREF _Toc66269177 \h </w:instrText>
            </w:r>
            <w:r>
              <w:rPr>
                <w:noProof/>
                <w:webHidden/>
              </w:rPr>
            </w:r>
            <w:r>
              <w:rPr>
                <w:noProof/>
                <w:webHidden/>
              </w:rPr>
              <w:fldChar w:fldCharType="separate"/>
            </w:r>
            <w:r w:rsidR="00DB5CF9">
              <w:rPr>
                <w:noProof/>
                <w:webHidden/>
              </w:rPr>
              <w:t>23</w:t>
            </w:r>
            <w:r>
              <w:rPr>
                <w:noProof/>
                <w:webHidden/>
              </w:rPr>
              <w:fldChar w:fldCharType="end"/>
            </w:r>
          </w:hyperlink>
        </w:p>
        <w:p w14:paraId="493C3964" w14:textId="3E732891"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78" w:history="1">
            <w:r w:rsidRPr="00BD6A3E">
              <w:rPr>
                <w:rStyle w:val="Hyperlink"/>
                <w:rFonts w:eastAsiaTheme="majorEastAsia"/>
                <w:noProof/>
              </w:rPr>
              <w:t>4.1.2 Compilation of MobCal-MPI</w:t>
            </w:r>
            <w:r>
              <w:rPr>
                <w:noProof/>
                <w:webHidden/>
              </w:rPr>
              <w:tab/>
            </w:r>
            <w:r>
              <w:rPr>
                <w:noProof/>
                <w:webHidden/>
              </w:rPr>
              <w:fldChar w:fldCharType="begin"/>
            </w:r>
            <w:r>
              <w:rPr>
                <w:noProof/>
                <w:webHidden/>
              </w:rPr>
              <w:instrText xml:space="preserve"> PAGEREF _Toc66269178 \h </w:instrText>
            </w:r>
            <w:r>
              <w:rPr>
                <w:noProof/>
                <w:webHidden/>
              </w:rPr>
            </w:r>
            <w:r>
              <w:rPr>
                <w:noProof/>
                <w:webHidden/>
              </w:rPr>
              <w:fldChar w:fldCharType="separate"/>
            </w:r>
            <w:r w:rsidR="00DB5CF9">
              <w:rPr>
                <w:noProof/>
                <w:webHidden/>
              </w:rPr>
              <w:t>23</w:t>
            </w:r>
            <w:r>
              <w:rPr>
                <w:noProof/>
                <w:webHidden/>
              </w:rPr>
              <w:fldChar w:fldCharType="end"/>
            </w:r>
          </w:hyperlink>
        </w:p>
        <w:p w14:paraId="26728E2B" w14:textId="7EABD956"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79" w:history="1">
            <w:r w:rsidRPr="00BD6A3E">
              <w:rPr>
                <w:rStyle w:val="Hyperlink"/>
                <w:rFonts w:eastAsiaTheme="majorEastAsia"/>
                <w:noProof/>
              </w:rPr>
              <w:t>4.2 Running MobCal-MPI</w:t>
            </w:r>
            <w:r>
              <w:rPr>
                <w:noProof/>
                <w:webHidden/>
              </w:rPr>
              <w:tab/>
            </w:r>
            <w:r>
              <w:rPr>
                <w:noProof/>
                <w:webHidden/>
              </w:rPr>
              <w:fldChar w:fldCharType="begin"/>
            </w:r>
            <w:r>
              <w:rPr>
                <w:noProof/>
                <w:webHidden/>
              </w:rPr>
              <w:instrText xml:space="preserve"> PAGEREF _Toc66269179 \h </w:instrText>
            </w:r>
            <w:r>
              <w:rPr>
                <w:noProof/>
                <w:webHidden/>
              </w:rPr>
            </w:r>
            <w:r>
              <w:rPr>
                <w:noProof/>
                <w:webHidden/>
              </w:rPr>
              <w:fldChar w:fldCharType="separate"/>
            </w:r>
            <w:r w:rsidR="00DB5CF9">
              <w:rPr>
                <w:noProof/>
                <w:webHidden/>
              </w:rPr>
              <w:t>24</w:t>
            </w:r>
            <w:r>
              <w:rPr>
                <w:noProof/>
                <w:webHidden/>
              </w:rPr>
              <w:fldChar w:fldCharType="end"/>
            </w:r>
          </w:hyperlink>
        </w:p>
        <w:p w14:paraId="13C4BD1F" w14:textId="051AAD72"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80" w:history="1">
            <w:r w:rsidRPr="00BD6A3E">
              <w:rPr>
                <w:rStyle w:val="Hyperlink"/>
                <w:rFonts w:eastAsiaTheme="majorEastAsia"/>
                <w:noProof/>
              </w:rPr>
              <w:t>4.2.1 Submitting a MobCal-MPI job</w:t>
            </w:r>
            <w:r>
              <w:rPr>
                <w:noProof/>
                <w:webHidden/>
              </w:rPr>
              <w:tab/>
            </w:r>
            <w:r>
              <w:rPr>
                <w:noProof/>
                <w:webHidden/>
              </w:rPr>
              <w:fldChar w:fldCharType="begin"/>
            </w:r>
            <w:r>
              <w:rPr>
                <w:noProof/>
                <w:webHidden/>
              </w:rPr>
              <w:instrText xml:space="preserve"> PAGEREF _Toc66269180 \h </w:instrText>
            </w:r>
            <w:r>
              <w:rPr>
                <w:noProof/>
                <w:webHidden/>
              </w:rPr>
            </w:r>
            <w:r>
              <w:rPr>
                <w:noProof/>
                <w:webHidden/>
              </w:rPr>
              <w:fldChar w:fldCharType="separate"/>
            </w:r>
            <w:r w:rsidR="00DB5CF9">
              <w:rPr>
                <w:noProof/>
                <w:webHidden/>
              </w:rPr>
              <w:t>24</w:t>
            </w:r>
            <w:r>
              <w:rPr>
                <w:noProof/>
                <w:webHidden/>
              </w:rPr>
              <w:fldChar w:fldCharType="end"/>
            </w:r>
          </w:hyperlink>
        </w:p>
        <w:p w14:paraId="7D981C42" w14:textId="26DA1F52" w:rsidR="00A30C2F" w:rsidRPr="00A30C2F" w:rsidRDefault="00A30C2F">
          <w:pPr>
            <w:pStyle w:val="TOC3"/>
            <w:tabs>
              <w:tab w:val="right" w:leader="dot" w:pos="9350"/>
            </w:tabs>
            <w:rPr>
              <w:rFonts w:asciiTheme="minorHAnsi" w:eastAsiaTheme="minorEastAsia" w:hAnsiTheme="minorHAnsi" w:cstheme="minorBidi"/>
              <w:b/>
              <w:bCs/>
              <w:noProof/>
              <w:sz w:val="22"/>
              <w:szCs w:val="22"/>
              <w:lang w:val="en-CA" w:eastAsia="en-CA"/>
            </w:rPr>
          </w:pPr>
          <w:hyperlink w:anchor="_Toc66269181" w:history="1">
            <w:r w:rsidRPr="00A30C2F">
              <w:rPr>
                <w:rStyle w:val="Hyperlink"/>
                <w:rFonts w:eastAsiaTheme="majorEastAsia"/>
                <w:b/>
                <w:bCs/>
                <w:noProof/>
              </w:rPr>
              <w:t>***4.2.2 Verifying proper performance of MobCal-MPI</w:t>
            </w:r>
            <w:r w:rsidRPr="00A30C2F">
              <w:rPr>
                <w:b/>
                <w:bCs/>
                <w:noProof/>
                <w:webHidden/>
              </w:rPr>
              <w:tab/>
            </w:r>
            <w:r w:rsidRPr="00A30C2F">
              <w:rPr>
                <w:b/>
                <w:bCs/>
                <w:noProof/>
                <w:webHidden/>
              </w:rPr>
              <w:fldChar w:fldCharType="begin"/>
            </w:r>
            <w:r w:rsidRPr="00A30C2F">
              <w:rPr>
                <w:b/>
                <w:bCs/>
                <w:noProof/>
                <w:webHidden/>
              </w:rPr>
              <w:instrText xml:space="preserve"> PAGEREF _Toc66269181 \h </w:instrText>
            </w:r>
            <w:r w:rsidRPr="00A30C2F">
              <w:rPr>
                <w:b/>
                <w:bCs/>
                <w:noProof/>
                <w:webHidden/>
              </w:rPr>
            </w:r>
            <w:r w:rsidRPr="00A30C2F">
              <w:rPr>
                <w:b/>
                <w:bCs/>
                <w:noProof/>
                <w:webHidden/>
              </w:rPr>
              <w:fldChar w:fldCharType="separate"/>
            </w:r>
            <w:r w:rsidR="00DB5CF9">
              <w:rPr>
                <w:b/>
                <w:bCs/>
                <w:noProof/>
                <w:webHidden/>
              </w:rPr>
              <w:t>25</w:t>
            </w:r>
            <w:r w:rsidRPr="00A30C2F">
              <w:rPr>
                <w:b/>
                <w:bCs/>
                <w:noProof/>
                <w:webHidden/>
              </w:rPr>
              <w:fldChar w:fldCharType="end"/>
            </w:r>
          </w:hyperlink>
        </w:p>
        <w:p w14:paraId="4F81138D" w14:textId="589B4BCC" w:rsidR="00A30C2F" w:rsidRDefault="00A30C2F">
          <w:pPr>
            <w:pStyle w:val="TOC1"/>
            <w:tabs>
              <w:tab w:val="right" w:leader="dot" w:pos="9350"/>
            </w:tabs>
            <w:rPr>
              <w:rFonts w:asciiTheme="minorHAnsi" w:eastAsiaTheme="minorEastAsia" w:hAnsiTheme="minorHAnsi" w:cstheme="minorBidi"/>
              <w:noProof/>
              <w:sz w:val="22"/>
              <w:szCs w:val="22"/>
              <w:lang w:val="en-CA" w:eastAsia="en-CA"/>
            </w:rPr>
          </w:pPr>
          <w:hyperlink w:anchor="_Toc66269182" w:history="1">
            <w:r w:rsidRPr="00BD6A3E">
              <w:rPr>
                <w:rStyle w:val="Hyperlink"/>
                <w:rFonts w:eastAsiaTheme="majorEastAsia"/>
                <w:noProof/>
              </w:rPr>
              <w:t>Appendix A – Setting up Gaussian calculations for use with MobCal-MPI</w:t>
            </w:r>
            <w:r>
              <w:rPr>
                <w:noProof/>
                <w:webHidden/>
              </w:rPr>
              <w:tab/>
            </w:r>
            <w:r>
              <w:rPr>
                <w:noProof/>
                <w:webHidden/>
              </w:rPr>
              <w:fldChar w:fldCharType="begin"/>
            </w:r>
            <w:r>
              <w:rPr>
                <w:noProof/>
                <w:webHidden/>
              </w:rPr>
              <w:instrText xml:space="preserve"> PAGEREF _Toc66269182 \h </w:instrText>
            </w:r>
            <w:r>
              <w:rPr>
                <w:noProof/>
                <w:webHidden/>
              </w:rPr>
            </w:r>
            <w:r>
              <w:rPr>
                <w:noProof/>
                <w:webHidden/>
              </w:rPr>
              <w:fldChar w:fldCharType="separate"/>
            </w:r>
            <w:r w:rsidR="00DB5CF9">
              <w:rPr>
                <w:noProof/>
                <w:webHidden/>
              </w:rPr>
              <w:t>26</w:t>
            </w:r>
            <w:r>
              <w:rPr>
                <w:noProof/>
                <w:webHidden/>
              </w:rPr>
              <w:fldChar w:fldCharType="end"/>
            </w:r>
          </w:hyperlink>
        </w:p>
        <w:p w14:paraId="25D7E091" w14:textId="1CEBD280"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83" w:history="1">
            <w:r w:rsidRPr="00BD6A3E">
              <w:rPr>
                <w:rStyle w:val="Hyperlink"/>
                <w:rFonts w:eastAsiaTheme="majorEastAsia"/>
                <w:noProof/>
              </w:rPr>
              <w:t>A1. Exploring the potential energy surface (PES)</w:t>
            </w:r>
            <w:r>
              <w:rPr>
                <w:noProof/>
                <w:webHidden/>
              </w:rPr>
              <w:tab/>
            </w:r>
            <w:r>
              <w:rPr>
                <w:noProof/>
                <w:webHidden/>
              </w:rPr>
              <w:fldChar w:fldCharType="begin"/>
            </w:r>
            <w:r>
              <w:rPr>
                <w:noProof/>
                <w:webHidden/>
              </w:rPr>
              <w:instrText xml:space="preserve"> PAGEREF _Toc66269183 \h </w:instrText>
            </w:r>
            <w:r>
              <w:rPr>
                <w:noProof/>
                <w:webHidden/>
              </w:rPr>
            </w:r>
            <w:r>
              <w:rPr>
                <w:noProof/>
                <w:webHidden/>
              </w:rPr>
              <w:fldChar w:fldCharType="separate"/>
            </w:r>
            <w:r w:rsidR="00DB5CF9">
              <w:rPr>
                <w:noProof/>
                <w:webHidden/>
              </w:rPr>
              <w:t>26</w:t>
            </w:r>
            <w:r>
              <w:rPr>
                <w:noProof/>
                <w:webHidden/>
              </w:rPr>
              <w:fldChar w:fldCharType="end"/>
            </w:r>
          </w:hyperlink>
        </w:p>
        <w:p w14:paraId="65CED412" w14:textId="2DC3AE7A"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84" w:history="1">
            <w:r w:rsidRPr="00BD6A3E">
              <w:rPr>
                <w:rStyle w:val="Hyperlink"/>
                <w:rFonts w:eastAsiaTheme="majorEastAsia"/>
                <w:noProof/>
              </w:rPr>
              <w:t>A1.1 Basin-Hopping (BH) to generate local minima</w:t>
            </w:r>
            <w:r>
              <w:rPr>
                <w:noProof/>
                <w:webHidden/>
              </w:rPr>
              <w:tab/>
            </w:r>
            <w:r>
              <w:rPr>
                <w:noProof/>
                <w:webHidden/>
              </w:rPr>
              <w:fldChar w:fldCharType="begin"/>
            </w:r>
            <w:r>
              <w:rPr>
                <w:noProof/>
                <w:webHidden/>
              </w:rPr>
              <w:instrText xml:space="preserve"> PAGEREF _Toc66269184 \h </w:instrText>
            </w:r>
            <w:r>
              <w:rPr>
                <w:noProof/>
                <w:webHidden/>
              </w:rPr>
            </w:r>
            <w:r>
              <w:rPr>
                <w:noProof/>
                <w:webHidden/>
              </w:rPr>
              <w:fldChar w:fldCharType="separate"/>
            </w:r>
            <w:r w:rsidR="00DB5CF9">
              <w:rPr>
                <w:noProof/>
                <w:webHidden/>
              </w:rPr>
              <w:t>26</w:t>
            </w:r>
            <w:r>
              <w:rPr>
                <w:noProof/>
                <w:webHidden/>
              </w:rPr>
              <w:fldChar w:fldCharType="end"/>
            </w:r>
          </w:hyperlink>
        </w:p>
        <w:p w14:paraId="4AAA959F" w14:textId="4B517C88"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85" w:history="1">
            <w:r w:rsidRPr="00BD6A3E">
              <w:rPr>
                <w:rStyle w:val="Hyperlink"/>
                <w:rFonts w:eastAsiaTheme="majorEastAsia"/>
                <w:noProof/>
              </w:rPr>
              <w:t>A1.2 Post-processing of BH results and DFT optimization</w:t>
            </w:r>
            <w:r>
              <w:rPr>
                <w:noProof/>
                <w:webHidden/>
              </w:rPr>
              <w:tab/>
            </w:r>
            <w:r>
              <w:rPr>
                <w:noProof/>
                <w:webHidden/>
              </w:rPr>
              <w:fldChar w:fldCharType="begin"/>
            </w:r>
            <w:r>
              <w:rPr>
                <w:noProof/>
                <w:webHidden/>
              </w:rPr>
              <w:instrText xml:space="preserve"> PAGEREF _Toc66269185 \h </w:instrText>
            </w:r>
            <w:r>
              <w:rPr>
                <w:noProof/>
                <w:webHidden/>
              </w:rPr>
            </w:r>
            <w:r>
              <w:rPr>
                <w:noProof/>
                <w:webHidden/>
              </w:rPr>
              <w:fldChar w:fldCharType="separate"/>
            </w:r>
            <w:r w:rsidR="00DB5CF9">
              <w:rPr>
                <w:noProof/>
                <w:webHidden/>
              </w:rPr>
              <w:t>28</w:t>
            </w:r>
            <w:r>
              <w:rPr>
                <w:noProof/>
                <w:webHidden/>
              </w:rPr>
              <w:fldChar w:fldCharType="end"/>
            </w:r>
          </w:hyperlink>
        </w:p>
        <w:p w14:paraId="0D3AE1DC" w14:textId="37D52681" w:rsidR="00A30C2F" w:rsidRDefault="00A30C2F">
          <w:pPr>
            <w:pStyle w:val="TOC2"/>
            <w:tabs>
              <w:tab w:val="right" w:leader="dot" w:pos="9350"/>
            </w:tabs>
            <w:rPr>
              <w:rFonts w:asciiTheme="minorHAnsi" w:eastAsiaTheme="minorEastAsia" w:hAnsiTheme="minorHAnsi" w:cstheme="minorBidi"/>
              <w:noProof/>
              <w:sz w:val="22"/>
              <w:szCs w:val="22"/>
              <w:lang w:val="en-CA" w:eastAsia="en-CA"/>
            </w:rPr>
          </w:pPr>
          <w:hyperlink w:anchor="_Toc66269186" w:history="1">
            <w:r w:rsidRPr="00BD6A3E">
              <w:rPr>
                <w:rStyle w:val="Hyperlink"/>
                <w:rFonts w:eastAsiaTheme="majorEastAsia"/>
                <w:noProof/>
              </w:rPr>
              <w:t>A2. Which calculation method should I use? Explained!</w:t>
            </w:r>
            <w:r>
              <w:rPr>
                <w:noProof/>
                <w:webHidden/>
              </w:rPr>
              <w:tab/>
            </w:r>
            <w:r>
              <w:rPr>
                <w:noProof/>
                <w:webHidden/>
              </w:rPr>
              <w:fldChar w:fldCharType="begin"/>
            </w:r>
            <w:r>
              <w:rPr>
                <w:noProof/>
                <w:webHidden/>
              </w:rPr>
              <w:instrText xml:space="preserve"> PAGEREF _Toc66269186 \h </w:instrText>
            </w:r>
            <w:r>
              <w:rPr>
                <w:noProof/>
                <w:webHidden/>
              </w:rPr>
            </w:r>
            <w:r>
              <w:rPr>
                <w:noProof/>
                <w:webHidden/>
              </w:rPr>
              <w:fldChar w:fldCharType="separate"/>
            </w:r>
            <w:r w:rsidR="00DB5CF9">
              <w:rPr>
                <w:noProof/>
                <w:webHidden/>
              </w:rPr>
              <w:t>30</w:t>
            </w:r>
            <w:r>
              <w:rPr>
                <w:noProof/>
                <w:webHidden/>
              </w:rPr>
              <w:fldChar w:fldCharType="end"/>
            </w:r>
          </w:hyperlink>
        </w:p>
        <w:p w14:paraId="26F77A62" w14:textId="477A7511"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87" w:history="1">
            <w:r w:rsidRPr="00BD6A3E">
              <w:rPr>
                <w:rStyle w:val="Hyperlink"/>
                <w:rFonts w:eastAsiaTheme="majorEastAsia"/>
                <w:noProof/>
              </w:rPr>
              <w:t>A2.1 – Benchmarking CCS calculations using MobCal-MPI with a variety of computational methods</w:t>
            </w:r>
            <w:r>
              <w:rPr>
                <w:noProof/>
                <w:webHidden/>
              </w:rPr>
              <w:tab/>
            </w:r>
            <w:r>
              <w:rPr>
                <w:noProof/>
                <w:webHidden/>
              </w:rPr>
              <w:fldChar w:fldCharType="begin"/>
            </w:r>
            <w:r>
              <w:rPr>
                <w:noProof/>
                <w:webHidden/>
              </w:rPr>
              <w:instrText xml:space="preserve"> PAGEREF _Toc66269187 \h </w:instrText>
            </w:r>
            <w:r>
              <w:rPr>
                <w:noProof/>
                <w:webHidden/>
              </w:rPr>
            </w:r>
            <w:r>
              <w:rPr>
                <w:noProof/>
                <w:webHidden/>
              </w:rPr>
              <w:fldChar w:fldCharType="separate"/>
            </w:r>
            <w:r w:rsidR="00DB5CF9">
              <w:rPr>
                <w:noProof/>
                <w:webHidden/>
              </w:rPr>
              <w:t>30</w:t>
            </w:r>
            <w:r>
              <w:rPr>
                <w:noProof/>
                <w:webHidden/>
              </w:rPr>
              <w:fldChar w:fldCharType="end"/>
            </w:r>
          </w:hyperlink>
        </w:p>
        <w:p w14:paraId="7F1EC3AF" w14:textId="0ACC1C14" w:rsidR="00A30C2F" w:rsidRDefault="00A30C2F">
          <w:pPr>
            <w:pStyle w:val="TOC3"/>
            <w:tabs>
              <w:tab w:val="right" w:leader="dot" w:pos="9350"/>
            </w:tabs>
            <w:rPr>
              <w:rFonts w:asciiTheme="minorHAnsi" w:eastAsiaTheme="minorEastAsia" w:hAnsiTheme="minorHAnsi" w:cstheme="minorBidi"/>
              <w:noProof/>
              <w:sz w:val="22"/>
              <w:szCs w:val="22"/>
              <w:lang w:val="en-CA" w:eastAsia="en-CA"/>
            </w:rPr>
          </w:pPr>
          <w:hyperlink w:anchor="_Toc66269188" w:history="1">
            <w:r w:rsidRPr="00BD6A3E">
              <w:rPr>
                <w:rStyle w:val="Hyperlink"/>
                <w:rFonts w:eastAsiaTheme="majorEastAsia"/>
                <w:noProof/>
                <w:lang w:val="en-CA"/>
              </w:rPr>
              <w:t>A2.2 – What DFT method should I use? Recommendations for MobCal-MPI compatibility</w:t>
            </w:r>
            <w:r>
              <w:rPr>
                <w:noProof/>
                <w:webHidden/>
              </w:rPr>
              <w:tab/>
            </w:r>
            <w:r>
              <w:rPr>
                <w:noProof/>
                <w:webHidden/>
              </w:rPr>
              <w:fldChar w:fldCharType="begin"/>
            </w:r>
            <w:r>
              <w:rPr>
                <w:noProof/>
                <w:webHidden/>
              </w:rPr>
              <w:instrText xml:space="preserve"> PAGEREF _Toc66269188 \h </w:instrText>
            </w:r>
            <w:r>
              <w:rPr>
                <w:noProof/>
                <w:webHidden/>
              </w:rPr>
            </w:r>
            <w:r>
              <w:rPr>
                <w:noProof/>
                <w:webHidden/>
              </w:rPr>
              <w:fldChar w:fldCharType="separate"/>
            </w:r>
            <w:r w:rsidR="00DB5CF9">
              <w:rPr>
                <w:noProof/>
                <w:webHidden/>
              </w:rPr>
              <w:t>34</w:t>
            </w:r>
            <w:r>
              <w:rPr>
                <w:noProof/>
                <w:webHidden/>
              </w:rPr>
              <w:fldChar w:fldCharType="end"/>
            </w:r>
          </w:hyperlink>
        </w:p>
        <w:p w14:paraId="5A4618B8" w14:textId="52CF755A" w:rsidR="00A30C2F" w:rsidRDefault="00A30C2F">
          <w:pPr>
            <w:pStyle w:val="TOC1"/>
            <w:tabs>
              <w:tab w:val="right" w:leader="dot" w:pos="9350"/>
            </w:tabs>
            <w:rPr>
              <w:rFonts w:asciiTheme="minorHAnsi" w:eastAsiaTheme="minorEastAsia" w:hAnsiTheme="minorHAnsi" w:cstheme="minorBidi"/>
              <w:noProof/>
              <w:sz w:val="22"/>
              <w:szCs w:val="22"/>
              <w:lang w:val="en-CA" w:eastAsia="en-CA"/>
            </w:rPr>
          </w:pPr>
          <w:hyperlink w:anchor="_Toc66269189" w:history="1">
            <w:r w:rsidRPr="00BD6A3E">
              <w:rPr>
                <w:rStyle w:val="Hyperlink"/>
                <w:rFonts w:eastAsiaTheme="majorEastAsia"/>
                <w:noProof/>
                <w:lang w:val="en-CA"/>
              </w:rPr>
              <w:t>Appendix B – Citing MobCal-MPI</w:t>
            </w:r>
            <w:r>
              <w:rPr>
                <w:noProof/>
                <w:webHidden/>
              </w:rPr>
              <w:tab/>
            </w:r>
            <w:r>
              <w:rPr>
                <w:noProof/>
                <w:webHidden/>
              </w:rPr>
              <w:fldChar w:fldCharType="begin"/>
            </w:r>
            <w:r>
              <w:rPr>
                <w:noProof/>
                <w:webHidden/>
              </w:rPr>
              <w:instrText xml:space="preserve"> PAGEREF _Toc66269189 \h </w:instrText>
            </w:r>
            <w:r>
              <w:rPr>
                <w:noProof/>
                <w:webHidden/>
              </w:rPr>
            </w:r>
            <w:r>
              <w:rPr>
                <w:noProof/>
                <w:webHidden/>
              </w:rPr>
              <w:fldChar w:fldCharType="separate"/>
            </w:r>
            <w:r w:rsidR="00DB5CF9">
              <w:rPr>
                <w:noProof/>
                <w:webHidden/>
              </w:rPr>
              <w:t>35</w:t>
            </w:r>
            <w:r>
              <w:rPr>
                <w:noProof/>
                <w:webHidden/>
              </w:rPr>
              <w:fldChar w:fldCharType="end"/>
            </w:r>
          </w:hyperlink>
        </w:p>
        <w:p w14:paraId="4E2F2655" w14:textId="54E5BE03" w:rsidR="00A30C2F" w:rsidRDefault="00A30C2F">
          <w:pPr>
            <w:pStyle w:val="TOC1"/>
            <w:tabs>
              <w:tab w:val="right" w:leader="dot" w:pos="9350"/>
            </w:tabs>
            <w:rPr>
              <w:rFonts w:asciiTheme="minorHAnsi" w:eastAsiaTheme="minorEastAsia" w:hAnsiTheme="minorHAnsi" w:cstheme="minorBidi"/>
              <w:noProof/>
              <w:sz w:val="22"/>
              <w:szCs w:val="22"/>
              <w:lang w:val="en-CA" w:eastAsia="en-CA"/>
            </w:rPr>
          </w:pPr>
          <w:hyperlink w:anchor="_Toc66269190" w:history="1">
            <w:r w:rsidRPr="00BD6A3E">
              <w:rPr>
                <w:rStyle w:val="Hyperlink"/>
                <w:rFonts w:eastAsiaTheme="majorEastAsia"/>
                <w:noProof/>
                <w:lang w:val="en-CA"/>
              </w:rPr>
              <w:t>Appendix C – References</w:t>
            </w:r>
            <w:r>
              <w:rPr>
                <w:noProof/>
                <w:webHidden/>
              </w:rPr>
              <w:tab/>
            </w:r>
            <w:r>
              <w:rPr>
                <w:noProof/>
                <w:webHidden/>
              </w:rPr>
              <w:fldChar w:fldCharType="begin"/>
            </w:r>
            <w:r>
              <w:rPr>
                <w:noProof/>
                <w:webHidden/>
              </w:rPr>
              <w:instrText xml:space="preserve"> PAGEREF _Toc66269190 \h </w:instrText>
            </w:r>
            <w:r>
              <w:rPr>
                <w:noProof/>
                <w:webHidden/>
              </w:rPr>
            </w:r>
            <w:r>
              <w:rPr>
                <w:noProof/>
                <w:webHidden/>
              </w:rPr>
              <w:fldChar w:fldCharType="separate"/>
            </w:r>
            <w:r w:rsidR="00DB5CF9">
              <w:rPr>
                <w:noProof/>
                <w:webHidden/>
              </w:rPr>
              <w:t>36</w:t>
            </w:r>
            <w:r>
              <w:rPr>
                <w:noProof/>
                <w:webHidden/>
              </w:rPr>
              <w:fldChar w:fldCharType="end"/>
            </w:r>
          </w:hyperlink>
        </w:p>
        <w:p w14:paraId="278C9220" w14:textId="01DE5C68" w:rsidR="00B1199B" w:rsidRDefault="00B1199B" w:rsidP="000356B7">
          <w:pPr>
            <w:jc w:val="both"/>
          </w:pPr>
          <w:r>
            <w:rPr>
              <w:b/>
              <w:bCs/>
              <w:noProof/>
            </w:rPr>
            <w:fldChar w:fldCharType="end"/>
          </w:r>
        </w:p>
      </w:sdtContent>
    </w:sdt>
    <w:p w14:paraId="417F3536" w14:textId="77777777" w:rsidR="00B1199B" w:rsidRDefault="00B1199B" w:rsidP="000356B7">
      <w:pPr>
        <w:jc w:val="both"/>
        <w:rPr>
          <w:sz w:val="22"/>
          <w:szCs w:val="22"/>
        </w:rPr>
      </w:pPr>
    </w:p>
    <w:p w14:paraId="6E763033" w14:textId="77777777" w:rsidR="00B1199B" w:rsidRDefault="00B1199B" w:rsidP="000356B7">
      <w:pPr>
        <w:jc w:val="both"/>
        <w:rPr>
          <w:sz w:val="22"/>
          <w:szCs w:val="22"/>
        </w:rPr>
      </w:pPr>
    </w:p>
    <w:p w14:paraId="4E1C7D07" w14:textId="77777777" w:rsidR="00B1199B" w:rsidRDefault="00B1199B" w:rsidP="000356B7">
      <w:pPr>
        <w:jc w:val="both"/>
        <w:rPr>
          <w:sz w:val="22"/>
          <w:szCs w:val="22"/>
        </w:rPr>
        <w:sectPr w:rsidR="00B1199B">
          <w:pgSz w:w="12240" w:h="15840"/>
          <w:pgMar w:top="1440" w:right="1440" w:bottom="1440" w:left="1440" w:header="720" w:footer="720" w:gutter="0"/>
          <w:cols w:space="720"/>
          <w:docGrid w:linePitch="360"/>
        </w:sectPr>
      </w:pPr>
    </w:p>
    <w:p w14:paraId="342CCFF4" w14:textId="2D702D07" w:rsidR="00402A3B" w:rsidRDefault="00734596" w:rsidP="000356B7">
      <w:pPr>
        <w:pStyle w:val="Heading1"/>
        <w:jc w:val="both"/>
      </w:pPr>
      <w:bookmarkStart w:id="0" w:name="_Toc66269152"/>
      <w:r>
        <w:lastRenderedPageBreak/>
        <w:t xml:space="preserve">1. </w:t>
      </w:r>
      <w:r w:rsidR="00402A3B">
        <w:t>Introduction</w:t>
      </w:r>
      <w:bookmarkEnd w:id="0"/>
    </w:p>
    <w:p w14:paraId="5EAA081C" w14:textId="093D3209" w:rsidR="00402A3B" w:rsidRDefault="00402A3B" w:rsidP="000356B7">
      <w:pPr>
        <w:jc w:val="both"/>
      </w:pPr>
    </w:p>
    <w:p w14:paraId="2B441D6A" w14:textId="12390D66" w:rsidR="00891C29" w:rsidRDefault="00031093" w:rsidP="000356B7">
      <w:pPr>
        <w:jc w:val="both"/>
      </w:pPr>
      <w:r>
        <w:t xml:space="preserve">Welcome and thank you for choosing MobCal-MPI </w:t>
      </w:r>
      <w:r w:rsidR="00375432">
        <w:t xml:space="preserve">to compliment your ion-mobility experiments. </w:t>
      </w:r>
    </w:p>
    <w:p w14:paraId="1AD255FA" w14:textId="77777777" w:rsidR="00891C29" w:rsidRDefault="00891C29" w:rsidP="000356B7">
      <w:pPr>
        <w:jc w:val="both"/>
      </w:pPr>
    </w:p>
    <w:p w14:paraId="09FBBB9B" w14:textId="525DB691" w:rsidR="00CA4A5D" w:rsidRDefault="00375432" w:rsidP="000356B7">
      <w:pPr>
        <w:jc w:val="both"/>
      </w:pPr>
      <w:r>
        <w:t>This guide is meant to provide a</w:t>
      </w:r>
      <w:r w:rsidR="00C805B6">
        <w:t xml:space="preserve"> brief overview of the </w:t>
      </w:r>
      <w:r w:rsidR="00AC3A0C">
        <w:t xml:space="preserve">MobCal-MPI </w:t>
      </w:r>
      <w:r w:rsidR="00C805B6">
        <w:t xml:space="preserve">methodology </w:t>
      </w:r>
      <w:r w:rsidR="00AC3A0C">
        <w:t xml:space="preserve">(trajectory method) </w:t>
      </w:r>
      <w:r w:rsidR="00C805B6">
        <w:t xml:space="preserve">used to </w:t>
      </w:r>
      <w:r w:rsidR="007F4529">
        <w:t>calculate</w:t>
      </w:r>
      <w:r w:rsidR="00C805B6">
        <w:t xml:space="preserve"> ion-neutral collision cross sections (CCSs)</w:t>
      </w:r>
      <w:r w:rsidR="007F4529">
        <w:t xml:space="preserve"> </w:t>
      </w:r>
      <w:r w:rsidR="00BA4094">
        <w:t>in addition to</w:t>
      </w:r>
      <w:r w:rsidR="00793DA3">
        <w:t xml:space="preserve"> </w:t>
      </w:r>
      <w:r w:rsidR="00BA4094">
        <w:t xml:space="preserve">the </w:t>
      </w:r>
      <w:r w:rsidR="00CE7AD7">
        <w:t>data-processing scripts</w:t>
      </w:r>
      <w:r w:rsidR="00F95111">
        <w:t xml:space="preserve">. </w:t>
      </w:r>
      <w:r w:rsidR="005D0AAF">
        <w:t>The heart of</w:t>
      </w:r>
      <w:r w:rsidR="00D45798">
        <w:t xml:space="preserve"> the code was first reported by </w:t>
      </w:r>
      <w:proofErr w:type="spellStart"/>
      <w:r w:rsidR="00372794" w:rsidRPr="00372794">
        <w:t>Shvartsburg</w:t>
      </w:r>
      <w:proofErr w:type="spellEnd"/>
      <w:r w:rsidR="002D2E45">
        <w:t>,</w:t>
      </w:r>
      <w:r w:rsidR="00372794">
        <w:t xml:space="preserve"> </w:t>
      </w:r>
      <w:proofErr w:type="spellStart"/>
      <w:r w:rsidR="00372794">
        <w:t>Jarrold</w:t>
      </w:r>
      <w:proofErr w:type="spellEnd"/>
      <w:r w:rsidR="002D2E45">
        <w:t xml:space="preserve">, </w:t>
      </w:r>
      <w:r w:rsidR="002D2E45">
        <w:rPr>
          <w:i/>
          <w:iCs/>
        </w:rPr>
        <w:t>et al.</w:t>
      </w:r>
      <w:r w:rsidR="00372794">
        <w:t xml:space="preserve"> </w:t>
      </w:r>
      <w:r w:rsidR="009D0DA2">
        <w:t>in the following publications</w:t>
      </w:r>
      <w:r w:rsidR="002D2E45">
        <w:t>:</w:t>
      </w:r>
    </w:p>
    <w:p w14:paraId="01C754F0" w14:textId="77777777" w:rsidR="00CA4A5D" w:rsidRDefault="00CA4A5D" w:rsidP="000356B7">
      <w:pPr>
        <w:jc w:val="both"/>
      </w:pPr>
    </w:p>
    <w:p w14:paraId="57279390" w14:textId="77777777" w:rsidR="00ED7182" w:rsidRDefault="00ED7182" w:rsidP="00ED7182">
      <w:pPr>
        <w:jc w:val="both"/>
      </w:pPr>
      <w:r>
        <w:t xml:space="preserve">M. F. </w:t>
      </w:r>
      <w:proofErr w:type="spellStart"/>
      <w:r>
        <w:t>Mesleh</w:t>
      </w:r>
      <w:proofErr w:type="spellEnd"/>
      <w:r>
        <w:t xml:space="preserve">, J. M. Hunter, A. A. </w:t>
      </w:r>
      <w:proofErr w:type="spellStart"/>
      <w:r>
        <w:t>Shvartsburg</w:t>
      </w:r>
      <w:proofErr w:type="spellEnd"/>
      <w:r>
        <w:t xml:space="preserve">, G. C. Schatz, and M. F. </w:t>
      </w:r>
      <w:proofErr w:type="spellStart"/>
      <w:r>
        <w:t>Jarrold</w:t>
      </w:r>
      <w:proofErr w:type="spellEnd"/>
      <w:r>
        <w:t xml:space="preserve">, Structural Information from Ion Mobility Measurements: Effects of the </w:t>
      </w:r>
      <w:proofErr w:type="gramStart"/>
      <w:r>
        <w:t>Long Range</w:t>
      </w:r>
      <w:proofErr w:type="gramEnd"/>
      <w:r>
        <w:t xml:space="preserve"> Potential, </w:t>
      </w:r>
      <w:r w:rsidRPr="00ED7182">
        <w:rPr>
          <w:i/>
          <w:iCs/>
        </w:rPr>
        <w:t>J. Phys. Chem.</w:t>
      </w:r>
      <w:r>
        <w:t xml:space="preserve"> </w:t>
      </w:r>
      <w:r w:rsidRPr="00ED7182">
        <w:rPr>
          <w:b/>
          <w:bCs/>
        </w:rPr>
        <w:t>1996</w:t>
      </w:r>
      <w:r>
        <w:t xml:space="preserve">, 100, 16082-16086; Erratum, </w:t>
      </w:r>
      <w:r w:rsidRPr="00ED7182">
        <w:rPr>
          <w:i/>
          <w:iCs/>
        </w:rPr>
        <w:t>J. Phys. Chem. A</w:t>
      </w:r>
      <w:r>
        <w:t xml:space="preserve"> </w:t>
      </w:r>
      <w:r w:rsidRPr="00ED7182">
        <w:rPr>
          <w:b/>
          <w:bCs/>
        </w:rPr>
        <w:t>1997</w:t>
      </w:r>
      <w:r>
        <w:t>, 101, 968.</w:t>
      </w:r>
    </w:p>
    <w:p w14:paraId="6CF45FB1" w14:textId="021F782B" w:rsidR="00CA4A5D" w:rsidRDefault="00ED7182" w:rsidP="00ED7182">
      <w:pPr>
        <w:jc w:val="both"/>
      </w:pPr>
      <w:r>
        <w:t xml:space="preserve">A. A. </w:t>
      </w:r>
      <w:proofErr w:type="spellStart"/>
      <w:r>
        <w:t>Shvartsburg</w:t>
      </w:r>
      <w:proofErr w:type="spellEnd"/>
      <w:r>
        <w:t xml:space="preserve"> and M. F. </w:t>
      </w:r>
      <w:proofErr w:type="spellStart"/>
      <w:r>
        <w:t>Jarrold</w:t>
      </w:r>
      <w:proofErr w:type="spellEnd"/>
      <w:r>
        <w:t xml:space="preserve">, An Exact Hard Spheres Scattering Model for the Mobilities of Polyatomic Ions, </w:t>
      </w:r>
      <w:r w:rsidRPr="00ED7182">
        <w:rPr>
          <w:i/>
          <w:iCs/>
        </w:rPr>
        <w:t>Chem. Phys. Lett.</w:t>
      </w:r>
      <w:r>
        <w:t xml:space="preserve"> </w:t>
      </w:r>
      <w:r w:rsidRPr="00ED7182">
        <w:rPr>
          <w:b/>
          <w:bCs/>
        </w:rPr>
        <w:t>1996</w:t>
      </w:r>
      <w:r>
        <w:t>, 261, 86-91.</w:t>
      </w:r>
    </w:p>
    <w:p w14:paraId="0C51C0FF" w14:textId="77777777" w:rsidR="00ED7182" w:rsidRDefault="00ED7182" w:rsidP="00ED7182">
      <w:pPr>
        <w:jc w:val="both"/>
      </w:pPr>
    </w:p>
    <w:p w14:paraId="21AF9AC4" w14:textId="60200542" w:rsidR="00402A3B" w:rsidRDefault="009D0DA2" w:rsidP="000356B7">
      <w:pPr>
        <w:jc w:val="both"/>
      </w:pPr>
      <w:r>
        <w:t xml:space="preserve">MobCal-MPI refines the </w:t>
      </w:r>
      <w:r w:rsidR="002D2E45">
        <w:t>work above</w:t>
      </w:r>
      <w:r>
        <w:t xml:space="preserve"> to enable </w:t>
      </w:r>
      <w:r w:rsidR="00CA4A5D">
        <w:t xml:space="preserve">calculation of gas </w:t>
      </w:r>
      <w:r w:rsidR="006A529E">
        <w:t>trajectories</w:t>
      </w:r>
      <w:r w:rsidR="00CA4A5D">
        <w:t xml:space="preserve"> </w:t>
      </w:r>
      <w:r w:rsidR="006A529E">
        <w:t>on</w:t>
      </w:r>
      <w:r w:rsidR="00CA4A5D">
        <w:t xml:space="preserve"> a parallelized framework that makes use of atom-specific </w:t>
      </w:r>
      <w:proofErr w:type="spellStart"/>
      <w:r w:rsidR="00CA4A5D">
        <w:t>vdW</w:t>
      </w:r>
      <w:proofErr w:type="spellEnd"/>
      <w:r w:rsidR="00CA4A5D">
        <w:t xml:space="preserve"> parameters, as summarized in </w:t>
      </w:r>
      <w:hyperlink w:anchor="_2._Methods_within" w:history="1">
        <w:r w:rsidR="002E7897" w:rsidRPr="002E7897">
          <w:rPr>
            <w:rStyle w:val="Hyperlink"/>
          </w:rPr>
          <w:t>S</w:t>
        </w:r>
        <w:r w:rsidR="00CA4A5D" w:rsidRPr="002E7897">
          <w:rPr>
            <w:rStyle w:val="Hyperlink"/>
          </w:rPr>
          <w:t>ection 2</w:t>
        </w:r>
      </w:hyperlink>
      <w:r w:rsidR="00CA4A5D">
        <w:t xml:space="preserve">. </w:t>
      </w:r>
      <w:r w:rsidR="00F95111">
        <w:t xml:space="preserve">It should be noted that </w:t>
      </w:r>
      <w:r w:rsidR="006A529E">
        <w:t>Section 2</w:t>
      </w:r>
      <w:r w:rsidR="00F95111">
        <w:t xml:space="preserve"> is not a literature review of CCS calculations</w:t>
      </w:r>
      <w:r w:rsidR="00CE7AD7">
        <w:t>, nor is it intended to be.</w:t>
      </w:r>
      <w:r w:rsidR="00281417">
        <w:t xml:space="preserve"> We provide the reader with </w:t>
      </w:r>
      <w:r w:rsidR="00CE7AD7">
        <w:t xml:space="preserve">a </w:t>
      </w:r>
      <w:r w:rsidR="00891C29">
        <w:t>refresher</w:t>
      </w:r>
      <w:r w:rsidR="0030775D">
        <w:t xml:space="preserve"> on the details of the trajectory method</w:t>
      </w:r>
      <w:r w:rsidR="006A529E">
        <w:t xml:space="preserve"> pertinent to MobCal-MPI.</w:t>
      </w:r>
      <w:r w:rsidR="00031B42">
        <w:t xml:space="preserve"> </w:t>
      </w:r>
      <w:r w:rsidR="003D7658">
        <w:t>W</w:t>
      </w:r>
      <w:r w:rsidR="00031B42">
        <w:t>e recommend several recent</w:t>
      </w:r>
      <w:r w:rsidR="00D87824">
        <w:t xml:space="preserve"> (2019-2020) reviews </w:t>
      </w:r>
      <w:r w:rsidR="00031B42">
        <w:t xml:space="preserve">to </w:t>
      </w:r>
      <w:r w:rsidR="009A02AA">
        <w:t>complement</w:t>
      </w:r>
      <w:r w:rsidR="00031B42">
        <w:t xml:space="preserve"> </w:t>
      </w:r>
      <w:r w:rsidR="003D7658">
        <w:t>this outline for the interested reader, as well as</w:t>
      </w:r>
      <w:r w:rsidR="009A02AA">
        <w:t xml:space="preserve"> to th</w:t>
      </w:r>
      <w:r w:rsidR="007F4529">
        <w:t xml:space="preserve">e papers cited therein. </w:t>
      </w:r>
    </w:p>
    <w:p w14:paraId="6D672850" w14:textId="77777777" w:rsidR="00224974" w:rsidRDefault="00224974" w:rsidP="000356B7">
      <w:pPr>
        <w:jc w:val="both"/>
        <w:rPr>
          <w:i/>
          <w:iCs/>
        </w:rPr>
      </w:pPr>
    </w:p>
    <w:p w14:paraId="24539DCD" w14:textId="2DC07368" w:rsidR="00FD7F60" w:rsidRDefault="00B22392" w:rsidP="00FD7F60">
      <w:pPr>
        <w:jc w:val="both"/>
      </w:pPr>
      <w:hyperlink w:anchor="_3._Installing_the" w:history="1">
        <w:r w:rsidR="00224974" w:rsidRPr="002E7897">
          <w:rPr>
            <w:rStyle w:val="Hyperlink"/>
          </w:rPr>
          <w:t xml:space="preserve">Section </w:t>
        </w:r>
        <w:r w:rsidR="00AC5DB1" w:rsidRPr="002E7897">
          <w:rPr>
            <w:rStyle w:val="Hyperlink"/>
          </w:rPr>
          <w:t>3</w:t>
        </w:r>
      </w:hyperlink>
      <w:r w:rsidR="00224974" w:rsidRPr="00AC5DB1">
        <w:t xml:space="preserve"> outlines the installation procedure for the MobCal-MPI Suite GUI, which is used for generation of MobCal-MPI input files (.</w:t>
      </w:r>
      <w:proofErr w:type="spellStart"/>
      <w:r w:rsidR="00224974" w:rsidRPr="00AC5DB1">
        <w:t>mfj</w:t>
      </w:r>
      <w:proofErr w:type="spellEnd"/>
      <w:r w:rsidR="00224974" w:rsidRPr="00AC5DB1">
        <w:t>) and processing data from completed MobCal-MPI output files (.</w:t>
      </w:r>
      <w:proofErr w:type="spellStart"/>
      <w:r w:rsidR="00224974" w:rsidRPr="00AC5DB1">
        <w:t>mout</w:t>
      </w:r>
      <w:proofErr w:type="spellEnd"/>
      <w:r w:rsidR="00224974" w:rsidRPr="00AC5DB1">
        <w:t>).</w:t>
      </w:r>
      <w:r w:rsidR="00224974">
        <w:t xml:space="preserve"> </w:t>
      </w:r>
      <w:hyperlink w:anchor="_4._Using_MobCal-MPI" w:history="1">
        <w:r w:rsidR="00AC5DB1" w:rsidRPr="002E7897">
          <w:rPr>
            <w:rStyle w:val="Hyperlink"/>
          </w:rPr>
          <w:t>Section 4</w:t>
        </w:r>
      </w:hyperlink>
      <w:r w:rsidR="00AC5DB1">
        <w:t xml:space="preserve"> </w:t>
      </w:r>
      <w:r w:rsidR="00D96157">
        <w:t xml:space="preserve">outlines the compilation procedure for the MobCal-MPI Fortran code and how to run CCS calculations using MobCal-MPI. </w:t>
      </w:r>
      <w:hyperlink w:anchor="_Appendix_A_–" w:history="1">
        <w:r w:rsidR="00FD7F60" w:rsidRPr="002E7897">
          <w:rPr>
            <w:rStyle w:val="Hyperlink"/>
          </w:rPr>
          <w:t>Appendix A</w:t>
        </w:r>
      </w:hyperlink>
      <w:r w:rsidR="00FD7F60">
        <w:t xml:space="preserve"> discusses the use of Gaussian, a commercial package for conducting quantum-chemical calculations, to generate input files for MobCal-MPI. </w:t>
      </w:r>
      <w:r w:rsidR="002E7897">
        <w:t xml:space="preserve">Information for citation of the MobCal-MPI suite can be found in </w:t>
      </w:r>
      <w:hyperlink w:anchor="_Appendix_B_–" w:history="1">
        <w:r w:rsidR="002E7897" w:rsidRPr="002E7897">
          <w:rPr>
            <w:rStyle w:val="Hyperlink"/>
          </w:rPr>
          <w:t>Appendix B</w:t>
        </w:r>
      </w:hyperlink>
      <w:r w:rsidR="002E7897">
        <w:t xml:space="preserve">. </w:t>
      </w:r>
      <w:r w:rsidR="00ED17C0">
        <w:t xml:space="preserve">References cited throughout the guide can be found in </w:t>
      </w:r>
      <w:hyperlink w:anchor="_Appendix_C_–" w:history="1">
        <w:r w:rsidR="00ED17C0" w:rsidRPr="00ED17C0">
          <w:rPr>
            <w:rStyle w:val="Hyperlink"/>
          </w:rPr>
          <w:t>Appendix C</w:t>
        </w:r>
      </w:hyperlink>
      <w:r w:rsidR="00ED17C0">
        <w:t xml:space="preserve">. </w:t>
      </w:r>
    </w:p>
    <w:p w14:paraId="02791E2E" w14:textId="7B878A52" w:rsidR="00D96157" w:rsidRDefault="00D96157" w:rsidP="000356B7">
      <w:pPr>
        <w:jc w:val="both"/>
      </w:pPr>
    </w:p>
    <w:p w14:paraId="78FDD6B8" w14:textId="3D235BFD" w:rsidR="005D0AAF" w:rsidRDefault="00523C5F" w:rsidP="000356B7">
      <w:pPr>
        <w:pStyle w:val="Heading2"/>
        <w:numPr>
          <w:ilvl w:val="1"/>
          <w:numId w:val="4"/>
        </w:numPr>
        <w:jc w:val="both"/>
      </w:pPr>
      <w:bookmarkStart w:id="1" w:name="_Toc66269153"/>
      <w:r>
        <w:t>Terms of use</w:t>
      </w:r>
      <w:bookmarkEnd w:id="1"/>
    </w:p>
    <w:p w14:paraId="205C6982" w14:textId="60470346" w:rsidR="00523C5F" w:rsidRPr="00DF3F78" w:rsidRDefault="00523C5F" w:rsidP="000356B7">
      <w:pPr>
        <w:jc w:val="both"/>
      </w:pPr>
      <w:r>
        <w:t xml:space="preserve"> </w:t>
      </w:r>
      <w:r w:rsidR="00BF2E26">
        <w:t xml:space="preserve">MobCal-MPI is provided free of use to </w:t>
      </w:r>
      <w:r w:rsidR="00736C68">
        <w:t>academic users</w:t>
      </w:r>
      <w:r w:rsidR="00B05392">
        <w:t xml:space="preserve"> to validate ion-mobility experiments with computational methods. </w:t>
      </w:r>
      <w:r w:rsidR="0021079E">
        <w:t xml:space="preserve">MobCal-MPI is </w:t>
      </w:r>
      <w:r w:rsidR="005E6808">
        <w:t>freely available to the public</w:t>
      </w:r>
      <w:r w:rsidR="0021079E">
        <w:t xml:space="preserve"> </w:t>
      </w:r>
      <w:r w:rsidR="003D5DD2">
        <w:t xml:space="preserve">for use in </w:t>
      </w:r>
      <w:r w:rsidR="00195FC1">
        <w:t xml:space="preserve">academic </w:t>
      </w:r>
      <w:r w:rsidR="003D5DD2">
        <w:t xml:space="preserve">research. </w:t>
      </w:r>
      <w:r w:rsidR="006A3F3F">
        <w:t xml:space="preserve">Any attempt to use MobCal-MPI for profit without the written consent of </w:t>
      </w:r>
      <w:r w:rsidR="005E6808">
        <w:t xml:space="preserve">the authors is considered a breach of the usage terms and may be subject to </w:t>
      </w:r>
      <w:r w:rsidR="00195FC1">
        <w:t>litigation</w:t>
      </w:r>
      <w:r w:rsidR="005E6808">
        <w:t xml:space="preserve">. </w:t>
      </w:r>
      <w:r w:rsidR="0021079E">
        <w:t xml:space="preserve"> </w:t>
      </w:r>
    </w:p>
    <w:p w14:paraId="503B3B45" w14:textId="26D8926B" w:rsidR="00523C5F" w:rsidRDefault="00523C5F" w:rsidP="000356B7">
      <w:pPr>
        <w:jc w:val="both"/>
      </w:pPr>
    </w:p>
    <w:p w14:paraId="0D942FFC" w14:textId="06672CE3" w:rsidR="00195FC1" w:rsidRDefault="00195FC1" w:rsidP="000356B7">
      <w:pPr>
        <w:pStyle w:val="Heading2"/>
        <w:numPr>
          <w:ilvl w:val="1"/>
          <w:numId w:val="4"/>
        </w:numPr>
        <w:jc w:val="both"/>
      </w:pPr>
      <w:bookmarkStart w:id="2" w:name="_Toc66269154"/>
      <w:r>
        <w:t xml:space="preserve">Change </w:t>
      </w:r>
      <w:proofErr w:type="gramStart"/>
      <w:r>
        <w:t>log</w:t>
      </w:r>
      <w:bookmarkEnd w:id="2"/>
      <w:proofErr w:type="gramEnd"/>
    </w:p>
    <w:p w14:paraId="7E3804DF" w14:textId="77777777" w:rsidR="008C0D90" w:rsidRDefault="00195FC1" w:rsidP="000356B7">
      <w:pPr>
        <w:jc w:val="both"/>
      </w:pPr>
      <w:r>
        <w:t xml:space="preserve"> </w:t>
      </w:r>
    </w:p>
    <w:p w14:paraId="71D7FFB3" w14:textId="77777777" w:rsidR="00224974" w:rsidRDefault="00224974" w:rsidP="000356B7">
      <w:pPr>
        <w:jc w:val="both"/>
        <w:rPr>
          <w:i/>
          <w:iCs/>
        </w:rPr>
      </w:pPr>
      <w:r>
        <w:rPr>
          <w:i/>
          <w:iCs/>
        </w:rPr>
        <w:t>This release of MobCal-MPI (v 1.2) is equipped with a Python-based Graphical User Interface (GUI) for:</w:t>
      </w:r>
    </w:p>
    <w:p w14:paraId="06797436" w14:textId="77777777" w:rsidR="00224974" w:rsidRDefault="00224974" w:rsidP="000356B7">
      <w:pPr>
        <w:pStyle w:val="ListParagraph"/>
        <w:numPr>
          <w:ilvl w:val="0"/>
          <w:numId w:val="6"/>
        </w:numPr>
        <w:jc w:val="both"/>
        <w:rPr>
          <w:i/>
          <w:iCs/>
        </w:rPr>
      </w:pPr>
      <w:r>
        <w:rPr>
          <w:i/>
          <w:iCs/>
        </w:rPr>
        <w:t>Conversion of Gaussian output files (.log) into MobCal-MPI input files (.</w:t>
      </w:r>
      <w:proofErr w:type="spellStart"/>
      <w:r>
        <w:rPr>
          <w:i/>
          <w:iCs/>
        </w:rPr>
        <w:t>mfj</w:t>
      </w:r>
      <w:proofErr w:type="spellEnd"/>
      <w:r>
        <w:rPr>
          <w:i/>
          <w:iCs/>
        </w:rPr>
        <w:t>)</w:t>
      </w:r>
    </w:p>
    <w:p w14:paraId="7C6BEA98" w14:textId="77777777" w:rsidR="00224974" w:rsidRDefault="00224974" w:rsidP="000356B7">
      <w:pPr>
        <w:pStyle w:val="ListParagraph"/>
        <w:numPr>
          <w:ilvl w:val="0"/>
          <w:numId w:val="6"/>
        </w:numPr>
        <w:jc w:val="both"/>
        <w:rPr>
          <w:i/>
          <w:iCs/>
        </w:rPr>
      </w:pPr>
      <w:r>
        <w:rPr>
          <w:i/>
          <w:iCs/>
        </w:rPr>
        <w:t>Calculation of Boltzmann weights of isomer populations for the generation of Boltzmann-weighted CCSs</w:t>
      </w:r>
    </w:p>
    <w:p w14:paraId="5313C526" w14:textId="77777777" w:rsidR="00224974" w:rsidRDefault="00224974" w:rsidP="000356B7">
      <w:pPr>
        <w:pStyle w:val="ListParagraph"/>
        <w:numPr>
          <w:ilvl w:val="0"/>
          <w:numId w:val="6"/>
        </w:numPr>
        <w:jc w:val="both"/>
        <w:rPr>
          <w:i/>
          <w:iCs/>
        </w:rPr>
      </w:pPr>
      <w:r>
        <w:rPr>
          <w:i/>
          <w:iCs/>
        </w:rPr>
        <w:t>Extraction of CCSs from MobCal-MPI output files (.</w:t>
      </w:r>
      <w:proofErr w:type="spellStart"/>
      <w:r>
        <w:rPr>
          <w:i/>
          <w:iCs/>
        </w:rPr>
        <w:t>mout</w:t>
      </w:r>
      <w:proofErr w:type="spellEnd"/>
      <w:r>
        <w:rPr>
          <w:i/>
          <w:iCs/>
        </w:rPr>
        <w:t>)</w:t>
      </w:r>
    </w:p>
    <w:p w14:paraId="46C5FE46" w14:textId="5171A278" w:rsidR="00195FC1" w:rsidRDefault="008933B6" w:rsidP="000356B7">
      <w:pPr>
        <w:pStyle w:val="ListParagraph"/>
        <w:numPr>
          <w:ilvl w:val="0"/>
          <w:numId w:val="6"/>
        </w:numPr>
        <w:jc w:val="both"/>
      </w:pPr>
      <w:r>
        <w:t xml:space="preserve">Multiple temperatures can </w:t>
      </w:r>
      <w:r w:rsidR="008C0D90">
        <w:t xml:space="preserve">now </w:t>
      </w:r>
      <w:r>
        <w:t xml:space="preserve">be specified in a </w:t>
      </w:r>
      <w:proofErr w:type="gramStart"/>
      <w:r>
        <w:t>single</w:t>
      </w:r>
      <w:r w:rsidR="00AF5062">
        <w:t xml:space="preserve"> .</w:t>
      </w:r>
      <w:proofErr w:type="spellStart"/>
      <w:r w:rsidR="00AF5062">
        <w:t>mfj</w:t>
      </w:r>
      <w:proofErr w:type="spellEnd"/>
      <w:proofErr w:type="gramEnd"/>
      <w:r w:rsidR="00234640">
        <w:t xml:space="preserve"> </w:t>
      </w:r>
      <w:r>
        <w:t xml:space="preserve"> input file</w:t>
      </w:r>
    </w:p>
    <w:p w14:paraId="56E566E0" w14:textId="1E33B419" w:rsidR="008C0D90" w:rsidRDefault="008C0D90" w:rsidP="000356B7">
      <w:pPr>
        <w:pStyle w:val="ListParagraph"/>
        <w:numPr>
          <w:ilvl w:val="0"/>
          <w:numId w:val="6"/>
        </w:numPr>
        <w:jc w:val="both"/>
      </w:pPr>
      <w:r>
        <w:t>The reporting of CCS now occurs at the end of each .</w:t>
      </w:r>
      <w:proofErr w:type="spellStart"/>
      <w:r>
        <w:t>mout</w:t>
      </w:r>
      <w:proofErr w:type="spellEnd"/>
      <w:r>
        <w:t xml:space="preserve"> file in a formatted </w:t>
      </w:r>
      <w:proofErr w:type="gramStart"/>
      <w:r>
        <w:t>table</w:t>
      </w:r>
      <w:proofErr w:type="gramEnd"/>
      <w:r>
        <w:t xml:space="preserve"> </w:t>
      </w:r>
    </w:p>
    <w:p w14:paraId="05ACE7D5" w14:textId="07106010" w:rsidR="008C49E3" w:rsidRDefault="002053E6" w:rsidP="000356B7">
      <w:pPr>
        <w:pStyle w:val="Heading1"/>
        <w:jc w:val="both"/>
      </w:pPr>
      <w:bookmarkStart w:id="3" w:name="_2._Methods_within"/>
      <w:bookmarkStart w:id="4" w:name="_Toc66269155"/>
      <w:bookmarkEnd w:id="3"/>
      <w:r>
        <w:lastRenderedPageBreak/>
        <w:t>2</w:t>
      </w:r>
      <w:r w:rsidR="008C49E3">
        <w:t>. Methods</w:t>
      </w:r>
      <w:r w:rsidR="00123FB2">
        <w:t xml:space="preserve"> within MobCal-MPI</w:t>
      </w:r>
      <w:bookmarkEnd w:id="4"/>
    </w:p>
    <w:p w14:paraId="720C882B" w14:textId="328783E5" w:rsidR="00B16699" w:rsidRDefault="0037496C" w:rsidP="000356B7">
      <w:pPr>
        <w:jc w:val="both"/>
      </w:pPr>
      <w:r>
        <w:t xml:space="preserve">Details of the trajectory method, as implemented in MobCal-MPI, are described in this </w:t>
      </w:r>
      <w:r w:rsidR="00123FB2">
        <w:t xml:space="preserve">section. Each subsection is derived from </w:t>
      </w:r>
      <w:r w:rsidR="00D979B3">
        <w:t>exce</w:t>
      </w:r>
      <w:r w:rsidR="00B16699">
        <w:t>r</w:t>
      </w:r>
      <w:r w:rsidR="00D979B3">
        <w:t>pts from the original MobCal-MPI publication in Analyst</w:t>
      </w:r>
      <w:r>
        <w:t xml:space="preserve">. </w:t>
      </w:r>
    </w:p>
    <w:p w14:paraId="15502749" w14:textId="77777777" w:rsidR="00B16699" w:rsidRDefault="00B16699" w:rsidP="000356B7">
      <w:pPr>
        <w:jc w:val="both"/>
      </w:pPr>
    </w:p>
    <w:p w14:paraId="7F24C9F7" w14:textId="39D18C4C" w:rsidR="00123FB2" w:rsidRDefault="006E1E08" w:rsidP="000356B7">
      <w:pPr>
        <w:jc w:val="both"/>
      </w:pPr>
      <w:r>
        <w:t xml:space="preserve">Ieritano, C.; Crouse, J.; Campbell, J. L.; Hopkins, W. S. A Parallelized Molecular Collision Cross Section Package with Optimized Accuracy and Efficiency. </w:t>
      </w:r>
      <w:r>
        <w:rPr>
          <w:i/>
          <w:iCs/>
        </w:rPr>
        <w:t>Analyst</w:t>
      </w:r>
      <w:r>
        <w:t xml:space="preserve"> </w:t>
      </w:r>
      <w:r>
        <w:rPr>
          <w:b/>
          <w:bCs/>
        </w:rPr>
        <w:t>2019</w:t>
      </w:r>
      <w:r>
        <w:t xml:space="preserve">, </w:t>
      </w:r>
      <w:r>
        <w:rPr>
          <w:i/>
          <w:iCs/>
        </w:rPr>
        <w:t>144</w:t>
      </w:r>
      <w:r>
        <w:t xml:space="preserve"> (5), 1660–1670. </w:t>
      </w:r>
      <w:hyperlink r:id="rId10" w:history="1">
        <w:r w:rsidRPr="009C3086">
          <w:rPr>
            <w:rStyle w:val="Hyperlink"/>
          </w:rPr>
          <w:t>https://doi.org/10.1039/c8an02150c</w:t>
        </w:r>
      </w:hyperlink>
      <w:r>
        <w:t>.</w:t>
      </w:r>
    </w:p>
    <w:p w14:paraId="0CE13435" w14:textId="77777777" w:rsidR="006E1E08" w:rsidRDefault="006E1E08" w:rsidP="000356B7">
      <w:pPr>
        <w:jc w:val="both"/>
      </w:pPr>
    </w:p>
    <w:p w14:paraId="5CFD6005" w14:textId="113E1757" w:rsidR="00123FB2" w:rsidRPr="00D979B3" w:rsidRDefault="00123FB2" w:rsidP="000356B7">
      <w:pPr>
        <w:jc w:val="both"/>
      </w:pPr>
      <w:r>
        <w:t xml:space="preserve">Further reading recommendations for ion mobility calculations are provided in Section 2.5 for the interested reader. </w:t>
      </w:r>
    </w:p>
    <w:p w14:paraId="4E33ACB6" w14:textId="6F404D4B" w:rsidR="00472208" w:rsidRDefault="00472208" w:rsidP="000356B7">
      <w:pPr>
        <w:pStyle w:val="Heading2"/>
        <w:numPr>
          <w:ilvl w:val="1"/>
          <w:numId w:val="7"/>
        </w:numPr>
        <w:jc w:val="both"/>
      </w:pPr>
      <w:bookmarkStart w:id="5" w:name="_Toc66269156"/>
      <w:r>
        <w:t>Trajectory method</w:t>
      </w:r>
      <w:bookmarkEnd w:id="5"/>
    </w:p>
    <w:p w14:paraId="55469C49" w14:textId="77777777" w:rsidR="008C49E3" w:rsidRDefault="008C49E3" w:rsidP="000356B7">
      <w:pPr>
        <w:jc w:val="both"/>
      </w:pPr>
    </w:p>
    <w:p w14:paraId="031DE72D" w14:textId="0AE01A25" w:rsidR="0033353F" w:rsidRDefault="00472208" w:rsidP="000356B7">
      <w:pPr>
        <w:jc w:val="both"/>
        <w:rPr>
          <w:lang w:val="en-CA"/>
        </w:rPr>
      </w:pPr>
      <w:r w:rsidRPr="00472208">
        <w:rPr>
          <w:lang w:val="en-CA"/>
        </w:rPr>
        <w:t xml:space="preserve">Ion mobility spectrometry (IMS) coupled to mass spectrometry (MS) is a powerful tool with applications in numerous fields of research. The success of the IMS approach relies on both rigorous experimental calibration and accurate theoretical modelling of ion collision cross sections (CCSs). </w:t>
      </w:r>
      <w:proofErr w:type="gramStart"/>
      <w:r w:rsidRPr="00472208">
        <w:rPr>
          <w:lang w:val="en-CA"/>
        </w:rPr>
        <w:t>With regard to</w:t>
      </w:r>
      <w:proofErr w:type="gramEnd"/>
      <w:r w:rsidRPr="00472208">
        <w:rPr>
          <w:lang w:val="en-CA"/>
        </w:rPr>
        <w:t xml:space="preserve"> modelling ion mobility, one is generally concerned with the rate of collision between an ion and a neutral buffer gas under specific electric field, pressure, and temperature conditions. Under low field conditions, ion mobility (K) can be described by the Mason-</w:t>
      </w:r>
      <w:proofErr w:type="spellStart"/>
      <w:r w:rsidRPr="00472208">
        <w:rPr>
          <w:lang w:val="en-CA"/>
        </w:rPr>
        <w:t>Schamp</w:t>
      </w:r>
      <w:proofErr w:type="spellEnd"/>
      <w:r w:rsidRPr="00472208">
        <w:rPr>
          <w:lang w:val="en-CA"/>
        </w:rPr>
        <w:t xml:space="preserve"> relation in the free molecular regime as shown in equation 1.</w:t>
      </w:r>
      <w:r w:rsidRPr="00472208">
        <w:rPr>
          <w:lang w:val="en-CA"/>
        </w:rPr>
        <w:fldChar w:fldCharType="begin" w:fldLock="1"/>
      </w:r>
      <w:r w:rsidR="006B4206">
        <w:rPr>
          <w:lang w:val="en-CA"/>
        </w:rPr>
        <w:instrText>ADDIN CSL_CITATION {"citationItems":[{"id":"ITEM-1","itemData":{"author":[{"dropping-particle":"","family":"Mason","given":"Edward A","non-dropping-particle":"","parse-names":false,"suffix":""},{"dropping-particle":"","family":"McDaniel","given":"Earl W","non-dropping-particle":"","parse-names":false,"suffix":""}],"id":"ITEM-1","issued":{"date-parts":[["1988"]]},"note":"Mason Schamp equation","publisher":"John Wiley and Sons","publisher-place":"New York","title":"Transport properties of ions in gases","type":"book"},"uris":["http://www.mendeley.com/documents/?uuid=6ed3e48e-02cf-48f0-b7c8-5f8e9d0e9e9e","http://www.mendeley.com/documents/?uuid=fc2a1207-7b55-4fb6-bc2b-38b000065627"]}],"mendeley":{"formattedCitation":"&lt;sup&gt;1&lt;/sup&gt;","plainTextFormattedCitation":"1","previouslyFormattedCitation":"&lt;sup&gt;1&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1</w:t>
      </w:r>
      <w:r w:rsidRPr="00472208">
        <w:fldChar w:fldCharType="end"/>
      </w:r>
      <w:r w:rsidRPr="00472208">
        <w:rPr>
          <w:lang w:val="en-CA"/>
        </w:rPr>
        <w:t xml:space="preserve"> </w:t>
      </w:r>
    </w:p>
    <w:p w14:paraId="52CBC565" w14:textId="77777777" w:rsidR="00097303" w:rsidRDefault="00097303" w:rsidP="000356B7">
      <w:pPr>
        <w:jc w:val="both"/>
        <w:rPr>
          <w:lang w:val="en-CA"/>
        </w:rPr>
      </w:pPr>
    </w:p>
    <w:tbl>
      <w:tblPr>
        <w:tblStyle w:val="TableGrid"/>
        <w:tblW w:w="9360" w:type="dxa"/>
        <w:tblInd w:w="-5" w:type="dxa"/>
        <w:tblLook w:val="04A0" w:firstRow="1" w:lastRow="0" w:firstColumn="1" w:lastColumn="0" w:noHBand="0" w:noVBand="1"/>
      </w:tblPr>
      <w:tblGrid>
        <w:gridCol w:w="836"/>
        <w:gridCol w:w="7479"/>
        <w:gridCol w:w="1045"/>
      </w:tblGrid>
      <w:tr w:rsidR="00097303" w:rsidRPr="00F14A94" w14:paraId="24244EDC" w14:textId="77777777" w:rsidTr="00277675">
        <w:tc>
          <w:tcPr>
            <w:tcW w:w="836" w:type="dxa"/>
            <w:tcBorders>
              <w:top w:val="nil"/>
              <w:left w:val="nil"/>
              <w:bottom w:val="nil"/>
              <w:right w:val="nil"/>
            </w:tcBorders>
          </w:tcPr>
          <w:p w14:paraId="34640F00" w14:textId="77777777" w:rsidR="00097303" w:rsidRPr="00F14A94" w:rsidRDefault="00097303" w:rsidP="000356B7">
            <w:pPr>
              <w:tabs>
                <w:tab w:val="left" w:pos="3119"/>
              </w:tabs>
              <w:spacing w:line="480" w:lineRule="auto"/>
              <w:jc w:val="both"/>
            </w:pPr>
          </w:p>
        </w:tc>
        <w:tc>
          <w:tcPr>
            <w:tcW w:w="7479" w:type="dxa"/>
            <w:tcBorders>
              <w:top w:val="nil"/>
              <w:left w:val="nil"/>
              <w:bottom w:val="nil"/>
              <w:right w:val="nil"/>
            </w:tcBorders>
          </w:tcPr>
          <w:p w14:paraId="7DA03994" w14:textId="048D1251" w:rsidR="00097303" w:rsidRPr="00097303" w:rsidRDefault="00097303" w:rsidP="000356B7">
            <w:pPr>
              <w:jc w:val="both"/>
            </w:pPr>
            <m:oMathPara>
              <m:oMath>
                <m:r>
                  <w:rPr>
                    <w:rFonts w:ascii="Cambria Math" w:hAnsi="Cambria Math"/>
                  </w:rPr>
                  <m:t>K</m:t>
                </m:r>
                <m:r>
                  <m:rPr>
                    <m:sty m:val="p"/>
                  </m:rPr>
                  <w:rPr>
                    <w:rFonts w:ascii="Cambria Math" w:hAnsi="Cambria Math"/>
                  </w:rPr>
                  <m:t>=</m:t>
                </m:r>
                <m:f>
                  <m:fPr>
                    <m:ctrlPr>
                      <w:rPr>
                        <w:rFonts w:ascii="Cambria Math" w:hAnsi="Cambria Math"/>
                        <w:iCs/>
                      </w:rPr>
                    </m:ctrlPr>
                  </m:fPr>
                  <m:num>
                    <m:rad>
                      <m:radPr>
                        <m:degHide m:val="1"/>
                        <m:ctrlPr>
                          <w:rPr>
                            <w:rFonts w:ascii="Cambria Math" w:hAnsi="Cambria Math"/>
                            <w:iCs/>
                          </w:rPr>
                        </m:ctrlPr>
                      </m:radPr>
                      <m:deg/>
                      <m:e>
                        <m:r>
                          <m:rPr>
                            <m:sty m:val="p"/>
                          </m:rPr>
                          <w:rPr>
                            <w:rFonts w:ascii="Cambria Math" w:hAnsi="Cambria Math"/>
                          </w:rPr>
                          <m:t>18</m:t>
                        </m:r>
                        <m:r>
                          <w:rPr>
                            <w:rFonts w:ascii="Cambria Math" w:hAnsi="Cambria Math"/>
                          </w:rPr>
                          <m:t>π</m:t>
                        </m:r>
                      </m:e>
                    </m:rad>
                    <m:ctrlPr>
                      <w:rPr>
                        <w:rFonts w:ascii="Cambria Math" w:hAnsi="Cambria Math"/>
                      </w:rPr>
                    </m:ctrlPr>
                  </m:num>
                  <m:den>
                    <m:r>
                      <m:rPr>
                        <m:sty m:val="p"/>
                      </m:rPr>
                      <w:rPr>
                        <w:rFonts w:ascii="Cambria Math" w:hAnsi="Cambria Math"/>
                      </w:rPr>
                      <m:t>16</m:t>
                    </m:r>
                  </m:den>
                </m:f>
                <m:rad>
                  <m:radPr>
                    <m:degHide m:val="1"/>
                    <m:ctrlPr>
                      <w:rPr>
                        <w:rFonts w:ascii="Cambria Math" w:hAnsi="Cambria Math"/>
                        <w:iCs/>
                      </w:rPr>
                    </m:ctrlPr>
                  </m:radPr>
                  <m:deg/>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m</m:t>
                            </m:r>
                          </m:e>
                          <m:sub>
                            <m:r>
                              <w:rPr>
                                <w:rFonts w:ascii="Cambria Math" w:hAnsi="Cambria Math"/>
                              </w:rPr>
                              <m:t>ion</m:t>
                            </m:r>
                          </m:sub>
                        </m:sSub>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m</m:t>
                            </m:r>
                          </m:e>
                          <m:sub>
                            <m:r>
                              <w:rPr>
                                <w:rFonts w:ascii="Cambria Math" w:hAnsi="Cambria Math"/>
                              </w:rPr>
                              <m:t>gas</m:t>
                            </m:r>
                          </m:sub>
                        </m:sSub>
                      </m:den>
                    </m:f>
                  </m:e>
                </m:rad>
                <m:f>
                  <m:fPr>
                    <m:ctrlPr>
                      <w:rPr>
                        <w:rFonts w:ascii="Cambria Math" w:hAnsi="Cambria Math"/>
                        <w:iCs/>
                      </w:rPr>
                    </m:ctrlPr>
                  </m:fPr>
                  <m:num>
                    <m:r>
                      <w:rPr>
                        <w:rFonts w:ascii="Cambria Math" w:hAnsi="Cambria Math"/>
                      </w:rPr>
                      <m:t>ze</m:t>
                    </m:r>
                  </m:num>
                  <m:den>
                    <m:rad>
                      <m:radPr>
                        <m:degHide m:val="1"/>
                        <m:ctrlPr>
                          <w:rPr>
                            <w:rFonts w:ascii="Cambria Math" w:hAnsi="Cambria Math"/>
                            <w:iCs/>
                          </w:rPr>
                        </m:ctrlPr>
                      </m:radPr>
                      <m:deg/>
                      <m:e>
                        <m:sSub>
                          <m:sSubPr>
                            <m:ctrlPr>
                              <w:rPr>
                                <w:rFonts w:ascii="Cambria Math" w:hAnsi="Cambria Math"/>
                                <w:iCs/>
                              </w:rPr>
                            </m:ctrlPr>
                          </m:sSubPr>
                          <m:e>
                            <m:r>
                              <w:rPr>
                                <w:rFonts w:ascii="Cambria Math" w:hAnsi="Cambria Math"/>
                              </w:rPr>
                              <m:t>k</m:t>
                            </m:r>
                          </m:e>
                          <m:sub>
                            <m:r>
                              <w:rPr>
                                <w:rFonts w:ascii="Cambria Math" w:hAnsi="Cambria Math"/>
                              </w:rPr>
                              <m:t>b</m:t>
                            </m:r>
                          </m:sub>
                        </m:sSub>
                        <m:r>
                          <w:rPr>
                            <w:rFonts w:ascii="Cambria Math" w:hAnsi="Cambria Math"/>
                          </w:rPr>
                          <m:t>T</m:t>
                        </m:r>
                      </m:e>
                    </m:rad>
                  </m:den>
                </m:f>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Ω</m:t>
                        </m:r>
                      </m:e>
                      <m:sub>
                        <m:r>
                          <w:rPr>
                            <w:rFonts w:ascii="Cambria Math" w:hAnsi="Cambria Math"/>
                          </w:rPr>
                          <m:t>avg</m:t>
                        </m:r>
                      </m:sub>
                    </m:sSub>
                  </m:den>
                </m:f>
                <m:f>
                  <m:fPr>
                    <m:ctrlPr>
                      <w:rPr>
                        <w:rFonts w:ascii="Cambria Math" w:hAnsi="Cambria Math"/>
                        <w:iCs/>
                      </w:rPr>
                    </m:ctrlPr>
                  </m:fPr>
                  <m:num>
                    <m:r>
                      <m:rPr>
                        <m:sty m:val="p"/>
                      </m:rPr>
                      <w:rPr>
                        <w:rFonts w:ascii="Cambria Math" w:hAnsi="Cambria Math"/>
                      </w:rPr>
                      <m:t>1</m:t>
                    </m:r>
                  </m:num>
                  <m:den>
                    <m:r>
                      <w:rPr>
                        <w:rFonts w:ascii="Cambria Math" w:hAnsi="Cambria Math"/>
                      </w:rPr>
                      <m:t>N</m:t>
                    </m:r>
                  </m:den>
                </m:f>
              </m:oMath>
            </m:oMathPara>
          </w:p>
        </w:tc>
        <w:tc>
          <w:tcPr>
            <w:tcW w:w="1045" w:type="dxa"/>
            <w:tcBorders>
              <w:top w:val="nil"/>
              <w:left w:val="nil"/>
              <w:bottom w:val="nil"/>
              <w:right w:val="nil"/>
            </w:tcBorders>
          </w:tcPr>
          <w:p w14:paraId="06CDE705" w14:textId="621965A9" w:rsidR="00097303" w:rsidRPr="00F14A94" w:rsidRDefault="00097303" w:rsidP="000356B7">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1</w:t>
            </w:r>
            <w:r w:rsidRPr="00F14A94">
              <w:rPr>
                <w:sz w:val="22"/>
                <w:szCs w:val="22"/>
              </w:rPr>
              <w:fldChar w:fldCharType="end"/>
            </w:r>
          </w:p>
        </w:tc>
      </w:tr>
    </w:tbl>
    <w:p w14:paraId="4B8A5E21" w14:textId="77777777" w:rsidR="00097303" w:rsidRDefault="00097303" w:rsidP="000356B7">
      <w:pPr>
        <w:jc w:val="both"/>
        <w:rPr>
          <w:lang w:val="en-CA"/>
        </w:rPr>
      </w:pPr>
    </w:p>
    <w:p w14:paraId="0A89F95A" w14:textId="49FB6075" w:rsidR="00472208" w:rsidRPr="00472208" w:rsidRDefault="00472208" w:rsidP="000356B7">
      <w:pPr>
        <w:jc w:val="both"/>
        <w:rPr>
          <w:lang w:val="en-CA"/>
        </w:rPr>
      </w:pPr>
      <w:r w:rsidRPr="00472208">
        <w:rPr>
          <w:lang w:val="en-CA"/>
        </w:rPr>
        <w:t xml:space="preserve">Where </w:t>
      </w:r>
      <w:proofErr w:type="spellStart"/>
      <w:r w:rsidRPr="00472208">
        <w:rPr>
          <w:i/>
          <w:lang w:val="en-CA"/>
        </w:rPr>
        <w:t>m</w:t>
      </w:r>
      <w:r w:rsidRPr="00472208">
        <w:rPr>
          <w:i/>
          <w:vertAlign w:val="subscript"/>
          <w:lang w:val="en-CA"/>
        </w:rPr>
        <w:t>ion</w:t>
      </w:r>
      <w:proofErr w:type="spellEnd"/>
      <w:r w:rsidRPr="00472208">
        <w:rPr>
          <w:lang w:val="en-CA"/>
        </w:rPr>
        <w:t xml:space="preserve"> is the ion molecular mass, </w:t>
      </w:r>
      <w:proofErr w:type="spellStart"/>
      <w:r w:rsidRPr="00472208">
        <w:rPr>
          <w:i/>
          <w:lang w:val="en-CA"/>
        </w:rPr>
        <w:t>m</w:t>
      </w:r>
      <w:r w:rsidRPr="00472208">
        <w:rPr>
          <w:i/>
          <w:vertAlign w:val="subscript"/>
          <w:lang w:val="en-CA"/>
        </w:rPr>
        <w:t>gas</w:t>
      </w:r>
      <w:proofErr w:type="spellEnd"/>
      <w:r w:rsidRPr="00472208">
        <w:rPr>
          <w:lang w:val="en-CA"/>
        </w:rPr>
        <w:t xml:space="preserve"> is the molecular mass of the buffer gas, </w:t>
      </w:r>
      <w:r w:rsidRPr="00472208">
        <w:rPr>
          <w:i/>
          <w:lang w:val="en-CA"/>
        </w:rPr>
        <w:t>z</w:t>
      </w:r>
      <w:r w:rsidRPr="00472208">
        <w:rPr>
          <w:lang w:val="en-CA"/>
        </w:rPr>
        <w:t xml:space="preserve"> is the charge, </w:t>
      </w:r>
      <w:r w:rsidRPr="00472208">
        <w:rPr>
          <w:i/>
          <w:lang w:val="en-CA"/>
        </w:rPr>
        <w:t>e</w:t>
      </w:r>
      <w:r w:rsidRPr="00472208">
        <w:rPr>
          <w:lang w:val="en-CA"/>
        </w:rPr>
        <w:t xml:space="preserve"> is the elementary charge, </w:t>
      </w:r>
      <w:r w:rsidRPr="00472208">
        <w:rPr>
          <w:i/>
          <w:lang w:val="en-CA"/>
        </w:rPr>
        <w:t>k</w:t>
      </w:r>
      <w:r w:rsidRPr="00472208">
        <w:rPr>
          <w:i/>
          <w:vertAlign w:val="subscript"/>
          <w:lang w:val="en-CA"/>
        </w:rPr>
        <w:t>b</w:t>
      </w:r>
      <w:r w:rsidRPr="00472208">
        <w:rPr>
          <w:lang w:val="en-CA"/>
        </w:rPr>
        <w:t xml:space="preserve"> is the Boltzmann constant, </w:t>
      </w:r>
      <w:r w:rsidRPr="00472208">
        <w:rPr>
          <w:i/>
          <w:lang w:val="en-CA"/>
        </w:rPr>
        <w:t>T</w:t>
      </w:r>
      <w:r w:rsidRPr="00472208">
        <w:rPr>
          <w:lang w:val="en-CA"/>
        </w:rPr>
        <w:t xml:space="preserve"> is the temperature, and </w:t>
      </w:r>
      <w:r w:rsidRPr="00472208">
        <w:rPr>
          <w:i/>
          <w:lang w:val="en-CA"/>
        </w:rPr>
        <w:t>N</w:t>
      </w:r>
      <w:r w:rsidRPr="00472208">
        <w:rPr>
          <w:lang w:val="en-CA"/>
        </w:rPr>
        <w:t xml:space="preserve"> is the number density of the gas. The orientationally averaged CCS of an ion is approximated by modelling collisions between the ion and buffer gas. This can be accomplished using one of several existing methods, which include the projection approximation,</w:t>
      </w:r>
      <w:r w:rsidRPr="00472208">
        <w:rPr>
          <w:lang w:val="en-CA"/>
        </w:rPr>
        <w:fldChar w:fldCharType="begin" w:fldLock="1"/>
      </w:r>
      <w:r w:rsidR="006B4206">
        <w:rPr>
          <w:lang w:val="en-CA"/>
        </w:rPr>
        <w:instrText>ADDIN CSL_CITATION {"citationItems":[{"id":"ITEM-1","itemData":{"DOI":"10.1016/S1044-0305(96)00236-X","ISBN":"1044-0305","ISSN":"10440305","abstract":"The temperature dependence of ion mobilities in helium was studied by using the ion chromatography method to investigate the effect of long-range terms in the ion-buffer gas interaction. Experimental cross sections thus determined increased significantly as the temperature was lowered from 300 to 80 K for all ions investigated, which were fullerene C60/+, cationized PEG polymers, cationized crown ethers, and protonated and sodiated oligoglycines. The temperature dependence of the collision cross sections was successfully modeled by employing simple atom-atom interaction potentials including a repulsive R-12 term and the attractive long-range R-6 and R-4 terms, R being the distance between the colliding particles.","author":[{"dropping-particle":"","family":"Wyttenbach","given":"Thomas","non-dropping-particle":"","parse-names":false,"suffix":""},{"dropping-particle":"","family":"Helden","given":"Gert","non-dropping-particle":"Von","parse-names":false,"suffix":""},{"dropping-particle":"","family":"Batka","given":"Joseph J.","non-dropping-particle":"","parse-names":false,"suffix":""},{"dropping-particle":"","family":"Carlat","given":"Douglas","non-dropping-particle":"","parse-names":false,"suffix":""},{"dropping-particle":"","family":"Bowers","given":"Michael T.","non-dropping-particle":"","parse-names":false,"suffix":""}],"container-title":"Journal of the American Society for Mass Spectrometry","id":"ITEM-1","issue":"3","issued":{"date-parts":[["1997"]]},"page":"275-282","title":"Effect of the long-range potential on ion mobility measurements","type":"article-journal","volume":"8"},"uris":["http://www.mendeley.com/documents/?uuid=315cc075-3c44-4df2-a44d-a9404a84b1c9"]}],"mendeley":{"formattedCitation":"&lt;sup&gt;2&lt;/sup&gt;","plainTextFormattedCitation":"2","previouslyFormattedCitation":"&lt;sup&gt;2&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2</w:t>
      </w:r>
      <w:r w:rsidRPr="00472208">
        <w:fldChar w:fldCharType="end"/>
      </w:r>
      <w:r w:rsidRPr="00472208">
        <w:rPr>
          <w:lang w:val="en-CA"/>
        </w:rPr>
        <w:t xml:space="preserve"> elastic hard sphere scattering,</w:t>
      </w:r>
      <w:r w:rsidRPr="00472208">
        <w:rPr>
          <w:lang w:val="en-CA"/>
        </w:rPr>
        <w:fldChar w:fldCharType="begin" w:fldLock="1"/>
      </w:r>
      <w:r w:rsidR="006B4206">
        <w:rPr>
          <w:lang w:val="en-CA"/>
        </w:rPr>
        <w:instrText>ADDIN CSL_CITATION {"citationItems":[{"id":"ITEM-1","itemData":{"DOI":"10.1016/0009-2614(96)00941-4","ISBN":"0009-2614","ISSN":"00092614","abstract":"We describe an exact hard-spheres scattering model for calculating the gas phase mobilities of polyatomic ions. Ion mobility measurements have recently been used to deduce structural information for clusters and biomolecules in the gas phase. In virtually all of the previous ion mobility studies, mobilities were evaluated for comparison with the experimental data using a projection approximation. Comparison of the collision integrals calculated using the exact hard-spheres scattering model with those estimated using the projection approximation shows that large deviations, over 20%, occur for some geometries with grossly concave surfaces.","author":[{"dropping-particle":"","family":"Shvartsburg","given":"Alexandre A.","non-dropping-particle":"","parse-names":false,"suffix":""},{"dropping-particle":"","family":"Jarrold","given":"Martin F.","non-dropping-particle":"","parse-names":false,"suffix":""}],"container-title":"Chemical Physics Letters","id":"ITEM-1","issue":"1-2","issued":{"date-parts":[["1996"]]},"page":"86-91","title":"An exact hard-spheres scattering model for the mobilities of polyatomic ions","type":"article-journal","volume":"261"},"uris":["http://www.mendeley.com/documents/?uuid=b8d2ef68-ea36-4bb1-9caa-3f16349bd849"]}],"mendeley":{"formattedCitation":"&lt;sup&gt;3&lt;/sup&gt;","plainTextFormattedCitation":"3","previouslyFormattedCitation":"&lt;sup&gt;3&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3</w:t>
      </w:r>
      <w:r w:rsidRPr="00472208">
        <w:fldChar w:fldCharType="end"/>
      </w:r>
      <w:r w:rsidRPr="00472208">
        <w:rPr>
          <w:lang w:val="en-CA"/>
        </w:rPr>
        <w:t xml:space="preserve"> and the trajectory method.</w:t>
      </w:r>
      <w:r w:rsidRPr="00472208">
        <w:rPr>
          <w:lang w:val="en-CA"/>
        </w:rPr>
        <w:fldChar w:fldCharType="begin" w:fldLock="1"/>
      </w:r>
      <w:r w:rsidR="006B4206">
        <w:rPr>
          <w:lang w:val="en-CA"/>
        </w:rPr>
        <w:instrText>ADDIN CSL_CITATION {"citationItems":[{"id":"ITEM-1","itemData":{"DOI":"10.1016/0009-2614(96)00941-4","ISBN":"0009-2614","ISSN":"00092614","abstract":"We describe an exact hard-spheres scattering model for calculating the gas phase mobilities of polyatomic ions. Ion mobility measurements have recently been used to deduce structural information for clusters and biomolecules in the gas phase. In virtually all of the previous ion mobility studies, mobilities were evaluated for comparison with the experimental data using a projection approximation. Comparison of the collision integrals calculated using the exact hard-spheres scattering model with those estimated using the projection approximation shows that large deviations, over 20%, occur for some geometries with grossly concave surfaces.","author":[{"dropping-particle":"","family":"Shvartsburg","given":"Alexandre A.","non-dropping-particle":"","parse-names":false,"suffix":""},{"dropping-particle":"","family":"Jarrold","given":"Martin F.","non-dropping-particle":"","parse-names":false,"suffix":""}],"container-title":"Chemical Physics Letters","id":"ITEM-1","issue":"1-2","issued":{"date-parts":[["1996"]]},"page":"86-91","title":"An exact hard-spheres scattering model for the mobilities of polyatomic ions","type":"article-journal","volume":"261"},"uris":["http://www.mendeley.com/documents/?uuid=b8d2ef68-ea36-4bb1-9caa-3f16349bd849"]}],"mendeley":{"formattedCitation":"&lt;sup&gt;3&lt;/sup&gt;","plainTextFormattedCitation":"3","previouslyFormattedCitation":"&lt;sup&gt;3&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3</w:t>
      </w:r>
      <w:r w:rsidRPr="00472208">
        <w:fldChar w:fldCharType="end"/>
      </w:r>
      <w:r w:rsidRPr="00472208">
        <w:rPr>
          <w:lang w:val="en-CA"/>
        </w:rPr>
        <w:t xml:space="preserve"> The MobCal code,</w:t>
      </w:r>
      <w:r w:rsidRPr="00472208">
        <w:rPr>
          <w:lang w:val="en-CA"/>
        </w:rPr>
        <w:fldChar w:fldCharType="begin" w:fldLock="1"/>
      </w:r>
      <w:r w:rsidR="006B4206">
        <w:rPr>
          <w:lang w:val="en-CA"/>
        </w:rPr>
        <w:instrText>ADDIN CSL_CITATION {"citationItems":[{"id":"ITEM-1","itemData":{"DOI":"10.1016/S1044-0305(96)00236-X","ISBN":"1044-0305","ISSN":"10440305","abstract":"The temperature dependence of ion mobilities in helium was studied by using the ion chromatography method to investigate the effect of long-range terms in the ion-buffer gas interaction. Experimental cross sections thus determined increased significantly as the temperature was lowered from 300 to 80 K for all ions investigated, which were fullerene C60/+, cationized PEG polymers, cationized crown ethers, and protonated and sodiated oligoglycines. The temperature dependence of the collision cross sections was successfully modeled by employing simple atom-atom interaction potentials including a repulsive R-12 term and the attractive long-range R-6 and R-4 terms, R being the distance between the colliding particles.","author":[{"dropping-particle":"","family":"Wyttenbach","given":"Thomas","non-dropping-particle":"","parse-names":false,"suffix":""},{"dropping-particle":"","family":"Helden","given":"Gert","non-dropping-particle":"Von","parse-names":false,"suffix":""},{"dropping-particle":"","family":"Batka","given":"Joseph J.","non-dropping-particle":"","parse-names":false,"suffix":""},{"dropping-particle":"","family":"Carlat","given":"Douglas","non-dropping-particle":"","parse-names":false,"suffix":""},{"dropping-particle":"","family":"Bowers","given":"Michael T.","non-dropping-particle":"","parse-names":false,"suffix":""}],"container-title":"Journal of the American Society for Mass Spectrometry","id":"ITEM-1","issue":"3","issued":{"date-parts":[["1997"]]},"page":"275-282","title":"Effect of the long-range potential on ion mobility measurements","type":"article-journal","volume":"8"},"uris":["http://www.mendeley.com/documents/?uuid=315cc075-3c44-4df2-a44d-a9404a84b1c9"]},{"id":"ITEM-2","itemData":{"DOI":"10.1016/0009-2614(96)00941-4","ISBN":"0009-2614","ISSN":"00092614","abstract":"We describe an exact hard-spheres scattering model for calculating the gas phase mobilities of polyatomic ions. Ion mobility measurements have recently been used to deduce structural information for clusters and biomolecules in the gas phase. In virtually all of the previous ion mobility studies, mobilities were evaluated for comparison with the experimental data using a projection approximation. Comparison of the collision integrals calculated using the exact hard-spheres scattering model with those estimated using the projection approximation shows that large deviations, over 20%, occur for some geometries with grossly concave surfaces.","author":[{"dropping-particle":"","family":"Shvartsburg","given":"Alexandre A.","non-dropping-particle":"","parse-names":false,"suffix":""},{"dropping-particle":"","family":"Jarrold","given":"Martin F.","non-dropping-particle":"","parse-names":false,"suffix":""}],"container-title":"Chemical Physics Letters","id":"ITEM-2","issue":"1-2","issued":{"date-parts":[["1996"]]},"page":"86-91","title":"An exact hard-spheres scattering model for the mobilities of polyatomic ions","type":"article-journal","volume":"261"},"uris":["http://www.mendeley.com/documents/?uuid=b8d2ef68-ea36-4bb1-9caa-3f16349bd849"]}],"mendeley":{"formattedCitation":"&lt;sup&gt;2,3&lt;/sup&gt;","plainTextFormattedCitation":"2,3","previouslyFormattedCitation":"&lt;sup&gt;2,3&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2,3</w:t>
      </w:r>
      <w:r w:rsidRPr="00472208">
        <w:fldChar w:fldCharType="end"/>
      </w:r>
      <w:r w:rsidRPr="00472208">
        <w:rPr>
          <w:lang w:val="en-CA"/>
        </w:rPr>
        <w:t xml:space="preserve"> originally produced by </w:t>
      </w:r>
      <w:proofErr w:type="spellStart"/>
      <w:r w:rsidRPr="00472208">
        <w:rPr>
          <w:lang w:val="en-CA"/>
        </w:rPr>
        <w:t>Shvartsburg</w:t>
      </w:r>
      <w:proofErr w:type="spellEnd"/>
      <w:r w:rsidRPr="00472208">
        <w:rPr>
          <w:lang w:val="en-CA"/>
        </w:rPr>
        <w:t xml:space="preserve"> and </w:t>
      </w:r>
      <w:proofErr w:type="spellStart"/>
      <w:r w:rsidRPr="00472208">
        <w:rPr>
          <w:lang w:val="en-CA"/>
        </w:rPr>
        <w:t>Jarrold</w:t>
      </w:r>
      <w:proofErr w:type="spellEnd"/>
      <w:r w:rsidRPr="00472208">
        <w:rPr>
          <w:lang w:val="en-CA"/>
        </w:rPr>
        <w:t xml:space="preserve">, has been developed and refined over the past twenty years to conduct calculations using all three methods, although the trajectory method is generally accepted to be the most accurate.  </w:t>
      </w:r>
    </w:p>
    <w:p w14:paraId="6A2FA1A6" w14:textId="77777777" w:rsidR="00472208" w:rsidRPr="00472208" w:rsidRDefault="00472208" w:rsidP="000356B7">
      <w:pPr>
        <w:jc w:val="both"/>
        <w:rPr>
          <w:lang w:val="en-CA"/>
        </w:rPr>
      </w:pPr>
    </w:p>
    <w:p w14:paraId="405940BC" w14:textId="05A0679E" w:rsidR="00472208" w:rsidRDefault="00472208" w:rsidP="000356B7">
      <w:pPr>
        <w:jc w:val="both"/>
        <w:rPr>
          <w:lang w:val="en-CA"/>
        </w:rPr>
      </w:pPr>
      <w:r w:rsidRPr="00472208">
        <w:rPr>
          <w:lang w:val="en-CA"/>
        </w:rPr>
        <w:t>Within the trajectory method, ion CCSs are evaluated through momentum transfer integrals, which are averaged over all possible velocities and geometries of the ion and buffer gas as per equation 2.</w:t>
      </w:r>
      <w:r w:rsidRPr="00472208">
        <w:rPr>
          <w:lang w:val="en-CA"/>
        </w:rPr>
        <w:fldChar w:fldCharType="begin" w:fldLock="1"/>
      </w:r>
      <w:r w:rsidR="006B4206">
        <w:rPr>
          <w:lang w:val="en-CA"/>
        </w:rPr>
        <w:instrText>ADDIN CSL_CITATION {"citationItems":[{"id":"ITEM-1","itemData":{"DOI":"10.1016/0009-2614(96)00941-4","ISBN":"0009-2614","ISSN":"00092614","abstract":"We describe an exact hard-spheres scattering model for calculating the gas phase mobilities of polyatomic ions. Ion mobility measurements have recently been used to deduce structural information for clusters and biomolecules in the gas phase. In virtually all of the previous ion mobility studies, mobilities were evaluated for comparison with the experimental data using a projection approximation. Comparison of the collision integrals calculated using the exact hard-spheres scattering model with those estimated using the projection approximation shows that large deviations, over 20%, occur for some geometries with grossly concave surfaces.","author":[{"dropping-particle":"","family":"Shvartsburg","given":"Alexandre A.","non-dropping-particle":"","parse-names":false,"suffix":""},{"dropping-particle":"","family":"Jarrold","given":"Martin F.","non-dropping-particle":"","parse-names":false,"suffix":""}],"container-title":"Chemical Physics Letters","id":"ITEM-1","issue":"1-2","issued":{"date-parts":[["1996"]]},"page":"86-91","title":"An exact hard-spheres scattering model for the mobilities of polyatomic ions","type":"article-journal","volume":"261"},"uris":["http://www.mendeley.com/documents/?uuid=b8d2ef68-ea36-4bb1-9caa-3f16349bd849"]},{"id":"ITEM-2","itemData":{"DOI":"10.1016/S1044-0305(96)00236-X","ISBN":"1044-0305","ISSN":"10440305","abstract":"The temperature dependence of ion mobilities in helium was studied by using the ion chromatography method to investigate the effect of long-range terms in the ion-buffer gas interaction. Experimental cross sections thus determined increased significantly as the temperature was lowered from 300 to 80 K for all ions investigated, which were fullerene C60/+, cationized PEG polymers, cationized crown ethers, and protonated and sodiated oligoglycines. The temperature dependence of the collision cross sections was successfully modeled by employing simple atom-atom interaction potentials including a repulsive R-12 term and the attractive long-range R-6 and R-4 terms, R being the distance between the colliding particles.","author":[{"dropping-particle":"","family":"Wyttenbach","given":"Thomas","non-dropping-particle":"","parse-names":false,"suffix":""},{"dropping-particle":"","family":"Helden","given":"Gert","non-dropping-particle":"Von","parse-names":false,"suffix":""},{"dropping-particle":"","family":"Batka","given":"Joseph J.","non-dropping-particle":"","parse-names":false,"suffix":""},{"dropping-particle":"","family":"Carlat","given":"Douglas","non-dropping-particle":"","parse-names":false,"suffix":""},{"dropping-particle":"","family":"Bowers","given":"Michael T.","non-dropping-particle":"","parse-names":false,"suffix":""}],"container-title":"Journal of the American Society for Mass Spectrometry","id":"ITEM-2","issue":"3","issued":{"date-parts":[["1997"]]},"page":"275-282","title":"Effect of the long-range potential on ion mobility measurements","type":"article-journal","volume":"8"},"uris":["http://www.mendeley.com/documents/?uuid=315cc075-3c44-4df2-a44d-a9404a84b1c9"]}],"mendeley":{"formattedCitation":"&lt;sup&gt;2,3&lt;/sup&gt;","plainTextFormattedCitation":"2,3","previouslyFormattedCitation":"&lt;sup&gt;2,3&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2,3</w:t>
      </w:r>
      <w:r w:rsidRPr="00472208">
        <w:fldChar w:fldCharType="end"/>
      </w:r>
      <w:r w:rsidRPr="00472208">
        <w:rPr>
          <w:lang w:val="en-CA"/>
        </w:rPr>
        <w:t xml:space="preserve"> </w:t>
      </w:r>
    </w:p>
    <w:p w14:paraId="309AE37D" w14:textId="66E02C90" w:rsidR="00097303" w:rsidRDefault="00097303" w:rsidP="000356B7">
      <w:pPr>
        <w:jc w:val="both"/>
        <w:rPr>
          <w:lang w:val="en-CA"/>
        </w:rPr>
      </w:pPr>
    </w:p>
    <w:tbl>
      <w:tblPr>
        <w:tblStyle w:val="TableGrid"/>
        <w:tblW w:w="9360" w:type="dxa"/>
        <w:tblInd w:w="-5" w:type="dxa"/>
        <w:tblLook w:val="04A0" w:firstRow="1" w:lastRow="0" w:firstColumn="1" w:lastColumn="0" w:noHBand="0" w:noVBand="1"/>
      </w:tblPr>
      <w:tblGrid>
        <w:gridCol w:w="836"/>
        <w:gridCol w:w="7479"/>
        <w:gridCol w:w="1045"/>
      </w:tblGrid>
      <w:tr w:rsidR="00097303" w:rsidRPr="00F14A94" w14:paraId="111217F6" w14:textId="77777777" w:rsidTr="00131A42">
        <w:tc>
          <w:tcPr>
            <w:tcW w:w="836" w:type="dxa"/>
            <w:tcBorders>
              <w:top w:val="nil"/>
              <w:left w:val="nil"/>
              <w:bottom w:val="nil"/>
              <w:right w:val="nil"/>
            </w:tcBorders>
            <w:vAlign w:val="center"/>
          </w:tcPr>
          <w:p w14:paraId="2F6C9490" w14:textId="77777777" w:rsidR="00097303" w:rsidRPr="00F14A94" w:rsidRDefault="00097303" w:rsidP="000356B7">
            <w:pPr>
              <w:tabs>
                <w:tab w:val="left" w:pos="3119"/>
              </w:tabs>
              <w:spacing w:line="480" w:lineRule="auto"/>
              <w:jc w:val="both"/>
            </w:pPr>
          </w:p>
        </w:tc>
        <w:tc>
          <w:tcPr>
            <w:tcW w:w="7479" w:type="dxa"/>
            <w:tcBorders>
              <w:top w:val="nil"/>
              <w:left w:val="nil"/>
              <w:bottom w:val="nil"/>
              <w:right w:val="nil"/>
            </w:tcBorders>
            <w:vAlign w:val="center"/>
          </w:tcPr>
          <w:p w14:paraId="27CA812F" w14:textId="60EC3552" w:rsidR="00097303" w:rsidRDefault="00B22392" w:rsidP="000356B7">
            <w:pPr>
              <w:jc w:val="both"/>
            </w:pPr>
            <m:oMathPara>
              <m:oMath>
                <m:sSub>
                  <m:sSubPr>
                    <m:ctrlPr>
                      <w:rPr>
                        <w:rFonts w:ascii="Cambria Math" w:hAnsi="Cambria Math"/>
                      </w:rPr>
                    </m:ctrlPr>
                  </m:sSubPr>
                  <m:e>
                    <m:r>
                      <m:rPr>
                        <m:sty m:val="p"/>
                      </m:rPr>
                      <w:rPr>
                        <w:rFonts w:ascii="Cambria Math" w:hAnsi="Cambria Math"/>
                      </w:rPr>
                      <m:t>Ω</m:t>
                    </m:r>
                  </m:e>
                  <m:sub>
                    <m:r>
                      <w:rPr>
                        <w:rFonts w:ascii="Cambria Math" w:hAnsi="Cambria Math"/>
                      </w:rPr>
                      <m:t>avg</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r>
                      <w:rPr>
                        <w:rFonts w:ascii="Cambria Math" w:hAnsi="Cambria Math"/>
                      </w:rPr>
                      <m:t>dθ</m:t>
                    </m:r>
                  </m:e>
                </m:nary>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π</m:t>
                    </m:r>
                  </m:sup>
                  <m:e>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r>
                      <w:rPr>
                        <w:rFonts w:ascii="Cambria Math" w:hAnsi="Cambria Math"/>
                      </w:rPr>
                      <m:t>dφ</m:t>
                    </m:r>
                  </m:e>
                </m:nary>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f>
                      <m:fPr>
                        <m:ctrlPr>
                          <w:rPr>
                            <w:rFonts w:ascii="Cambria Math" w:hAnsi="Cambria Math"/>
                          </w:rPr>
                        </m:ctrlPr>
                      </m:fPr>
                      <m:num>
                        <m:r>
                          <w:rPr>
                            <w:rFonts w:ascii="Cambria Math" w:hAnsi="Cambria Math"/>
                          </w:rPr>
                          <m:t>π</m:t>
                        </m:r>
                      </m:num>
                      <m:den>
                        <m:r>
                          <m:rPr>
                            <m:sty m:val="p"/>
                          </m:rPr>
                          <w:rPr>
                            <w:rFonts w:ascii="Cambria Math" w:hAnsi="Cambria Math"/>
                          </w:rPr>
                          <m:t>8</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e>
                        </m:d>
                      </m:e>
                      <m:sup>
                        <m:r>
                          <m:rPr>
                            <m:sty m:val="p"/>
                          </m:rPr>
                          <w:rPr>
                            <w:rFonts w:ascii="Cambria Math" w:hAnsi="Cambria Math"/>
                          </w:rPr>
                          <m:t>3</m:t>
                        </m:r>
                      </m:sup>
                    </m:sSup>
                    <m:r>
                      <w:rPr>
                        <w:rFonts w:ascii="Cambria Math" w:hAnsi="Cambria Math"/>
                      </w:rPr>
                      <m:t>dγ</m:t>
                    </m:r>
                  </m:e>
                </m:nary>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g</m:t>
                            </m:r>
                          </m:e>
                          <m:sup>
                            <m:r>
                              <m:rPr>
                                <m:sty m:val="p"/>
                              </m:rPr>
                              <w:rPr>
                                <w:rFonts w:ascii="Cambria Math" w:hAnsi="Cambria Math"/>
                              </w:rPr>
                              <m:t>5</m:t>
                            </m:r>
                          </m:sup>
                        </m:sSup>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g</m:t>
                                    </m:r>
                                  </m:e>
                                  <m:sup>
                                    <m:r>
                                      <m:rPr>
                                        <m:sty m:val="p"/>
                                      </m:rPr>
                                      <w:rPr>
                                        <w:rFonts w:ascii="Cambria Math" w:hAnsi="Cambria Math"/>
                                      </w:rPr>
                                      <m:t>2</m:t>
                                    </m:r>
                                  </m:sup>
                                </m:sSup>
                              </m:num>
                              <m:den>
                                <m:r>
                                  <m:rPr>
                                    <m:sty m:val="p"/>
                                  </m:rP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e>
                        </m:d>
                      </m:e>
                    </m:func>
                  </m:e>
                </m:nary>
                <m:r>
                  <w:rPr>
                    <w:rFonts w:ascii="Cambria Math" w:hAnsi="Cambria Math"/>
                  </w:rPr>
                  <m:t>dg</m:t>
                </m:r>
                <m:r>
                  <m:rPr>
                    <m:sty m:val="p"/>
                  </m:rPr>
                  <w:rPr>
                    <w:rFonts w:ascii="Cambria Math" w:hAnsi="Cambria Math"/>
                  </w:rPr>
                  <w:br/>
                </m:r>
              </m:oMath>
              <m:oMath>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r>
                      <m:rPr>
                        <m:sty m:val="p"/>
                      </m:rPr>
                      <w:rPr>
                        <w:rFonts w:ascii="Cambria Math" w:hAnsi="Cambria Math"/>
                      </w:rPr>
                      <m:t>2</m:t>
                    </m:r>
                    <m:r>
                      <w:rPr>
                        <w:rFonts w:ascii="Cambria Math" w:hAnsi="Cambria Math"/>
                      </w:rPr>
                      <m:t>b</m:t>
                    </m:r>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w:rPr>
                            <w:rFonts w:ascii="Cambria Math" w:hAnsi="Cambria Math"/>
                          </w:rPr>
                          <m:t>χ</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b</m:t>
                            </m:r>
                          </m:e>
                        </m:d>
                      </m:e>
                    </m:func>
                  </m:e>
                </m:nary>
                <m:r>
                  <w:rPr>
                    <w:rFonts w:ascii="Cambria Math" w:hAnsi="Cambria Math"/>
                  </w:rPr>
                  <m:t>db</m:t>
                </m:r>
              </m:oMath>
            </m:oMathPara>
          </w:p>
          <w:p w14:paraId="738C24D0" w14:textId="6B1BE26E" w:rsidR="00097303" w:rsidRPr="00F14A94" w:rsidRDefault="00097303" w:rsidP="000356B7">
            <w:pPr>
              <w:tabs>
                <w:tab w:val="left" w:pos="3119"/>
              </w:tabs>
              <w:spacing w:line="480" w:lineRule="auto"/>
              <w:jc w:val="both"/>
              <w:rPr>
                <w:iCs/>
              </w:rPr>
            </w:pPr>
          </w:p>
        </w:tc>
        <w:tc>
          <w:tcPr>
            <w:tcW w:w="1045" w:type="dxa"/>
            <w:tcBorders>
              <w:top w:val="nil"/>
              <w:left w:val="nil"/>
              <w:bottom w:val="nil"/>
              <w:right w:val="nil"/>
            </w:tcBorders>
            <w:vAlign w:val="center"/>
          </w:tcPr>
          <w:p w14:paraId="626D2ADC" w14:textId="36099263" w:rsidR="00097303" w:rsidRPr="00F14A94" w:rsidRDefault="00097303" w:rsidP="000356B7">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2</w:t>
            </w:r>
            <w:r w:rsidRPr="00F14A94">
              <w:rPr>
                <w:sz w:val="22"/>
                <w:szCs w:val="22"/>
              </w:rPr>
              <w:fldChar w:fldCharType="end"/>
            </w:r>
          </w:p>
        </w:tc>
      </w:tr>
    </w:tbl>
    <w:p w14:paraId="06AD242E" w14:textId="5121DD7C" w:rsidR="00131A42" w:rsidRDefault="00472208" w:rsidP="000356B7">
      <w:pPr>
        <w:jc w:val="both"/>
        <w:rPr>
          <w:lang w:val="en-CA"/>
        </w:rPr>
      </w:pPr>
      <w:r w:rsidRPr="00472208">
        <w:rPr>
          <w:lang w:val="en-CA"/>
        </w:rPr>
        <w:lastRenderedPageBreak/>
        <w:t xml:space="preserve">Where θ, φ, and γ define the orientation of the ion with respect to the ion-collision gas centre of mass axis, </w:t>
      </w:r>
      <w:r w:rsidRPr="00472208">
        <w:rPr>
          <w:i/>
          <w:lang w:val="en-CA"/>
        </w:rPr>
        <w:t>g</w:t>
      </w:r>
      <w:r w:rsidRPr="00472208">
        <w:rPr>
          <w:lang w:val="en-CA"/>
        </w:rPr>
        <w:t xml:space="preserve"> is the relative velocity, </w:t>
      </w:r>
      <w:r w:rsidRPr="00472208">
        <w:rPr>
          <w:i/>
          <w:lang w:val="en-CA"/>
        </w:rPr>
        <w:t>b</w:t>
      </w:r>
      <w:r w:rsidRPr="00472208">
        <w:rPr>
          <w:lang w:val="en-CA"/>
        </w:rPr>
        <w:t xml:space="preserve"> is the impact parameter, </w:t>
      </w:r>
      <w:r w:rsidRPr="00472208">
        <w:rPr>
          <w:i/>
          <w:lang w:val="en-CA"/>
        </w:rPr>
        <w:t>µ</w:t>
      </w:r>
      <w:r w:rsidRPr="00472208">
        <w:rPr>
          <w:lang w:val="en-CA"/>
        </w:rPr>
        <w:t xml:space="preserve"> is the reduced mass, and </w:t>
      </w:r>
      <w:r w:rsidRPr="00472208">
        <w:rPr>
          <w:i/>
          <w:lang w:val="en-CA"/>
        </w:rPr>
        <w:t>χ</w:t>
      </w:r>
      <w:r w:rsidRPr="00472208">
        <w:rPr>
          <w:lang w:val="en-CA"/>
        </w:rPr>
        <w:t xml:space="preserve"> is the angle at which buffer gas is scattered upon interaction with the ion. Owing to the dependence of </w:t>
      </w:r>
      <w:r w:rsidRPr="00472208">
        <w:rPr>
          <w:i/>
          <w:lang w:val="en-CA"/>
        </w:rPr>
        <w:t>χ</w:t>
      </w:r>
      <w:r w:rsidRPr="00472208">
        <w:rPr>
          <w:lang w:val="en-CA"/>
        </w:rPr>
        <w:t xml:space="preserve"> on molecular orientation and relative velocity, it can only be evaluated numerically as outlined in equation 3.</w:t>
      </w:r>
      <w:r w:rsidRPr="00472208">
        <w:rPr>
          <w:lang w:val="en-CA"/>
        </w:rPr>
        <w:fldChar w:fldCharType="begin" w:fldLock="1"/>
      </w:r>
      <w:r w:rsidR="006B4206">
        <w:rPr>
          <w:lang w:val="en-CA"/>
        </w:rPr>
        <w:instrText>ADDIN CSL_CITATION {"citationItems":[{"id":"ITEM-1","itemData":{"DOI":"10.1103/PhysRevE.68.061206","ISSN":"1063651X","PMID":"14754191","abstract":"The transport of small particles in the free-molecule regime is investigated on the basis of gas kinetic theory. Drag force formulations were derived in two limiting collision models—namely, specular and diffuse scattering—by considering the potential force of interactions between the particle and fluid molecules. A parametrized drag coefficient equation is proposed and accounts for the transition from specular to diffuse scattering as particle size exceeds a critical value. The resulting formulations are shown to be consistent with the Chapman-Enskog theory of molecular diffusion. In the limit of rigid-body interactions, these formulations can be simplified also to Epstein’s solutions [P. S. Epstein, Phys. Rev. 23, 710 (1924)]. © 2003 The American Physical Society.","author":[{"dropping-particle":"","family":"Li","given":"Zhigang","non-dropping-particle":"","parse-names":false,"suffix":""},{"dropping-particle":"","family":"Wang","given":"Hai","non-dropping-particle":"","parse-names":false,"suffix":""}],"container-title":"Physical Review E - Statistical Physics, Plasmas, Fluids, and Related Interdisciplinary Topics","id":"ITEM-1","issue":"6","issued":{"date-parts":[["2003"]]},"page":"061206","title":"Drag force, diffusion coefficient, and electric mobility of small particles. I. Theory applicable to the free-molecule regime","type":"article-journal","volume":"68"},"uris":["http://www.mendeley.com/documents/?uuid=f9c099e4-8114-40bc-afb0-75dd92ece27e"]}],"mendeley":{"formattedCitation":"&lt;sup&gt;4&lt;/sup&gt;","plainTextFormattedCitation":"4","previouslyFormattedCitation":"&lt;sup&gt;4&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4</w:t>
      </w:r>
      <w:r w:rsidRPr="00472208">
        <w:fldChar w:fldCharType="end"/>
      </w:r>
      <w:r w:rsidRPr="00472208">
        <w:rPr>
          <w:lang w:val="en-CA"/>
        </w:rPr>
        <w:t xml:space="preserve"> </w:t>
      </w:r>
    </w:p>
    <w:tbl>
      <w:tblPr>
        <w:tblStyle w:val="TableGrid"/>
        <w:tblW w:w="9360" w:type="dxa"/>
        <w:tblInd w:w="-5" w:type="dxa"/>
        <w:tblLook w:val="04A0" w:firstRow="1" w:lastRow="0" w:firstColumn="1" w:lastColumn="0" w:noHBand="0" w:noVBand="1"/>
      </w:tblPr>
      <w:tblGrid>
        <w:gridCol w:w="836"/>
        <w:gridCol w:w="7479"/>
        <w:gridCol w:w="1045"/>
      </w:tblGrid>
      <w:tr w:rsidR="00131A42" w:rsidRPr="00F14A94" w14:paraId="137C8908" w14:textId="77777777" w:rsidTr="00131A42">
        <w:tc>
          <w:tcPr>
            <w:tcW w:w="836" w:type="dxa"/>
            <w:tcBorders>
              <w:top w:val="nil"/>
              <w:left w:val="nil"/>
              <w:bottom w:val="nil"/>
              <w:right w:val="nil"/>
            </w:tcBorders>
            <w:vAlign w:val="center"/>
          </w:tcPr>
          <w:p w14:paraId="69F2A2D0" w14:textId="77777777" w:rsidR="00131A42" w:rsidRPr="00F14A94" w:rsidRDefault="00131A42" w:rsidP="000356B7">
            <w:pPr>
              <w:tabs>
                <w:tab w:val="left" w:pos="3119"/>
              </w:tabs>
              <w:spacing w:line="480" w:lineRule="auto"/>
              <w:jc w:val="both"/>
            </w:pPr>
          </w:p>
        </w:tc>
        <w:tc>
          <w:tcPr>
            <w:tcW w:w="7479" w:type="dxa"/>
            <w:tcBorders>
              <w:top w:val="nil"/>
              <w:left w:val="nil"/>
              <w:bottom w:val="nil"/>
              <w:right w:val="nil"/>
            </w:tcBorders>
            <w:vAlign w:val="center"/>
          </w:tcPr>
          <w:p w14:paraId="44FF7C52" w14:textId="77777777" w:rsidR="00131A42" w:rsidRPr="00472208" w:rsidRDefault="00131A42" w:rsidP="000356B7">
            <w:pPr>
              <w:jc w:val="both"/>
            </w:pPr>
            <m:oMathPara>
              <m:oMath>
                <m:r>
                  <w:rPr>
                    <w:rFonts w:ascii="Cambria Math" w:hAnsi="Cambria Math"/>
                  </w:rPr>
                  <m:t>χ</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b</m:t>
                    </m:r>
                  </m:e>
                </m:d>
                <m:r>
                  <m:rPr>
                    <m:sty m:val="p"/>
                  </m:rPr>
                  <w:rPr>
                    <w:rFonts w:ascii="Cambria Math" w:hAnsi="Cambria Math"/>
                  </w:rPr>
                  <m:t>=</m:t>
                </m:r>
                <m:d>
                  <m:dPr>
                    <m:ctrlPr>
                      <w:rPr>
                        <w:rFonts w:ascii="Cambria Math" w:hAnsi="Cambria Math"/>
                      </w:rPr>
                    </m:ctrlPr>
                  </m:dPr>
                  <m:e>
                    <m:r>
                      <w:rPr>
                        <w:rFonts w:ascii="Cambria Math" w:hAnsi="Cambria Math"/>
                      </w:rPr>
                      <m:t>π</m:t>
                    </m:r>
                    <m:r>
                      <m:rPr>
                        <m:sty m:val="p"/>
                      </m:rPr>
                      <w:rPr>
                        <w:rFonts w:ascii="Cambria Math" w:hAnsi="Cambria Math"/>
                      </w:rPr>
                      <m:t>-2</m:t>
                    </m:r>
                    <m:r>
                      <w:rPr>
                        <w:rFonts w:ascii="Cambria Math" w:hAnsi="Cambria Math"/>
                      </w:rPr>
                      <m:t>b</m:t>
                    </m:r>
                  </m:e>
                </m:d>
                <m:nary>
                  <m:naryPr>
                    <m:limLoc m:val="subSup"/>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min</m:t>
                        </m:r>
                      </m:sub>
                    </m:sSub>
                  </m:sub>
                  <m:sup>
                    <m:r>
                      <m:rPr>
                        <m:sty m:val="p"/>
                      </m:rPr>
                      <w:rPr>
                        <w:rFonts w:ascii="Cambria Math" w:hAnsi="Cambria Math"/>
                      </w:rPr>
                      <m:t>∞</m:t>
                    </m:r>
                  </m:sup>
                  <m:e>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r</m:t>
                                </m:r>
                              </m:e>
                              <m:sup>
                                <m:r>
                                  <m:rPr>
                                    <m:sty m:val="p"/>
                                  </m:rPr>
                                  <w:rPr>
                                    <w:rFonts w:ascii="Cambria Math" w:hAnsi="Cambria Math"/>
                                  </w:rPr>
                                  <m:t>2</m:t>
                                </m:r>
                              </m:sup>
                            </m:sSup>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Φ</m:t>
                                    </m:r>
                                    <m:d>
                                      <m:dPr>
                                        <m:ctrlPr>
                                          <w:rPr>
                                            <w:rFonts w:ascii="Cambria Math" w:hAnsi="Cambria Math"/>
                                          </w:rPr>
                                        </m:ctrlPr>
                                      </m:dPr>
                                      <m:e>
                                        <m:r>
                                          <w:rPr>
                                            <w:rFonts w:ascii="Cambria Math" w:hAnsi="Cambria Math"/>
                                          </w:rPr>
                                          <m:t>r</m:t>
                                        </m:r>
                                      </m:e>
                                    </m:d>
                                  </m:num>
                                  <m:den>
                                    <m:sSub>
                                      <m:sSubPr>
                                        <m:ctrlPr>
                                          <w:rPr>
                                            <w:rFonts w:ascii="Cambria Math" w:hAnsi="Cambria Math"/>
                                          </w:rPr>
                                        </m:ctrlPr>
                                      </m:sSub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e>
                                      <m:sub>
                                        <m:r>
                                          <w:rPr>
                                            <w:rFonts w:ascii="Cambria Math" w:hAnsi="Cambria Math"/>
                                          </w:rPr>
                                          <m:t>red</m:t>
                                        </m:r>
                                      </m:sub>
                                    </m:sSub>
                                    <m:sSup>
                                      <m:sSupPr>
                                        <m:ctrlPr>
                                          <w:rPr>
                                            <w:rFonts w:ascii="Cambria Math" w:hAnsi="Cambria Math"/>
                                          </w:rPr>
                                        </m:ctrlPr>
                                      </m:sSupPr>
                                      <m:e>
                                        <m:r>
                                          <w:rPr>
                                            <w:rFonts w:ascii="Cambria Math" w:hAnsi="Cambria Math"/>
                                          </w:rPr>
                                          <m:t>g</m:t>
                                        </m:r>
                                      </m:e>
                                      <m:sup>
                                        <m:r>
                                          <m:rPr>
                                            <m:sty m:val="p"/>
                                          </m:rPr>
                                          <w:rPr>
                                            <w:rFonts w:ascii="Cambria Math" w:hAnsi="Cambria Math"/>
                                          </w:rPr>
                                          <m:t>2</m:t>
                                        </m:r>
                                      </m:sup>
                                    </m:sSup>
                                  </m:den>
                                </m:f>
                              </m:e>
                            </m:rad>
                          </m:e>
                        </m:d>
                      </m:e>
                      <m:sup>
                        <m:r>
                          <m:rPr>
                            <m:sty m:val="p"/>
                          </m:rPr>
                          <w:rPr>
                            <w:rFonts w:ascii="Cambria Math" w:hAnsi="Cambria Math"/>
                          </w:rPr>
                          <m:t>-1</m:t>
                        </m:r>
                      </m:sup>
                    </m:sSup>
                    <m:r>
                      <w:rPr>
                        <w:rFonts w:ascii="Cambria Math" w:hAnsi="Cambria Math"/>
                      </w:rPr>
                      <m:t>dr</m:t>
                    </m:r>
                  </m:e>
                </m:nary>
              </m:oMath>
            </m:oMathPara>
          </w:p>
          <w:p w14:paraId="1C5CE6BF" w14:textId="28DD1871" w:rsidR="00131A42" w:rsidRPr="00F14A94" w:rsidRDefault="00131A42" w:rsidP="000356B7">
            <w:pPr>
              <w:tabs>
                <w:tab w:val="left" w:pos="3119"/>
              </w:tabs>
              <w:spacing w:line="480" w:lineRule="auto"/>
              <w:jc w:val="both"/>
              <w:rPr>
                <w:iCs/>
              </w:rPr>
            </w:pPr>
          </w:p>
        </w:tc>
        <w:tc>
          <w:tcPr>
            <w:tcW w:w="1045" w:type="dxa"/>
            <w:tcBorders>
              <w:top w:val="nil"/>
              <w:left w:val="nil"/>
              <w:bottom w:val="nil"/>
              <w:right w:val="nil"/>
            </w:tcBorders>
            <w:vAlign w:val="center"/>
          </w:tcPr>
          <w:p w14:paraId="330CF76B" w14:textId="693B3FAF" w:rsidR="00131A42" w:rsidRPr="00F14A94" w:rsidRDefault="00131A42" w:rsidP="000356B7">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3</w:t>
            </w:r>
            <w:r w:rsidRPr="00F14A94">
              <w:rPr>
                <w:sz w:val="22"/>
                <w:szCs w:val="22"/>
              </w:rPr>
              <w:fldChar w:fldCharType="end"/>
            </w:r>
          </w:p>
        </w:tc>
      </w:tr>
    </w:tbl>
    <w:p w14:paraId="4DE5E623" w14:textId="47779386" w:rsidR="00472208" w:rsidRDefault="00472208" w:rsidP="000356B7">
      <w:pPr>
        <w:jc w:val="both"/>
        <w:rPr>
          <w:lang w:val="en-CA"/>
        </w:rPr>
      </w:pPr>
      <w:r w:rsidRPr="00472208">
        <w:rPr>
          <w:lang w:val="en-CA"/>
        </w:rPr>
        <w:t xml:space="preserve">Where </w:t>
      </w:r>
      <w:proofErr w:type="spellStart"/>
      <w:r w:rsidRPr="00472208">
        <w:rPr>
          <w:i/>
          <w:lang w:val="en-CA"/>
        </w:rPr>
        <w:t>r</w:t>
      </w:r>
      <w:r w:rsidRPr="00472208">
        <w:rPr>
          <w:i/>
          <w:vertAlign w:val="subscript"/>
          <w:lang w:val="en-CA"/>
        </w:rPr>
        <w:t>min</w:t>
      </w:r>
      <w:proofErr w:type="spellEnd"/>
      <w:r w:rsidRPr="00472208">
        <w:rPr>
          <w:lang w:val="en-CA"/>
        </w:rPr>
        <w:t xml:space="preserve"> is the distance of closest approach between the ion and buffer gas, which has position </w:t>
      </w:r>
      <w:r w:rsidRPr="00472208">
        <w:rPr>
          <w:i/>
          <w:lang w:val="en-CA"/>
        </w:rPr>
        <w:t>r</w:t>
      </w:r>
      <w:r w:rsidRPr="00472208">
        <w:rPr>
          <w:lang w:val="en-CA"/>
        </w:rPr>
        <w:t>. Gas trajectories are ultimately determined by the intermolecular potential Φ(</w:t>
      </w:r>
      <w:r w:rsidRPr="00472208">
        <w:rPr>
          <w:i/>
          <w:lang w:val="en-CA"/>
        </w:rPr>
        <w:t>r</w:t>
      </w:r>
      <w:r w:rsidRPr="00472208">
        <w:rPr>
          <w:lang w:val="en-CA"/>
        </w:rPr>
        <w:t>), which is composed of three contributions: van der Waals (</w:t>
      </w:r>
      <w:proofErr w:type="spellStart"/>
      <w:r w:rsidRPr="00472208">
        <w:rPr>
          <w:i/>
          <w:lang w:val="en-CA"/>
        </w:rPr>
        <w:t>V</w:t>
      </w:r>
      <w:r w:rsidRPr="00472208">
        <w:rPr>
          <w:i/>
          <w:vertAlign w:val="subscript"/>
          <w:lang w:val="en-CA"/>
        </w:rPr>
        <w:t>vdW</w:t>
      </w:r>
      <w:proofErr w:type="spellEnd"/>
      <w:r w:rsidRPr="00472208">
        <w:rPr>
          <w:lang w:val="en-CA"/>
        </w:rPr>
        <w:t>), ion-induced dipole (</w:t>
      </w:r>
      <w:r w:rsidRPr="00472208">
        <w:rPr>
          <w:i/>
          <w:lang w:val="en-CA"/>
        </w:rPr>
        <w:t>V</w:t>
      </w:r>
      <w:r w:rsidRPr="00472208">
        <w:rPr>
          <w:i/>
          <w:vertAlign w:val="subscript"/>
          <w:lang w:val="en-CA"/>
        </w:rPr>
        <w:t>IID</w:t>
      </w:r>
      <w:r w:rsidRPr="00472208">
        <w:rPr>
          <w:lang w:val="en-CA"/>
        </w:rPr>
        <w:t>), and ion-quadrupole (</w:t>
      </w:r>
      <w:r w:rsidRPr="00472208">
        <w:rPr>
          <w:i/>
          <w:lang w:val="en-CA"/>
        </w:rPr>
        <w:t>V</w:t>
      </w:r>
      <w:r w:rsidRPr="00472208">
        <w:rPr>
          <w:i/>
          <w:vertAlign w:val="subscript"/>
          <w:lang w:val="en-CA"/>
        </w:rPr>
        <w:t>IQ</w:t>
      </w:r>
      <w:r w:rsidRPr="00472208">
        <w:rPr>
          <w:lang w:val="en-CA"/>
        </w:rPr>
        <w:t xml:space="preserve">) interactions (see equation 4). </w:t>
      </w:r>
    </w:p>
    <w:p w14:paraId="516369C0" w14:textId="6DDCBE11" w:rsidR="00131A42" w:rsidRDefault="00131A42" w:rsidP="000356B7">
      <w:pPr>
        <w:jc w:val="both"/>
        <w:rPr>
          <w:lang w:val="en-CA"/>
        </w:rPr>
      </w:pPr>
    </w:p>
    <w:tbl>
      <w:tblPr>
        <w:tblStyle w:val="TableGrid"/>
        <w:tblW w:w="9360" w:type="dxa"/>
        <w:tblInd w:w="-5" w:type="dxa"/>
        <w:tblLook w:val="04A0" w:firstRow="1" w:lastRow="0" w:firstColumn="1" w:lastColumn="0" w:noHBand="0" w:noVBand="1"/>
      </w:tblPr>
      <w:tblGrid>
        <w:gridCol w:w="836"/>
        <w:gridCol w:w="7479"/>
        <w:gridCol w:w="1045"/>
      </w:tblGrid>
      <w:tr w:rsidR="00131A42" w:rsidRPr="00F14A94" w14:paraId="114A6C38" w14:textId="77777777" w:rsidTr="00277675">
        <w:tc>
          <w:tcPr>
            <w:tcW w:w="836" w:type="dxa"/>
            <w:tcBorders>
              <w:top w:val="nil"/>
              <w:left w:val="nil"/>
              <w:bottom w:val="nil"/>
              <w:right w:val="nil"/>
            </w:tcBorders>
          </w:tcPr>
          <w:p w14:paraId="3B096605" w14:textId="77777777" w:rsidR="00131A42" w:rsidRPr="00F14A94" w:rsidRDefault="00131A42" w:rsidP="000356B7">
            <w:pPr>
              <w:tabs>
                <w:tab w:val="left" w:pos="3119"/>
              </w:tabs>
              <w:spacing w:line="480" w:lineRule="auto"/>
              <w:jc w:val="both"/>
            </w:pPr>
          </w:p>
        </w:tc>
        <w:tc>
          <w:tcPr>
            <w:tcW w:w="7479" w:type="dxa"/>
            <w:tcBorders>
              <w:top w:val="nil"/>
              <w:left w:val="nil"/>
              <w:bottom w:val="nil"/>
              <w:right w:val="nil"/>
            </w:tcBorders>
          </w:tcPr>
          <w:p w14:paraId="729BA8C7" w14:textId="41D4DC12" w:rsidR="00131A42" w:rsidRPr="00131A42" w:rsidRDefault="00131A42" w:rsidP="000356B7">
            <w:pPr>
              <w:jc w:val="both"/>
            </w:pPr>
            <m:oMathPara>
              <m:oMath>
                <m:r>
                  <m:rPr>
                    <m:sty m:val="p"/>
                  </m:rPr>
                  <w:rPr>
                    <w:rFonts w:ascii="Cambria Math" w:hAnsi="Cambria Math"/>
                  </w:rPr>
                  <m:t>Φ</m:t>
                </m:r>
                <m:d>
                  <m:dPr>
                    <m:ctrlPr>
                      <w:rPr>
                        <w:rFonts w:ascii="Cambria Math" w:hAnsi="Cambria Math"/>
                      </w:rPr>
                    </m:ctrlPr>
                  </m:dPr>
                  <m:e>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vdW</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IID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IQ</m:t>
                    </m:r>
                  </m:sub>
                </m:sSub>
              </m:oMath>
            </m:oMathPara>
          </w:p>
        </w:tc>
        <w:tc>
          <w:tcPr>
            <w:tcW w:w="1045" w:type="dxa"/>
            <w:tcBorders>
              <w:top w:val="nil"/>
              <w:left w:val="nil"/>
              <w:bottom w:val="nil"/>
              <w:right w:val="nil"/>
            </w:tcBorders>
          </w:tcPr>
          <w:p w14:paraId="58A6C7C3" w14:textId="47002FF2" w:rsidR="00131A42" w:rsidRPr="00F14A94" w:rsidRDefault="00131A42" w:rsidP="000356B7">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4</w:t>
            </w:r>
            <w:r w:rsidRPr="00F14A94">
              <w:rPr>
                <w:sz w:val="22"/>
                <w:szCs w:val="22"/>
              </w:rPr>
              <w:fldChar w:fldCharType="end"/>
            </w:r>
          </w:p>
        </w:tc>
      </w:tr>
    </w:tbl>
    <w:p w14:paraId="1DF08EA2" w14:textId="00F04674" w:rsidR="00472208" w:rsidRDefault="00472208" w:rsidP="000356B7">
      <w:pPr>
        <w:jc w:val="both"/>
      </w:pPr>
      <w:r w:rsidRPr="00472208">
        <w:rPr>
          <w:lang w:val="en-CA"/>
        </w:rPr>
        <w:t xml:space="preserve">The dominant term in modelling trajectories arises from the </w:t>
      </w:r>
      <w:proofErr w:type="spellStart"/>
      <w:r w:rsidRPr="00472208">
        <w:rPr>
          <w:lang w:val="en-CA"/>
        </w:rPr>
        <w:t>vdW</w:t>
      </w:r>
      <w:proofErr w:type="spellEnd"/>
      <w:r w:rsidRPr="00472208">
        <w:rPr>
          <w:lang w:val="en-CA"/>
        </w:rPr>
        <w:t xml:space="preserve"> interaction. While traditionally this takes the form of a 12-6 Lennard-Jones (LJ) potential, it was shown that the Exp-6 potential (see Equation 5) employed in the MM3 forcefield yields more accurate CCS predictions.</w:t>
      </w:r>
      <w:r w:rsidRPr="00472208">
        <w:rPr>
          <w:lang w:val="en-CA"/>
        </w:rPr>
        <w:fldChar w:fldCharType="begin" w:fldLock="1"/>
      </w:r>
      <w:r w:rsidR="006B4206">
        <w:rPr>
          <w:lang w:val="en-CA"/>
        </w:rPr>
        <w:instrText>ADDIN CSL_CITATION {"citationItems":[{"id":"ITEM-1","itemData":{"DOI":"10.1039/c7an01276d","ISSN":"13645528","PMID":"29034911","abstract":"Ion mobility mass spectrometry (IM-MS) has become an important tool for the structural investigation of ions in the gas phase. Accurate theoretical evaluation of ion collision cross sections (CCSs) is essential for the effective application of IM-MS in structural studies. However, current theoretical tools have limitations in accurately describing a broad range of ions from small molecules to macromolecules. Significant difficulties in developing theoretical tools for CCS calculations are associated with obtaining high-quality experimental data and molecular models. In this study, we present a general CCS calculation method by employing two drift-tube IM-MS (DTIM-MS) instruments and thorough molecular modeling procedures. It is demonstrated that an appropriate description of the van der Waals (vdW) interactions is important for accurate CCS calculations in helium drift gas. By utilizing the vdW potentials from molecular mechanics force fields, it is shown that both the appropriate vdW potential-forms and their parameters are necessary for the highly reliable CCS predictions of small molecules. We further show that specific characteristics of the vdW interaction potential become less influential on the calculated CCS with increasing ion size, and that the calculated CCS values for the macromolecules converge to the values at the hard-sphere limit. Based on these results, a general CCS calculation method is presented that can be applied to ions of various sizes and compositions for the gas-phase structural studies.","author":[{"dropping-particle":"","family":"Lee","given":"Jong Wha","non-dropping-particle":"","parse-names":false,"suffix":""},{"dropping-particle":"","family":"Davidson","given":"Kimberly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I.","non-dropping-particle":"","parse-names":false,"suffix":""}],"container-title":"Analyst","id":"ITEM-1","issue":"22","issued":{"date-parts":[["2017"]]},"page":"4289-4298","publisher":"Royal Society of Chemistry","title":"Collision cross sections and ion structures: Development of a general calculation method via high-quality ion mobility measurements and theoretical modeling","type":"article-journal","volume":"142"},"uris":["http://www.mendeley.com/documents/?uuid=c99b8672-8a93-47f5-9241-a63cc58844c6"]},{"id":"ITEM-2","itemData":{"DOI":"10.1021/ja00205a003","ISBN":"0002-7863","ISSN":"15205126","PMID":"1000201337","abstract":"The van der Waals' potentials used for interactions between carbon and hydrogen in both aliphatic and aromatic systems have been improved from those available in MM2, and the new values are used in MM3. The atoms are slightly larger and somewhat softer than they were with MM2. These values were optimized by fitting to the crystal parameters (six cell constants) and the heats of sublimation for the normal alkanes from C6 to C10, plus C12, and also diamond, graphite, benzene, biphenyl, and hexamethylbenzene, in addition to fitting structural and energy data on congested molecules as reported earlier. The parameters developed give good crystal structures and heats of sublimation for these molecules. Biphenyl is calculated to be twisted about 40° in the gas phase, but lattice forces cause it to flatten into a planar conformation in the crystal. © 1989, American Chemical Society. Alle Rechte vorbehalten.","author":[{"dropping-particle":"","family":"Lii","given":"Jenn Huei","non-dropping-particle":"","parse-names":false,"suffix":""},{"dropping-particle":"","family":"Allinger","given":"Norman L.","non-dropping-particle":"","parse-names":false,"suffix":""}],"container-title":"Journal of the American Chemical Society","id":"ITEM-2","issue":"23","issued":{"date-parts":[["1989"]]},"page":"8576-8582","title":"Molecular Mechanics. The MM3 Force Field for Hydrocarbons. 3. The van der Waals' Potentials and Crystal Data for Aliphatic and Aromatic Hydrocarbons","type":"article-journal","volume":"111"},"uris":["http://www.mendeley.com/documents/?uuid=bcb33e92-dab3-4f7d-8140-635bf4c0ee31"]}],"mendeley":{"formattedCitation":"&lt;sup&gt;5,6&lt;/sup&gt;","plainTextFormattedCitation":"5,6","previouslyFormattedCitation":"&lt;sup&gt;5,6&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5,6</w:t>
      </w:r>
      <w:r w:rsidRPr="00472208">
        <w:fldChar w:fldCharType="end"/>
      </w:r>
    </w:p>
    <w:p w14:paraId="2C8FCF48" w14:textId="240FC76A" w:rsidR="00131A42" w:rsidRDefault="00131A42" w:rsidP="000356B7">
      <w:pPr>
        <w:jc w:val="both"/>
      </w:pPr>
    </w:p>
    <w:tbl>
      <w:tblPr>
        <w:tblStyle w:val="TableGrid"/>
        <w:tblW w:w="9360" w:type="dxa"/>
        <w:tblInd w:w="-5" w:type="dxa"/>
        <w:tblLook w:val="04A0" w:firstRow="1" w:lastRow="0" w:firstColumn="1" w:lastColumn="0" w:noHBand="0" w:noVBand="1"/>
      </w:tblPr>
      <w:tblGrid>
        <w:gridCol w:w="836"/>
        <w:gridCol w:w="7479"/>
        <w:gridCol w:w="1045"/>
      </w:tblGrid>
      <w:tr w:rsidR="00131A42" w:rsidRPr="00F14A94" w14:paraId="6F24E689" w14:textId="77777777" w:rsidTr="00B87EB3">
        <w:tc>
          <w:tcPr>
            <w:tcW w:w="836" w:type="dxa"/>
            <w:tcBorders>
              <w:top w:val="nil"/>
              <w:left w:val="nil"/>
              <w:bottom w:val="nil"/>
              <w:right w:val="nil"/>
            </w:tcBorders>
            <w:vAlign w:val="center"/>
          </w:tcPr>
          <w:p w14:paraId="220994D5" w14:textId="77777777" w:rsidR="00131A42" w:rsidRPr="00F14A94" w:rsidRDefault="00131A42" w:rsidP="000356B7">
            <w:pPr>
              <w:tabs>
                <w:tab w:val="left" w:pos="3119"/>
              </w:tabs>
              <w:spacing w:line="480" w:lineRule="auto"/>
              <w:jc w:val="both"/>
            </w:pPr>
          </w:p>
        </w:tc>
        <w:tc>
          <w:tcPr>
            <w:tcW w:w="7479" w:type="dxa"/>
            <w:tcBorders>
              <w:top w:val="nil"/>
              <w:left w:val="nil"/>
              <w:bottom w:val="nil"/>
              <w:right w:val="nil"/>
            </w:tcBorders>
            <w:vAlign w:val="center"/>
          </w:tcPr>
          <w:p w14:paraId="7A03E3AF" w14:textId="77777777" w:rsidR="00131A42" w:rsidRDefault="00B22392" w:rsidP="000356B7">
            <w:pPr>
              <w:jc w:val="both"/>
            </w:pPr>
            <m:oMathPara>
              <m:oMath>
                <m:sSub>
                  <m:sSubPr>
                    <m:ctrlPr>
                      <w:rPr>
                        <w:rFonts w:ascii="Cambria Math" w:hAnsi="Cambria Math"/>
                      </w:rPr>
                    </m:ctrlPr>
                  </m:sSubPr>
                  <m:e>
                    <m:r>
                      <w:rPr>
                        <w:rFonts w:ascii="Cambria Math" w:hAnsi="Cambria Math"/>
                      </w:rPr>
                      <m:t>V</m:t>
                    </m:r>
                  </m:e>
                  <m:sub>
                    <m:r>
                      <w:rPr>
                        <w:rFonts w:ascii="Cambria Math" w:hAnsi="Cambria Math"/>
                      </w:rPr>
                      <m:t>vdW</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1.84×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m:rPr>
                                        <m:sty m:val="p"/>
                                      </m:rPr>
                                      <w:rPr>
                                        <w:rFonts w:ascii="Cambria Math" w:hAnsi="Cambria Math"/>
                                      </w:rPr>
                                      <m:t>12</m:t>
                                    </m:r>
                                    <m:sSub>
                                      <m:sSubPr>
                                        <m:ctrlPr>
                                          <w:rPr>
                                            <w:rFonts w:ascii="Cambria Math" w:hAnsi="Cambria Math"/>
                                          </w:rPr>
                                        </m:ctrlPr>
                                      </m:sSubPr>
                                      <m:e>
                                        <m:r>
                                          <w:rPr>
                                            <w:rFonts w:ascii="Cambria Math" w:hAnsi="Cambria Math"/>
                                          </w:rPr>
                                          <m:t>r</m:t>
                                        </m:r>
                                      </m:e>
                                      <m:sub>
                                        <m:r>
                                          <w:rPr>
                                            <w:rFonts w:ascii="Cambria Math" w:hAnsi="Cambria Math"/>
                                          </w:rPr>
                                          <m:t>i</m:t>
                                        </m:r>
                                      </m:sub>
                                    </m:sSub>
                                  </m:num>
                                  <m:den>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den>
                                </m:f>
                              </m:e>
                            </m:d>
                          </m:e>
                        </m:func>
                        <m:r>
                          <m:rPr>
                            <m:sty m:val="p"/>
                          </m:rPr>
                          <w:rPr>
                            <w:rFonts w:ascii="Cambria Math" w:hAnsi="Cambria Math"/>
                          </w:rPr>
                          <m:t>-2.25</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r</m:t>
                                        </m:r>
                                      </m:e>
                                      <m:sub>
                                        <m:r>
                                          <w:rPr>
                                            <w:rFonts w:ascii="Cambria Math" w:hAnsi="Cambria Math"/>
                                          </w:rPr>
                                          <m:t>i</m:t>
                                        </m:r>
                                      </m:sub>
                                    </m:sSub>
                                  </m:den>
                                </m:f>
                              </m:e>
                            </m:d>
                          </m:e>
                          <m:sup>
                            <m:r>
                              <m:rPr>
                                <m:sty m:val="p"/>
                              </m:rPr>
                              <w:rPr>
                                <w:rFonts w:ascii="Cambria Math" w:hAnsi="Cambria Math"/>
                              </w:rPr>
                              <m:t>6</m:t>
                            </m:r>
                          </m:sup>
                        </m:sSup>
                      </m:e>
                    </m:d>
                  </m:e>
                </m:nary>
              </m:oMath>
            </m:oMathPara>
          </w:p>
          <w:p w14:paraId="649F7C67" w14:textId="123AEF88" w:rsidR="00131A42" w:rsidRPr="00F14A94" w:rsidRDefault="00131A42" w:rsidP="000356B7">
            <w:pPr>
              <w:tabs>
                <w:tab w:val="left" w:pos="3119"/>
              </w:tabs>
              <w:spacing w:line="480" w:lineRule="auto"/>
              <w:jc w:val="both"/>
              <w:rPr>
                <w:iCs/>
              </w:rPr>
            </w:pPr>
          </w:p>
        </w:tc>
        <w:tc>
          <w:tcPr>
            <w:tcW w:w="1045" w:type="dxa"/>
            <w:tcBorders>
              <w:top w:val="nil"/>
              <w:left w:val="nil"/>
              <w:bottom w:val="nil"/>
              <w:right w:val="nil"/>
            </w:tcBorders>
            <w:vAlign w:val="center"/>
          </w:tcPr>
          <w:p w14:paraId="55747121" w14:textId="36B26627" w:rsidR="00131A42" w:rsidRPr="00F14A94" w:rsidRDefault="00131A42" w:rsidP="000356B7">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5</w:t>
            </w:r>
            <w:r w:rsidRPr="00F14A94">
              <w:rPr>
                <w:sz w:val="22"/>
                <w:szCs w:val="22"/>
              </w:rPr>
              <w:fldChar w:fldCharType="end"/>
            </w:r>
          </w:p>
        </w:tc>
      </w:tr>
    </w:tbl>
    <w:p w14:paraId="01FD90D2" w14:textId="7546949E" w:rsidR="00472208" w:rsidRPr="00472208" w:rsidRDefault="00472208" w:rsidP="000356B7">
      <w:pPr>
        <w:jc w:val="both"/>
        <w:rPr>
          <w:lang w:val="en-CA"/>
        </w:rPr>
      </w:pPr>
      <w:r w:rsidRPr="00472208">
        <w:rPr>
          <w:lang w:val="en-CA"/>
        </w:rPr>
        <w:t xml:space="preserve">Here, </w:t>
      </w:r>
      <w:proofErr w:type="spellStart"/>
      <w:r w:rsidRPr="00472208">
        <w:rPr>
          <w:i/>
          <w:lang w:val="en-CA"/>
        </w:rPr>
        <w:t>r</w:t>
      </w:r>
      <w:r w:rsidRPr="00472208">
        <w:rPr>
          <w:i/>
          <w:lang w:val="en-CA"/>
        </w:rPr>
        <w:softHyphen/>
      </w:r>
      <w:r w:rsidRPr="00472208">
        <w:rPr>
          <w:i/>
          <w:vertAlign w:val="subscript"/>
          <w:lang w:val="en-CA"/>
        </w:rPr>
        <w:t>i</w:t>
      </w:r>
      <w:proofErr w:type="spellEnd"/>
      <w:r w:rsidRPr="00472208">
        <w:rPr>
          <w:i/>
          <w:vertAlign w:val="superscript"/>
          <w:lang w:val="en-CA"/>
        </w:rPr>
        <w:t xml:space="preserve">* </w:t>
      </w:r>
      <w:r w:rsidRPr="00472208">
        <w:rPr>
          <w:lang w:val="en-CA"/>
        </w:rPr>
        <w:t xml:space="preserve">is the equilibrium distance between the buffer gas and interaction partner and </w:t>
      </w:r>
      <w:proofErr w:type="spellStart"/>
      <w:r w:rsidRPr="00472208">
        <w:rPr>
          <w:lang w:val="en-CA"/>
        </w:rPr>
        <w:t>ε</w:t>
      </w:r>
      <w:r w:rsidRPr="00472208">
        <w:rPr>
          <w:i/>
          <w:vertAlign w:val="subscript"/>
          <w:lang w:val="en-CA"/>
        </w:rPr>
        <w:t>i</w:t>
      </w:r>
      <w:proofErr w:type="spellEnd"/>
      <w:r w:rsidRPr="00472208">
        <w:rPr>
          <w:lang w:val="en-CA"/>
        </w:rPr>
        <w:t xml:space="preserve"> is the depth of the potential well. Typically, </w:t>
      </w:r>
      <w:proofErr w:type="spellStart"/>
      <w:r w:rsidRPr="00472208">
        <w:rPr>
          <w:lang w:val="en-CA"/>
        </w:rPr>
        <w:t>vdW</w:t>
      </w:r>
      <w:proofErr w:type="spellEnd"/>
      <w:r w:rsidRPr="00472208">
        <w:rPr>
          <w:lang w:val="en-CA"/>
        </w:rPr>
        <w:t xml:space="preserve"> parameters used in trajectory method calculations are empirically optimized to best reproduce experimentally obtained CCSs in a specific buffer gas; the optimized parameters are available only for the common elements (H, C, N, O, and F) from a handful of sources.</w:t>
      </w:r>
      <w:r w:rsidRPr="00472208">
        <w:rPr>
          <w:lang w:val="en-CA"/>
        </w:rPr>
        <w:fldChar w:fldCharType="begin" w:fldLock="1"/>
      </w:r>
      <w:r w:rsidR="006B4206">
        <w:rPr>
          <w:lang w:val="en-CA"/>
        </w:rPr>
        <w:instrText xml:space="preserve">ADDIN CSL_CITATION {"citationItems":[{"id":"ITEM-1","itemData":{"DOI":"10.1021/jp910858z","ISBN":"1520-5207 (Electronic)\\r1520-5207 (Linking)","ISSN":"15206106","PMID":"20039660","abstract":"Structural information of gaseous ions can be obtained by comparing their collision cross sections as determined by ion-mobility experiments with those by theoretical modeling. Three theoretical models, the projection approximation (PA), the exact hard-sphere scattering (EHSS), and the trajectory (TJ) models, have been employed to determine the theoretical cross sections of candidate geometries. The accuracy of these models is largely dependent on the empirical parameters used for ion-buffer gas interactions. Optimal empirical parameters for each model have been determined by comparing the experimental cross sections of 20 calibrant ions with their theoretical cross sections obtained by using geometries sampled by density-functional-theory-based molecular dynamics simulations. The maximum absolute deviations of the cross sections of 15.5% (PA), 20.7% (EHSS), and 11.7% (TJ) obtained from the original parameters are reduced to 5.6% (PA), 4.6% (EHSS), and 3.4% (TJ) obtained from the new optimized parameters. The root-mean-square deviations of the predicted cross sections using the new parameters from the experimental values are also drastically reduced to 2.1% (PA), 1.9% (EHSS), and 1.6% (TJ). The new parameters are verified on protonated triglycine, protonated trialanine, and doubly protonated bradykinin. © 2010 American Chemical Society.","author":[{"dropping-particle":"","family":"Siu","given":"Chi Kit","non-dropping-particle":"","parse-names":false,"suffix":""},{"dropping-particle":"","family":"Guo","given":"Yuzhu","non-dropping-particle":"","parse-names":false,"suffix":""},{"dropping-particle":"","family":"Saminathan","given":"Irine S.","non-dropping-particle":"","parse-names":false,"suffix":""},{"dropping-particle":"","family":"Hopkinson","given":"Alan C.","non-dropping-particle":"","parse-names":false,"suffix":""},{"dropping-particle":"","family":"Siu","given":"K. W.Michael","non-dropping-particle":"","parse-names":false,"suffix":""}],"container-title":"Journal of Physical Chemistry B","id":"ITEM-1","issue":"2","issued":{"date-parts":[["2010"]]},"page":"1204-1212","title":"Optimization of parameters used in algorithms of ion-mobility calculation for conformational analyses","type":"article-journal","volume":"114"},"uris":["http://www.mendeley.com/documents/?uuid=86ec5eea-14de-4897-be59-48283eed226a"]},{"id":"ITEM-2","itemData":{"DOI":"10.1021/ac202625t","ISBN":"1520-6882 (Electronic)\\r0003-2700 (Linking)","ISSN":"00032700","PMID":"22141445","abstract":"We present the use of drug-like molecules as a traveling wave (T-wave) ion mobility (IM) calibration sample set, covering the m/z range of 122.1-609.3, the nitrogen collision cross-section (ωN 2) range of 124.5-254.3 Å 2 and the helium collision cross-section (ω He) range of 63.0-178.8 Å 2. Absolute ωN 2 and ω He values for the drug-like calibrants and two diastereomers were measured using a drift-tube instrument with radio frequency (RF) ion confinement. T-wave drift-times for the protonated diastereomers betamethasone and dexamethasone are reproducibly different. Calibration of these drift-times yields T-wave ωN 2 values of 189.4 and 190.4 Å 2, respectively. These results demonstrate the ability of T-wave IM spectrometry to differentiate diastereomers differing in ωN 2 value by only 1 Å 2, even though the resolution of these IM experiments were </w:instrText>
      </w:r>
      <w:r w:rsidR="006B4206">
        <w:rPr>
          <w:rFonts w:ascii="Cambria Math" w:hAnsi="Cambria Math" w:cs="Cambria Math"/>
          <w:lang w:val="en-CA"/>
        </w:rPr>
        <w:instrText>∼</w:instrText>
      </w:r>
      <w:r w:rsidR="006B4206">
        <w:rPr>
          <w:lang w:val="en-CA"/>
        </w:rPr>
        <w:instrText>40 (</w:instrText>
      </w:r>
      <w:r w:rsidR="006B4206">
        <w:rPr>
          <w:rFonts w:cs="Garamond"/>
          <w:lang w:val="en-CA"/>
        </w:rPr>
        <w:instrText>ω</w:instrText>
      </w:r>
      <w:r w:rsidR="006B4206">
        <w:rPr>
          <w:lang w:val="en-CA"/>
        </w:rPr>
        <w:instrText>/</w:instrText>
      </w:r>
      <w:r w:rsidR="006B4206">
        <w:rPr>
          <w:rFonts w:cs="Garamond"/>
          <w:lang w:val="en-CA"/>
        </w:rPr>
        <w:instrText>δω</w:instrText>
      </w:r>
      <w:r w:rsidR="006B4206">
        <w:rPr>
          <w:lang w:val="en-CA"/>
        </w:rPr>
        <w:instrText xml:space="preserve">). Demonstrated through density functional theory optimized geometries and ionic electrostatic surface potential analysis, the small but measurable mobility difference between the two diastereomers is mainly due to short-range van der Waals interactions with the neutral buffer gas and not long-range charge-induced dipole interactions. The experimental RF-confining drift-tube and T-wave ωN 2 values were also evaluated using a nitrogen based trajectory method, optimized for T-wave operating temperature and pressures, incorporating additional scaling factors to the Lennard-Jones potentials. Experimental ω He values were also compared to the original and optimized helium based trajectory methods. © 2011 American Chemical Society.","author":[{"dropping-particle":"","family":"Campuzano","given":"Iain","non-dropping-particle":"","parse-names":false,"suffix":""},{"dropping-particle":"","family":"Bush","given":"Matthew F.","non-dropping-particle":"","parse-names":false,"suffix":""},{"dropping-particle":"V.","family":"Robinson","given":"Carol","non-dropping-particle":"","parse-names":false,"suffix":""},{"dropping-particle":"","family":"Beaumont","given":"Claire","non-dropping-particle":"","parse-names":false,"suffix":""},{"dropping-particle":"","family":"Richardson","given":"Keith","non-dropping-particle":"","parse-names":false,"suffix":""},{"dropping-particle":"","family":"Kim","given":"Hyungjun","non-dropping-particle":"","parse-names":false,"suffix":""},{"dropping-particle":"","family":"Kim","given":"Hugh I.","non-dropping-particle":"","parse-names":false,"suffix":""}],"container-title":"Analytical Chemistry","id":"ITEM-2","issue":"2","issued":{"date-parts":[["2012"]]},"page":"1026-1033","title":"Structural characterization of drug-like compounds by ion mobility mass spectrometry: Comparison of theoretical and experimentally derived nitrogen collision cross sections","type":"article-journal","volume":"84"},"uris":["http://www.mendeley.com/documents/?uuid=c1c4d96a-0c5a-401d-a0a5-7e82b92fae24"]},{"id":"ITEM-3","itemData":{"DOI":"10.1063/1.5016170","ISSN":"00219606","PMID":"29471643","abstract":"The problem of optimizing Lennard-Jones (L-J) potential parameters to perform collision cross section (CCS) calculations in ion mobility spectrometry has been undertaken. The experimental CCS of 16 small organic molecules containing carbon, hydrogen, oxygen, nitrogen, and fluoride in N2 was compared to numerical calculations using Density Functional Theory (DFT). CCS calculations were performed using the momentum transfer algorithm IMoS and a 4-6-12 potential without incorporating the ion-quadrupole potential. A ceteris paribus optimization method was used to optimize the intercept σ and potential well-depth </w:instrText>
      </w:r>
      <w:r w:rsidR="006B4206">
        <w:rPr>
          <w:rFonts w:ascii="Cambria" w:hAnsi="Cambria" w:cs="Cambria"/>
          <w:lang w:val="en-CA"/>
        </w:rPr>
        <w:instrText>ϵ</w:instrText>
      </w:r>
      <w:r w:rsidR="006B4206">
        <w:rPr>
          <w:lang w:val="en-CA"/>
        </w:rPr>
        <w:instrText xml:space="preserve"> for the given atoms. This method yields important information that otherwise would remain concealed. Results show that the optimized L-J parameters are not necessarily unique with intercept and well-depth following an exponential relation at an existing line of minimums. Similarly, the method shows that some molecules containing atoms of interest may be ill-conditioned candidates to perform optimizations of the L-J parameters. The final calculated CCSs for the chosen parameters differ 1% on average from their experimental counterparts. This result conveys the notion that DFT calculations can indeed be used as potential candidates for CCS calculations and that effects, such as the ion-quadrupole potential or diffuse scattering, can be embedded into the L-J parameters without loss of accuracy but with a large increase in computational efficiency.","author":[{"dropping-particle":"","family":"Wu","given":"Tianyang","non-dropping-particle":"","parse-names":false,"suffix":""},{"dropping-particle":"","family":"Derrick","given":"Joseph","non-dropping-particle":"","parse-names":false,"suffix":""},{"dropping-particle":"","family":"Nahin","given":"Minal","non-dropping-particle":"","parse-names":false,"suffix":""},{"dropping-particle":"","family":"Chen","given":"Xi","non-dropping-particle":"","parse-names":false,"suffix":""},{"dropping-particle":"","family":"Larriba-Andaluz","given":"Carlos","non-dropping-particle":"","parse-names":false,"suffix":""}],"container-title":"Journal of Chemical Physics","id":"ITEM-3","issue":"7","issued":{"date-parts":[["2018"]]},"page":"074102","title":"Optimization of long range potential interaction parameters in ion mobility spectrometry","type":"article-journal","volume":"148"},"uris":["http://www.mendeley.com/documents/?uuid=440ea874-a390-4ad3-8be6-6ec869259703"]}],"mendeley":{"formattedCitation":"&lt;sup&gt;7–9&lt;/sup&gt;","plainTextFormattedCitation":"7–9","previouslyFormattedCitation":"&lt;sup&gt;7–9&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7–9</w:t>
      </w:r>
      <w:r w:rsidRPr="00472208">
        <w:fldChar w:fldCharType="end"/>
      </w:r>
      <w:r w:rsidRPr="00472208">
        <w:rPr>
          <w:lang w:val="en-CA"/>
        </w:rPr>
        <w:t xml:space="preserve"> Moreover, atom types for a particular element are treated equivalently (</w:t>
      </w:r>
      <w:r w:rsidRPr="00472208">
        <w:rPr>
          <w:i/>
          <w:lang w:val="en-CA"/>
        </w:rPr>
        <w:t xml:space="preserve">e.g., </w:t>
      </w:r>
      <w:r w:rsidRPr="00472208">
        <w:rPr>
          <w:lang w:val="en-CA"/>
        </w:rPr>
        <w:t>sp</w:t>
      </w:r>
      <w:r w:rsidRPr="00472208">
        <w:rPr>
          <w:vertAlign w:val="superscript"/>
          <w:lang w:val="en-CA"/>
        </w:rPr>
        <w:t>3</w:t>
      </w:r>
      <w:r w:rsidRPr="00472208">
        <w:rPr>
          <w:lang w:val="en-CA"/>
        </w:rPr>
        <w:t xml:space="preserve"> </w:t>
      </w:r>
      <w:r w:rsidRPr="00472208">
        <w:rPr>
          <w:i/>
          <w:lang w:val="en-CA"/>
        </w:rPr>
        <w:t>versus</w:t>
      </w:r>
      <w:r w:rsidRPr="00472208">
        <w:rPr>
          <w:lang w:val="en-CA"/>
        </w:rPr>
        <w:t xml:space="preserve"> sp</w:t>
      </w:r>
      <w:r w:rsidRPr="00472208">
        <w:rPr>
          <w:vertAlign w:val="superscript"/>
          <w:lang w:val="en-CA"/>
        </w:rPr>
        <w:t>2</w:t>
      </w:r>
      <w:r w:rsidRPr="00472208">
        <w:rPr>
          <w:lang w:val="en-CA"/>
        </w:rPr>
        <w:t xml:space="preserve"> hybridized carbons) in traditional implementations. Further still, these parameter sets have limited support for heteroatoms (</w:t>
      </w:r>
      <w:r w:rsidRPr="00472208">
        <w:rPr>
          <w:i/>
          <w:lang w:val="en-CA"/>
        </w:rPr>
        <w:t>i.e.</w:t>
      </w:r>
      <w:r w:rsidRPr="00472208">
        <w:rPr>
          <w:lang w:val="en-CA"/>
        </w:rPr>
        <w:t>, those other than H, C, N, O, F); this is often circumvented by utilizing the same parameters for multiple atom types (</w:t>
      </w:r>
      <w:r w:rsidRPr="00472208">
        <w:rPr>
          <w:i/>
          <w:lang w:val="en-CA"/>
        </w:rPr>
        <w:t>e.g.</w:t>
      </w:r>
      <w:r w:rsidRPr="00472208">
        <w:rPr>
          <w:lang w:val="en-CA"/>
        </w:rPr>
        <w:t xml:space="preserve">, assignment of sulphur and phosphorous </w:t>
      </w:r>
      <w:proofErr w:type="spellStart"/>
      <w:r w:rsidRPr="00472208">
        <w:rPr>
          <w:lang w:val="en-CA"/>
        </w:rPr>
        <w:t>vdW</w:t>
      </w:r>
      <w:proofErr w:type="spellEnd"/>
      <w:r w:rsidRPr="00472208">
        <w:rPr>
          <w:lang w:val="en-CA"/>
        </w:rPr>
        <w:t xml:space="preserve"> parameters to those of parameterized atoms such as silicon), or by using </w:t>
      </w:r>
      <w:proofErr w:type="spellStart"/>
      <w:r w:rsidRPr="00472208">
        <w:rPr>
          <w:lang w:val="en-CA"/>
        </w:rPr>
        <w:t>vdW</w:t>
      </w:r>
      <w:proofErr w:type="spellEnd"/>
      <w:r w:rsidRPr="00472208">
        <w:rPr>
          <w:lang w:val="en-CA"/>
        </w:rPr>
        <w:t xml:space="preserve"> parameters from the UFF forcefield.</w:t>
      </w:r>
      <w:r w:rsidRPr="00472208">
        <w:rPr>
          <w:lang w:val="en-CA"/>
        </w:rPr>
        <w:fldChar w:fldCharType="begin" w:fldLock="1"/>
      </w:r>
      <w:r w:rsidR="006B4206">
        <w:rPr>
          <w:lang w:val="en-CA"/>
        </w:rPr>
        <w:instrText>ADDIN CSL_CITATION {"citationItems":[{"id":"ITEM-1","itemData":{"DOI":"10.1021/ac500405x","ISBN":"1520-6882 (Electronic)\\r0003-2700 (Linking)","ISSN":"15206882","PMID":"24640936","abstract":"Metabolomics is a rapidly-evolving analytical approach in life and health sciences. The structural elucidation of the metabolites of interest remains a major analytical challenge in the metabolomics workflow. Here, we investigate the use of ion mobility as a tool to aid metabolite identification. Ion mobility allows for the measurament of the rotationally-averaged collision cross-section (CCS), which gives information about the ionic shape of a molecule in the gas phase. We measured the CCSs of 125 common metabolites using travelling-wave ion mobility-mass spectrometry (TW-IM-MS). CCS measuraments were highly reproducible on instruments located in three independent laboratories (RSD &lt;5% for 99%). We also determined the reproducibility of CCS measurements in various biological matrices including urine, plasma, platelets, and red blood cells, using UPLC coupled with TW-IM-MS. The mean RSD was &lt;2% for 97% of the CCS values, compared to 80% of retention times. Finally, as proof of concept, we used UPLC/TW-IM-MS to compare the cellular metabolome of epithelial and mesenchymal cells, an in vitro model used to study cancer development. Experimentally-determined and computationally-derived CCS values were used as orthogonal analytical parameters in combination with retention time and accurate mass information, to confirm the identity of key metabolites potentially involved in cancer. Thus, our results indicate that adding CCS data to searchable databases and to routine metabolomics workflows will increase the identification confidence compared to traditional analytical approaches.","author":[{"dropping-particle":"","family":"Paglia","given":"Giuseppe","non-dropping-particle":"","parse-names":false,"suffix":""},{"dropping-particle":"","family":"Williams","given":"Jonathan P.","non-dropping-particle":"","parse-names":false,"suffix":""},{"dropping-particle":"","family":"Menikarachchi","given":"Lochana","non-dropping-particle":"","parse-names":false,"suffix":""},{"dropping-particle":"","family":"Thompson","given":"J. Will","non-dropping-particle":"","parse-names":false,"suffix":""},{"dropping-particle":"","family":"Tyldesley-Worster","given":"Richard","non-dropping-particle":"","parse-names":false,"suffix":""},{"dropping-particle":"","family":"Halldórsson","given":"Skarphédinn","non-dropping-particle":"","parse-names":false,"suffix":""},{"dropping-particle":"","family":"Rolfsson","given":"Ottar","non-dropping-particle":"","parse-names":false,"suffix":""},{"dropping-particle":"","family":"Moseley","given":"Arthur","non-dropping-particle":"","parse-names":false,"suffix":""},{"dropping-particle":"","family":"Grant","given":"David","non-dropping-particle":"","parse-names":false,"suffix":""},{"dropping-particle":"","family":"Langridge","given":"James","non-dropping-particle":"","parse-names":false,"suffix":""},{"dropping-particle":"","family":"Palsson","given":"Bernhard O.","non-dropping-particle":"","parse-names":false,"suffix":""},{"dropping-particle":"","family":"Astarita","given":"Giuseppe","non-dropping-particle":"","parse-names":false,"suffix":""}],"container-title":"Analytical Chemistry","id":"ITEM-1","issue":"8","issued":{"date-parts":[["2014"]]},"page":"3985-3993","title":"Ion mobility derived collision cross sections to support metabolomics applications","type":"article-journal","volume":"86"},"uris":["http://www.mendeley.com/documents/?uuid=ae9d7b47-7e7a-45ce-8392-cff18921dad6"]},{"id":"ITEM-2","itemData":{"DOI":"10.1007/s13361-013-0818-3","ISSN":"18791123","PMID":"24500700","abstract":"(Graph Presented) Positive and negative ion electrospray mass spectra obtained from 50 mM phosphoric acid solutions presented a large number of phosphoric acid clusters: [(H3PO4)n+zH] z+ or [(H3PO4)n - zH]z- , with n up to 200 and z up to 4 for positively charged clusters, and n up to 270 and z up to 7 for negatively charged cluster ions. Ion mobility experiments allowed very explicit separation of the different charge states. Because of the increased pressures involved in ion mobility experiments, dissociation to smaller clusters was observed both in the trap and transfer areas. Voltages along the ion path could be optimized so as to minimize this effect, which can be directly associated with the cleavage of hydrogen bonds. Having excluded the ion mobility times that resulted from dissociated ions, each cluster ion appeared at a single drift time. These drift times showed a linear progression with the number of phosphoric atoms for cluster ions of the same charge state. Cross section calculations were carried out with MOBCAL on DFT optimized geometries with different hydrogen locations and with three types of atomic charges. DFT geometry optimizations yielded roughly spherical structures. Our results for nitrogen gas interaction cross sections showed that values were dependent on the atomic charges definition used in the MOBCAL calculation. This pinpointed the necessity to define a clear theoretical framework before any comparative interpretations can be attempted with uncharacterized compounds. © 2014 American Society for Mass Spectrometry.","author":[{"dropping-particle":"","family":"Lavanant","given":"Hélène","non-dropping-particle":"","parse-names":false,"suffix":""},{"dropping-particle":"","family":"Tognetti","given":"Vincent","non-dropping-particle":"","parse-names":false,"suffix":""},{"dropping-particle":"","family":"Afonso","given":"Carlos","non-dropping-particle":"","parse-names":false,"suffix":""}],"container-title":"Journal of the American Society for Mass Spectrometry","id":"ITEM-2","issue":"4","issued":{"date-parts":[["2014"]]},"page":"572-580","title":"Traveling wave ion mobility mass spectrometry and ab initio calculations of phosphoric acid clusters","type":"article-journal","volume":"25"},"uris":["http://www.mendeley.com/documents/?uuid=dcd3c6d6-846f-4b50-b95e-66d8554e9308"]},{"id":"ITEM-3","itemData":{"DOI":"10.1002/rcm.7987","ISSN":"10970231","PMID":"28901031","abstract":"Rationale: Chondroitin sulfate (CS) glycosaminoglycans are bioactive sulfated polysaccharides comprising repeating units of uronic acid and N-acetyl galactose sulfated at various positions. The optimal length and sulfation pattern of the CS bioactive sequences remain elusive so that structure-activity relationships cannot be easily established. Development of efficient analytical methods allowing the differentiation of the various sulfation patterns of CS sequences is therefore of particular importance to correlate their biological functions to the sulfation pattern. Methods: Discrimination of different oligomers (dp2 to dp6) of synthetic chondroitin sulfate isomers was evaluated by electrospray ionization tandem mass spectrometry (ESI-MS/MS) in the negative-ion mode from deprotonated and alkali adduct species. In addition, ion mobility mass spectrometry (IMS-MS) was used to study the influence of both the degree of polymerization and sulfate group location on the gas-phase conformation of CS oligomers. Results: ESI-MS/MS spectra of chondroitin sulfate isomers show characteristic product ions exclusively from alkali adduct species (Li, Na, K and Cs). Whatever the alkali adducts studied, MS/MS of chondroitin oligosaccharides sulfated at position 6 yields a specific product ion at m/z 139 while CS oligosaccharides sulfated at position 4 show a specific product ion at m/z 154. Being observed for the different CS oligomers di-, tetra- and hexasaccharides, these fragment ions are considered as diagnostic ions for chondroitin 6-O-sulfate and chondroitin 4-O-sulfate, respectively. IMS-MS experiments reveal that collision cross-sections (CCS) of CS oligomers with low charge states evolved linearly with degrees of polymerization indicating a similar gas-phase conformation. Conclusions: This study allows the fast and unambiguous differentiation of CS isomers sulfated at position 6 or 4 for both saturated and unsaturated analogues from MS/MS experiments. In addition, the CCS linear evolution of CS oligomers in function of the degree of polymerization indicates that no folding occurs even for hexasaccharides.","author":[{"dropping-particle":"","family":"Poyer","given":"Salomé","non-dropping-particle":"","parse-names":false,"suffix":""},{"dropping-particle":"","family":"Lopin-Bon","given":"Chrystel","non-dropping-particle":"","parse-names":false,"suffix":""},{"dropping-particle":"","family":"Jacquinet","given":"Jean Claude","non-dropping-particle":"","parse-names":false,"suffix":""},{"dropping-particle":"","family":"Salpin","given":"Jean Yves","non-dropping-particle":"","parse-names":false,"suffix":""},{"dropping-particle":"","family":"Daniel","given":"Régis","non-dropping-particle":"","parse-names":false,"suffix":""}],"container-title":"Rapid Communications in Mass Spectrometry","id":"ITEM-3","issue":"23","issued":{"date-parts":[["2017"]]},"page":"2003-2010","title":"Isomer separation and effect of the degree of polymerization on the gas-phase structure of chondroitin sulfate oligosaccharides analyzed by ion mobility and tandem mass spectrometry","type":"article-journal","volume":"31"},"uris":["http://www.mendeley.com/documents/?uuid=6a969985-a21f-42da-9611-bd4bb73b5480"]},{"id":"ITEM-4","itemData":{"DOI":"10.5194/acp-16-12945-2016","ISBN":"9788578110796","ISSN":"16807324","PMID":"25246403","abstract":"A new metric is introduced for representing the molecular signature of atmospherically relevant organic compounds, the collision cross section quantity that is related to the structure and geometry of molecules and is derived from ion mobility measurements. By combination with the mass-to-charge ratio (im g iz ), a two-dimensional'g‰im g iz space is developed to facilitate the comprehensive investigation of the complex organic mixtures. A unique distribution pattern of chemical classes, characterized by functional groups including amine, alcohol, carbonyl, carboxylic acid, ester, and organic sulfate, is developed on the 2-D 'g‰im g iz space. Species of the same chemical class, despite variations in the molecular structures, tend to situate as a narrow band on the space and follow a trend line. Reactions involving changes in functionalization and fragmentation can be represented by the directionalities along or across these trend lines, thus allowing for the interpretation of atmospheric transformation mechanisms of organic species. The characteristics of trend lines for a variety of functionalities that are commonly present in the atmosphere can be predicted by the core model simulations, which provide a useful tool to identify the chemical class to which an unknown species belongs on the 'g‰im g iz space. Within the band produced by each chemical class on the space, molecular structural assignment can be achieved by utilizing collision-induced dissociation as well as by comparing the measured collision cross sections in the context of those obtained via molecular dynamics simulations.","author":[{"dropping-particle":"","family":"Zhang","given":"Xuan","non-dropping-particle":"","parse-names":false,"suffix":""},{"dropping-particle":"","family":"Krechmer","given":"Jordan","non-dropping-particle":"","parse-names":false,"suffix":""},{"dropping-particle":"","family":"Groessl","given":"Michael","non-dropping-particle":"","parse-names":false,"suffix":""},{"dropping-particle":"","family":"Xu","given":"Wen","non-dropping-particle":"","parse-names":false,"suffix":""},{"dropping-particle":"","family":"Graf","given":"Stephan","non-dropping-particle":"","parse-names":false,"suffix":""},{"dropping-particle":"","family":"Cubison","given":"Michael","non-dropping-particle":"","parse-names":false,"suffix":""},{"dropping-particle":"","family":"Jayne","given":"John T.","non-dropping-particle":"","parse-names":false,"suffix":""},{"dropping-particle":"","family":"Jimenez","given":"Jose L.","non-dropping-particle":"","parse-names":false,"suffix":""},{"dropping-particle":"","family":"Worsnop","given":"Douglas R.","non-dropping-particle":"","parse-names":false,"suffix":""},{"dropping-particle":"","family":"Canagaratna","given":"Manjula R.","non-dropping-particle":"","parse-names":false,"suffix":""}],"container-title":"Atmospheric Chemistry and Physics","id":"ITEM-4","issue":"20","issued":{"date-parts":[["2016"]]},"page":"12945-12959","title":"A novel framework for molecular characterization of atmospherically relevant organic compounds based on collision cross section and mass-to-charge ratio","type":"article-journal","volume":"16"},"uris":["http://www.mendeley.com/documents/?uuid=2d7b09b6-1010-41b5-ae19-edd06c263e09"]}],"mendeley":{"formattedCitation":"&lt;sup&gt;10–13&lt;/sup&gt;","plainTextFormattedCitation":"10–13","previouslyFormattedCitation":"&lt;sup&gt;10–13&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10–13</w:t>
      </w:r>
      <w:r w:rsidRPr="00472208">
        <w:fldChar w:fldCharType="end"/>
      </w:r>
      <w:r w:rsidRPr="00472208">
        <w:rPr>
          <w:lang w:val="en-CA"/>
        </w:rPr>
        <w:t xml:space="preserve"> This lack of a generalized set of </w:t>
      </w:r>
      <w:proofErr w:type="spellStart"/>
      <w:r w:rsidRPr="00472208">
        <w:rPr>
          <w:lang w:val="en-CA"/>
        </w:rPr>
        <w:t>vdW</w:t>
      </w:r>
      <w:proofErr w:type="spellEnd"/>
      <w:r w:rsidRPr="00472208">
        <w:rPr>
          <w:lang w:val="en-CA"/>
        </w:rPr>
        <w:t xml:space="preserve"> parameters was addressed in 2017 by Lee and coworkers, who incorporated </w:t>
      </w:r>
      <w:proofErr w:type="spellStart"/>
      <w:r w:rsidRPr="00472208">
        <w:rPr>
          <w:lang w:val="en-CA"/>
        </w:rPr>
        <w:t>vdW</w:t>
      </w:r>
      <w:proofErr w:type="spellEnd"/>
      <w:r w:rsidRPr="00472208">
        <w:rPr>
          <w:lang w:val="en-CA"/>
        </w:rPr>
        <w:t xml:space="preserve"> parameters from molecular mechanics forcefields into CCS calculations.</w:t>
      </w:r>
      <w:r w:rsidRPr="00472208">
        <w:rPr>
          <w:lang w:val="en-CA"/>
        </w:rPr>
        <w:fldChar w:fldCharType="begin" w:fldLock="1"/>
      </w:r>
      <w:r w:rsidR="006B4206">
        <w:rPr>
          <w:lang w:val="en-CA"/>
        </w:rPr>
        <w:instrText>ADDIN CSL_CITATION {"citationItems":[{"id":"ITEM-1","itemData":{"DOI":"10.1039/c8an00270c","ISSN":"13645528","PMID":"29561029","abstract":"The investigation of ion structures based on a combination of ion mobility mass spectrometry (IM-MS) experiments and theoretical collision cross section (CCS) calculations has become important to many fields of research. However, the accuracy of current CCS calculations for ions in nitrogen drift gas limits the information content of many experiments. In particular, few studies have evaluated and attempted to improve the theoretical tools for CCS calculation in nitrogen drift gas. In this study, based on high-quality experimental measurements and theoretical modeling, a comprehensive evaluation of various aspects of CCS calculations in nitrogen drift gas is performed. It is shown that the modification of the ion-nitrogen van der Waals (vdW) interaction potential enables accurate CCS predictions of 29 small ions with ca. 3% maximum relative error. The present method exhibits no apparent systematic bias with respect to ion CCS (size) and dipole moment, suggesting that the method adequately describes the long-range interactions between the ions and the buffer gas. However, the method shows limitations in reproducing experimental CCS at low temperatures (&lt;150 K) and for macromolecular ions, and calculations for these cases should be complemented by CCS calculation methods in helium drift gas. This study presents an accurate and well-characterized CCS calculation method for ions in nitrogen drift gas that is expected to become an important tool for ion structural characterization and molecular identification. The experimental values reported here also provide a foundation for future studies aiming at developing more efficient computational tools.","author":[{"dropping-particle":"","family":"Lee","given":"Jong Wha","non-dropping-particle":"","parse-names":false,"suffix":""},{"dropping-particle":"","family":"Lee","given":"Hyun Hee L.","non-dropping-particle":"","parse-names":false,"suffix":""},{"dropping-particle":"","family":"Davidson","given":"Kimberly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I.","non-dropping-particle":"","parse-names":false,"suffix":""}],"container-title":"Analyst","id":"ITEM-1","issue":"8","issued":{"date-parts":[["2018"]]},"page":"1786-1796","publisher":"Royal Society of Chemistry","title":"Structural characterization of small molecular ions by ion mobility mass spectrometry in nitrogen drift gas: Improving the accuracy of trajectory method calculations","type":"article-journal","volume":"143"},"uris":["http://www.mendeley.com/documents/?uuid=14e56e6e-59c2-4b68-9d54-03fdf4dc8514"]},{"id":"ITEM-2","itemData":{"DOI":"10.1039/c7an01276d","ISSN":"13645528","PMID":"29034911","abstract":"Ion mobility mass spectrometry (IM-MS) has become an important tool for the structural investigation of ions in the gas phase. Accurate theoretical evaluation of ion collision cross sections (CCSs) is essential for the effective application of IM-MS in structural studies. However, current theoretical tools have limitations in accurately describing a broad range of ions from small molecules to macromolecules. Significant difficulties in developing theoretical tools for CCS calculations are associated with obtaining high-quality experimental data and molecular models. In this study, we present a general CCS calculation method by employing two drift-tube IM-MS (DTIM-MS) instruments and thorough molecular modeling procedures. It is demonstrated that an appropriate description of the van der Waals (vdW) interactions is important for accurate CCS calculations in helium drift gas. By utilizing the vdW potentials from molecular mechanics force fields, it is shown that both the appropriate vdW potential-forms and their parameters are necessary for the highly reliable CCS predictions of small molecules. We further show that specific characteristics of the vdW interaction potential become less influential on the calculated CCS with increasing ion size, and that the calculated CCS values for the macromolecules converge to the values at the hard-sphere limit. Based on these results, a general CCS calculation method is presented that can be applied to ions of various sizes and compositions for the gas-phase structural studies.","author":[{"dropping-particle":"","family":"Lee","given":"Jong Wha","non-dropping-particle":"","parse-names":false,"suffix":""},{"dropping-particle":"","family":"Davidson","given":"Kimberly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I.","non-dropping-particle":"","parse-names":false,"suffix":""}],"container-title":"Analyst","id":"ITEM-2","issue":"22","issued":{"date-parts":[["2017"]]},"page":"4289-4298","publisher":"Royal Society of Chemistry","title":"Collision cross sections and ion structures: Development of a general calculation method via high-quality ion mobility measurements and theoretical modeling","type":"article-journal","volume":"142"},"uris":["http://www.mendeley.com/documents/?uuid=c99b8672-8a93-47f5-9241-a63cc58844c6"]}],"mendeley":{"formattedCitation":"&lt;sup&gt;5,14&lt;/sup&gt;","plainTextFormattedCitation":"5,14","previouslyFormattedCitation":"&lt;sup&gt;5,14&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5,14</w:t>
      </w:r>
      <w:r w:rsidRPr="00472208">
        <w:fldChar w:fldCharType="end"/>
      </w:r>
      <w:r w:rsidRPr="00472208">
        <w:rPr>
          <w:lang w:val="en-CA"/>
        </w:rPr>
        <w:t xml:space="preserve"> Errors between experimental and calculated CCSs were ultimately minimized with the use of the Merck Molecular Force Field (MMFF</w:t>
      </w:r>
      <w:r w:rsidR="004B78B9">
        <w:rPr>
          <w:lang w:val="en-CA"/>
        </w:rPr>
        <w:t>94</w:t>
      </w:r>
      <w:r w:rsidRPr="00472208">
        <w:rPr>
          <w:lang w:val="en-CA"/>
        </w:rPr>
        <w:t>)</w:t>
      </w:r>
      <w:r w:rsidRPr="00472208">
        <w:rPr>
          <w:lang w:val="en-CA"/>
        </w:rPr>
        <w:fldChar w:fldCharType="begin" w:fldLock="1"/>
      </w:r>
      <w:r w:rsidR="006B4206">
        <w:rPr>
          <w:lang w:val="en-CA"/>
        </w:rPr>
        <w:instrText>ADDIN CSL_CITATION {"citationItems":[{"id":"ITEM-1","itemData":{"DOI":"10.1002/(SICI)1096-987X(199604)17:5/6&lt;520::AID-JCC2&gt;3.0.CO;2-W","ISBN":"1096-987X","ISSN":"01928651","abstract":"This article defines the parameterization and performance of MMFF94 for intermolecular interactions. It specifies the novel \"buffered\" functional forms used for treating van der Waals (vdW) and electrostatic interactions, and describes the use of: (1) high quality ab initio data to parameterize vdW interactions involving aliphatic hydrogens; and (2) HF/6-31 G* calculations on hydrogen-bonded complexes to parameterize nonbonded interactions in polar systems. Comparisons show that appropriate trends in the HF/6-31G* data are well reproduced by MMFF94 and that intermolecular interaction energies and geometries closely parallel those given by the highly regarded OPLS force field. A proper balance between solvent-solvent, solvent-solute, and solute-solute interactions, critically important for prospective success in aqueous simulations, thus appears to be attained. Comparison of MMFF94, OPLS, CHELPG electrostatic potential fit, QEq, Gasteiger, and Abraham charges for 20 small molecules and ions also shows the close correspondence between MMFF94 and OPLS. As do OPLS and all current, widely used force fields, MMFF94 employs \"effective pair potentials\" which incorporate in an averaged way the increases in polarity which occur in high dielectric media. Some limitations of this approach are discussed and suggestions for possible enhancements to MMFF94's functional form are noted. © 1996 by John Wiley &amp; Sons, Inc.","author":[{"dropping-particle":"","family":"Halgren","given":"Thomas A.","non-dropping-particle":"","parse-names":false,"suffix":""}],"container-title":"Journal of Computational Chemistry","id":"ITEM-1","issue":"5-6","issued":{"date-parts":[["1996"]]},"page":"520-552","title":"Merck molecular force field. II. MMFF94 van der Waals and electrostatic parameters for intermolecular interactions","type":"article-journal","volume":"17"},"uris":["http://www.mendeley.com/documents/?uuid=4ed434fb-59dd-4cf8-bf39-997aaf8b72b9"]}],"mendeley":{"formattedCitation":"&lt;sup&gt;15&lt;/sup&gt;","plainTextFormattedCitation":"15","previouslyFormattedCitation":"&lt;sup&gt;15&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15</w:t>
      </w:r>
      <w:r w:rsidRPr="00472208">
        <w:fldChar w:fldCharType="end"/>
      </w:r>
      <w:r w:rsidRPr="00472208">
        <w:rPr>
          <w:lang w:val="en-CA"/>
        </w:rPr>
        <w:t xml:space="preserve"> </w:t>
      </w:r>
      <w:proofErr w:type="spellStart"/>
      <w:r w:rsidRPr="00472208">
        <w:rPr>
          <w:lang w:val="en-CA"/>
        </w:rPr>
        <w:t>vdW</w:t>
      </w:r>
      <w:proofErr w:type="spellEnd"/>
      <w:r w:rsidRPr="00472208">
        <w:rPr>
          <w:lang w:val="en-CA"/>
        </w:rPr>
        <w:t xml:space="preserve"> parameters in the Exp-6 potential. </w:t>
      </w:r>
    </w:p>
    <w:p w14:paraId="77A97697" w14:textId="77777777" w:rsidR="00472208" w:rsidRPr="00472208" w:rsidRDefault="00472208" w:rsidP="000356B7">
      <w:pPr>
        <w:jc w:val="both"/>
        <w:rPr>
          <w:lang w:val="en-CA"/>
        </w:rPr>
      </w:pPr>
    </w:p>
    <w:p w14:paraId="3B3788CD" w14:textId="7C81E339" w:rsidR="00472208" w:rsidRDefault="00472208" w:rsidP="000356B7">
      <w:pPr>
        <w:jc w:val="both"/>
      </w:pPr>
      <w:r w:rsidRPr="00472208">
        <w:rPr>
          <w:lang w:val="en-CA"/>
        </w:rPr>
        <w:t xml:space="preserve">Inclusion of additional potentials beyond the </w:t>
      </w:r>
      <w:proofErr w:type="spellStart"/>
      <w:r w:rsidRPr="00472208">
        <w:rPr>
          <w:lang w:val="en-CA"/>
        </w:rPr>
        <w:t>vdW</w:t>
      </w:r>
      <w:proofErr w:type="spellEnd"/>
      <w:r w:rsidRPr="00472208">
        <w:rPr>
          <w:lang w:val="en-CA"/>
        </w:rPr>
        <w:t xml:space="preserve"> potential enables a more accurate description of molecular interactions. These additional terms become increasingly prominent components of the ion-neutral potential as the polarizability of the buffer gas increases. The ion-induced dipole interaction is described by Equation 6.</w:t>
      </w:r>
      <w:r w:rsidRPr="00472208">
        <w:rPr>
          <w:lang w:val="en-CA"/>
        </w:rPr>
        <w:fldChar w:fldCharType="begin" w:fldLock="1"/>
      </w:r>
      <w:r w:rsidR="006B4206">
        <w:rPr>
          <w:lang w:val="en-CA"/>
        </w:rPr>
        <w:instrText xml:space="preserve">ADDIN CSL_CITATION {"citationItems":[{"id":"ITEM-1","itemData":{"DOI":"10.1021/ac701888e","ISBN":"1513215140","ISSN":"00032700","PMID":"18278882","abstract":"A number of tertiary amine and quaternary ammonium cations spanning a mass range of 60-146 amu (trimethylamine, tetramethylammonium, trimethylethylaminonium, N,N-dimethylaminoethanol, choline, N,N-dimethylglycine, betaine, acetylcholine, (3-carboxypropyl)trimethylammonium) were investigated using electrospray ionization ion mobility spectrometry. Measured ion mobilities demonstrate a high correlation between mass and mobility in N2. In addition, identical mobilities within experimental uncertainties are observed for structurally dissimilar ions with similar ion masses. For example, dimethylethylammonium (88 amu) cations and protonated N,N-dimethylaminoethanol cations (90 amu) show identical mobilities (1.93 cm2 V-1 s-1) though N,N-dimethylaminoethanol contains a hydroxyl functional group while dimethylethylammonium only contains alkyl groups. Computational analysis was performed using the modified trajectory (TJ) method with nonspherical N2 molecules as the drift gas. The sensitivity of the ammonium cation collision cross sections to the details of the ion-neutral interactions was investigated and compared to other classes of organic molecules (carboxylic acids and abiotic amino acids). The specific charge distribution of the molecular ions in the investigated mass range has an insignificant affect on the collision cross section. © 2008 American Chemical Society.","author":[{"dropping-particle":"","family":"Kim","given":"Hyungjun","non-dropping-particle":"","parse-names":false,"suffix":""},{"dropping-particle":"","family":"Kim","given":"Hugh I.","non-dropping-particle":"","parse-names":false,"suffix":""},{"dropping-particle":"V.","family":"Johnson","given":"Paul","non-dropping-particle":"","parse-names":false,"suffix":""},{"dropping-particle":"","family":"Beegle","given":"Luther W.","non-dropping-particle":"","parse-names":false,"suffix":""},{"dropping-particle":"","family":"Beauchamp","given":"J. L.","non-dropping-particle":"","parse-names":false,"suffix":""},{"dropping-particle":"","family":"Goddard","given":"William A.","non-dropping-particle":"","parse-names":false,"suffix":""},{"dropping-particle":"","family":"Kanik","given":"Isik","non-dropping-particle":"","parse-names":false,"suffix":""}],"container-title":"Analytical Chemistry","id":"ITEM-1","issue":"6","issued":{"date-parts":[["2008"]]},"page":"1928-1936","title":"Experimental and theoretical investigation into the correlation between mass and ion mobility for choline and other ammonium cations in N2","type":"article-journal","volume":"80"},"uris":["http://www.mendeley.com/documents/?uuid=9d9f0539-0b82-47ba-ba61-5ee0b4fa9563"]},{"id":"ITEM-2","itemData":{"DOI":"10.1021/ac900672a","ISBN":"0003-2700","ISSN":"00032700","PMID":"19764704","abstract":"A number of phosphatidylcholine (PC) cations spanning a mass range of 400-1000 Da are investigated using electrospray ionization mass spectrometry coupled with traveling wave ion mobility spectrometry (TWIMS). A high correlation between mass and mobility is demonstrated with saturated phosphatidylcholine cations in N2. A significant deviation from this mass-mobility correlation line is observed for the unsaturated PC cation. We found that the double bond in the acyl chain causes a 5% reduction in drift time. The drift time is reduced at a rate of </w:instrText>
      </w:r>
      <w:r w:rsidR="006B4206">
        <w:rPr>
          <w:rFonts w:ascii="Cambria Math" w:hAnsi="Cambria Math" w:cs="Cambria Math"/>
          <w:lang w:val="en-CA"/>
        </w:rPr>
        <w:instrText>∼</w:instrText>
      </w:r>
      <w:r w:rsidR="006B4206">
        <w:rPr>
          <w:lang w:val="en-CA"/>
        </w:rPr>
        <w:instrText>1% for each additional double bond. Theoretical collision cross sections of PC cations exhibit good agreement with experimentally evaluated values. Collision cross sections are determined using the recently derived relationship between mobility and drift time in TWIMS stacked ring ion guide (SRIG) and compared to estimated collision cross sections using an empiric calibration method. Computational analysis was performed using the modified trajectory (TJ) method with nonspherical N 2 molecules as the drift gas. The difference between estimated collision cross sections and theoretical collision cross sections of PC cations is related to the sensitivity of the PC cation collision cross sections to the details of the ion-neutral interactions. The origin of the observed correlation and deviation between mass and mobility of PC cations is discussed in terms of the structural rigidity of these molecules using molecular dynamic simulations. © 2009 American Chemical Society.","author":[{"dropping-particle":"","family":"Kim","given":"Hugh I.","non-dropping-particle":"","parse-names":false,"suffix":""},{"dropping-particle":"","family":"Kim","given":"Hyungjun","non-dropping-particle":"","parse-names":false,"suffix":""},{"dropping-particle":"","family":"Pang","given":"Eric S.","non-dropping-particle":"","parse-names":false,"suffix":""},{"dropping-particle":"","family":"Ryu","given":"Ernest K.","non-dropping-particle":"","parse-names":false,"suffix":""},{"dropping-particle":"","family":"Beegle","given":"Luther W.","non-dropping-particle":"","parse-names":false,"suffix":""},{"dropping-particle":"","family":"Loo","given":"Joseph A.","non-dropping-particle":"","parse-names":false,"suffix":""},{"dropping-particle":"","family":"Goddard","given":"William A.","non-dropping-particle":"","parse-names":false,"suffix":""},{"dropping-particle":"","family":"Kanik","given":"Isik","non-dropping-particle":"","parse-names":false,"suffix":""}],"container-title":"Analytical Chemistry","id":"ITEM-2","issue":"20","issued":{"date-parts":[["2009"]]},"page":"8289-8297","title":"Structural characterization of unsaturated phosphatidylcholines using traveling wave ion mobility spectrometry","type":"article-journal","volume":"81"},"uris":["http://www.mendeley.com/documents/?uuid=e30f452a-5f75-48c8-bd9b-86d0bc6f6775"]}],"mendeley":{"formattedCitation":"&lt;sup&gt;16,17&lt;/sup&gt;","plainTextFormattedCitation":"16,17","previouslyFormattedCitation":"&lt;sup&gt;16,17&lt;/sup&gt;"},"properties":{"noteIndex":0},"schema":"https://github.com/citation-style-language/schema/raw/master/csl-citation.json"}</w:instrText>
      </w:r>
      <w:r w:rsidRPr="00472208">
        <w:rPr>
          <w:lang w:val="en-CA"/>
        </w:rPr>
        <w:fldChar w:fldCharType="separate"/>
      </w:r>
      <w:r w:rsidR="009E64B1" w:rsidRPr="009E64B1">
        <w:rPr>
          <w:noProof/>
          <w:vertAlign w:val="superscript"/>
          <w:lang w:val="en-CA"/>
        </w:rPr>
        <w:t>16,17</w:t>
      </w:r>
      <w:r w:rsidRPr="00472208">
        <w:fldChar w:fldCharType="end"/>
      </w:r>
    </w:p>
    <w:p w14:paraId="52EAFC15" w14:textId="1BD591B1" w:rsidR="00B87EB3" w:rsidRDefault="00B87EB3" w:rsidP="000356B7">
      <w:pPr>
        <w:jc w:val="both"/>
      </w:pPr>
    </w:p>
    <w:tbl>
      <w:tblPr>
        <w:tblStyle w:val="TableGrid"/>
        <w:tblW w:w="9360" w:type="dxa"/>
        <w:tblInd w:w="-5" w:type="dxa"/>
        <w:tblLook w:val="04A0" w:firstRow="1" w:lastRow="0" w:firstColumn="1" w:lastColumn="0" w:noHBand="0" w:noVBand="1"/>
      </w:tblPr>
      <w:tblGrid>
        <w:gridCol w:w="836"/>
        <w:gridCol w:w="7479"/>
        <w:gridCol w:w="1045"/>
      </w:tblGrid>
      <w:tr w:rsidR="00B87EB3" w:rsidRPr="00F14A94" w14:paraId="5057DDAD" w14:textId="77777777" w:rsidTr="00277675">
        <w:tc>
          <w:tcPr>
            <w:tcW w:w="836" w:type="dxa"/>
            <w:tcBorders>
              <w:top w:val="nil"/>
              <w:left w:val="nil"/>
              <w:bottom w:val="nil"/>
              <w:right w:val="nil"/>
            </w:tcBorders>
            <w:vAlign w:val="center"/>
          </w:tcPr>
          <w:p w14:paraId="7FD2FB04" w14:textId="77777777" w:rsidR="00B87EB3" w:rsidRPr="00F14A94" w:rsidRDefault="00B87EB3" w:rsidP="000356B7">
            <w:pPr>
              <w:tabs>
                <w:tab w:val="left" w:pos="3119"/>
              </w:tabs>
              <w:spacing w:line="480" w:lineRule="auto"/>
              <w:jc w:val="both"/>
            </w:pPr>
          </w:p>
        </w:tc>
        <w:tc>
          <w:tcPr>
            <w:tcW w:w="7479" w:type="dxa"/>
            <w:tcBorders>
              <w:top w:val="nil"/>
              <w:left w:val="nil"/>
              <w:bottom w:val="nil"/>
              <w:right w:val="nil"/>
            </w:tcBorders>
            <w:vAlign w:val="center"/>
          </w:tcPr>
          <w:p w14:paraId="55EE475E" w14:textId="7C4889E9" w:rsidR="00B87EB3" w:rsidRPr="007816D3" w:rsidRDefault="00B22392" w:rsidP="000356B7">
            <w:pPr>
              <w:jc w:val="both"/>
              <w:rPr>
                <w:lang w:val="en-GB"/>
              </w:rPr>
            </w:pPr>
            <m:oMathPara>
              <m:oMath>
                <m:sSub>
                  <m:sSubPr>
                    <m:ctrlPr>
                      <w:rPr>
                        <w:rFonts w:ascii="Cambria Math" w:hAnsi="Cambria Math"/>
                      </w:rPr>
                    </m:ctrlPr>
                  </m:sSubPr>
                  <m:e>
                    <m:r>
                      <w:rPr>
                        <w:rFonts w:ascii="Cambria Math" w:hAnsi="Cambria Math"/>
                      </w:rPr>
                      <m:t>V</m:t>
                    </m:r>
                  </m:e>
                  <m:sub>
                    <m:r>
                      <w:rPr>
                        <w:rFonts w:ascii="Cambria Math" w:hAnsi="Cambria Math"/>
                      </w:rPr>
                      <m:t>IID</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α</m:t>
                    </m:r>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ze</m:t>
                            </m:r>
                          </m:num>
                          <m:den>
                            <m:r>
                              <w:rPr>
                                <w:rFonts w:ascii="Cambria Math" w:hAnsi="Cambria Math"/>
                              </w:rPr>
                              <m:t>n</m:t>
                            </m:r>
                          </m:den>
                        </m:f>
                      </m:e>
                    </m:d>
                  </m:e>
                  <m:sup>
                    <m:r>
                      <m:rPr>
                        <m:sty m:val="p"/>
                      </m:rPr>
                      <w:rPr>
                        <w:rFonts w:ascii="Cambria Math" w:hAnsi="Cambria Math"/>
                      </w:rPr>
                      <m:t>2</m:t>
                    </m:r>
                  </m:sup>
                </m:sSup>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3</m:t>
                                        </m:r>
                                      </m:sup>
                                    </m:sSubSup>
                                  </m:den>
                                </m:f>
                              </m:e>
                            </m:nary>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sub>
                                    </m:sSub>
                                  </m:num>
                                  <m:den>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3</m:t>
                                        </m:r>
                                      </m:sup>
                                    </m:sSubSup>
                                  </m:den>
                                </m:f>
                              </m:e>
                            </m:nary>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m:t>
                                        </m:r>
                                      </m:sub>
                                    </m:sSub>
                                  </m:num>
                                  <m:den>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3</m:t>
                                        </m:r>
                                      </m:sup>
                                    </m:sSubSup>
                                  </m:den>
                                </m:f>
                              </m:e>
                            </m:nary>
                          </m:e>
                        </m:d>
                      </m:e>
                      <m:sup>
                        <m:r>
                          <m:rPr>
                            <m:sty m:val="p"/>
                          </m:rPr>
                          <w:rPr>
                            <w:rFonts w:ascii="Cambria Math" w:hAnsi="Cambria Math"/>
                          </w:rPr>
                          <m:t>2</m:t>
                        </m:r>
                      </m:sup>
                    </m:sSup>
                  </m:e>
                </m:d>
              </m:oMath>
            </m:oMathPara>
          </w:p>
        </w:tc>
        <w:tc>
          <w:tcPr>
            <w:tcW w:w="1045" w:type="dxa"/>
            <w:tcBorders>
              <w:top w:val="nil"/>
              <w:left w:val="nil"/>
              <w:bottom w:val="nil"/>
              <w:right w:val="nil"/>
            </w:tcBorders>
            <w:vAlign w:val="center"/>
          </w:tcPr>
          <w:p w14:paraId="3134C434" w14:textId="436CF849" w:rsidR="00B87EB3" w:rsidRPr="00F14A94" w:rsidRDefault="00B87EB3" w:rsidP="000356B7">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6</w:t>
            </w:r>
            <w:r w:rsidRPr="00F14A94">
              <w:rPr>
                <w:sz w:val="22"/>
                <w:szCs w:val="22"/>
              </w:rPr>
              <w:fldChar w:fldCharType="end"/>
            </w:r>
          </w:p>
        </w:tc>
      </w:tr>
    </w:tbl>
    <w:p w14:paraId="6B42E187" w14:textId="77777777" w:rsidR="00B87EB3" w:rsidRDefault="00B87EB3" w:rsidP="000356B7">
      <w:pPr>
        <w:jc w:val="both"/>
      </w:pPr>
    </w:p>
    <w:p w14:paraId="679AA0BB" w14:textId="541B9C65" w:rsidR="00472208" w:rsidRDefault="00472208" w:rsidP="000356B7">
      <w:pPr>
        <w:jc w:val="both"/>
        <w:rPr>
          <w:lang w:val="en-CA"/>
        </w:rPr>
      </w:pPr>
      <w:r w:rsidRPr="00472208">
        <w:rPr>
          <w:lang w:val="en-CA"/>
        </w:rPr>
        <w:t xml:space="preserve">The terms </w:t>
      </w:r>
      <w:r w:rsidRPr="00472208">
        <w:rPr>
          <w:i/>
          <w:lang w:val="en-CA"/>
        </w:rPr>
        <w:t>x</w:t>
      </w:r>
      <w:r w:rsidRPr="00472208">
        <w:rPr>
          <w:i/>
          <w:vertAlign w:val="subscript"/>
          <w:lang w:val="en-CA"/>
        </w:rPr>
        <w:t>i</w:t>
      </w:r>
      <w:r w:rsidRPr="00472208">
        <w:rPr>
          <w:i/>
          <w:lang w:val="en-CA"/>
        </w:rPr>
        <w:t xml:space="preserve">, </w:t>
      </w:r>
      <w:proofErr w:type="spellStart"/>
      <w:r w:rsidRPr="00472208">
        <w:rPr>
          <w:i/>
          <w:lang w:val="en-CA"/>
        </w:rPr>
        <w:t>y</w:t>
      </w:r>
      <w:r w:rsidRPr="00472208">
        <w:rPr>
          <w:i/>
          <w:vertAlign w:val="subscript"/>
          <w:lang w:val="en-CA"/>
        </w:rPr>
        <w:t>i</w:t>
      </w:r>
      <w:proofErr w:type="spellEnd"/>
      <w:r w:rsidRPr="00472208">
        <w:rPr>
          <w:i/>
          <w:lang w:val="en-CA"/>
        </w:rPr>
        <w:t xml:space="preserve">, </w:t>
      </w:r>
      <w:proofErr w:type="spellStart"/>
      <w:r w:rsidRPr="00472208">
        <w:rPr>
          <w:i/>
          <w:lang w:val="en-CA"/>
        </w:rPr>
        <w:t>z</w:t>
      </w:r>
      <w:r w:rsidRPr="00472208">
        <w:rPr>
          <w:i/>
          <w:vertAlign w:val="subscript"/>
          <w:lang w:val="en-CA"/>
        </w:rPr>
        <w:t>i</w:t>
      </w:r>
      <w:proofErr w:type="spellEnd"/>
      <w:r w:rsidRPr="00472208">
        <w:rPr>
          <w:lang w:val="en-CA"/>
        </w:rPr>
        <w:t xml:space="preserve">, and </w:t>
      </w:r>
      <w:proofErr w:type="spellStart"/>
      <w:r w:rsidRPr="00472208">
        <w:rPr>
          <w:i/>
          <w:lang w:val="en-CA"/>
        </w:rPr>
        <w:t>r</w:t>
      </w:r>
      <w:r w:rsidRPr="00472208">
        <w:rPr>
          <w:i/>
          <w:vertAlign w:val="subscript"/>
          <w:lang w:val="en-CA"/>
        </w:rPr>
        <w:t>i</w:t>
      </w:r>
      <w:proofErr w:type="spellEnd"/>
      <w:r w:rsidRPr="00472208">
        <w:rPr>
          <w:lang w:val="en-CA"/>
        </w:rPr>
        <w:t xml:space="preserve"> define the distance between each of the </w:t>
      </w:r>
      <w:r w:rsidRPr="00472208">
        <w:rPr>
          <w:i/>
          <w:lang w:val="en-CA"/>
        </w:rPr>
        <w:t>n</w:t>
      </w:r>
      <w:r w:rsidRPr="00472208">
        <w:rPr>
          <w:lang w:val="en-CA"/>
        </w:rPr>
        <w:t xml:space="preserve"> atoms and centre of mass of the buffer gas atom/molecule, which has a polarizability </w:t>
      </w:r>
      <w:r w:rsidRPr="00472208">
        <w:rPr>
          <w:i/>
          <w:lang w:val="en-CA"/>
        </w:rPr>
        <w:t>α</w:t>
      </w:r>
      <w:r w:rsidRPr="00472208">
        <w:rPr>
          <w:lang w:val="en-CA"/>
        </w:rPr>
        <w:t>. When the buffer gas possesses a quadrupole moment (e.g., N</w:t>
      </w:r>
      <w:r w:rsidRPr="00472208">
        <w:rPr>
          <w:vertAlign w:val="subscript"/>
          <w:lang w:val="en-CA"/>
        </w:rPr>
        <w:t>2</w:t>
      </w:r>
      <w:r w:rsidRPr="00472208">
        <w:rPr>
          <w:lang w:val="en-CA"/>
        </w:rPr>
        <w:t>), inclusion of an ion-quadrupole potential is also necessary for accurate calculation of gas trajectories. The quadrupole moment of molecular nitrogen (4.65 ± 0.08 × 10</w:t>
      </w:r>
      <w:r w:rsidRPr="00472208">
        <w:rPr>
          <w:vertAlign w:val="superscript"/>
          <w:lang w:val="en-GB"/>
        </w:rPr>
        <w:t>−40</w:t>
      </w:r>
      <w:r w:rsidRPr="00472208">
        <w:rPr>
          <w:lang w:val="en-GB"/>
        </w:rPr>
        <w:t xml:space="preserve"> C·cm</w:t>
      </w:r>
      <w:r w:rsidRPr="00472208">
        <w:rPr>
          <w:vertAlign w:val="superscript"/>
          <w:lang w:val="en-GB"/>
        </w:rPr>
        <w:t>2</w:t>
      </w:r>
      <w:r w:rsidRPr="00472208">
        <w:rPr>
          <w:lang w:val="en-GB"/>
        </w:rPr>
        <w:t>)</w:t>
      </w:r>
      <w:r w:rsidRPr="00472208">
        <w:rPr>
          <w:lang w:val="en-GB"/>
        </w:rPr>
        <w:fldChar w:fldCharType="begin" w:fldLock="1"/>
      </w:r>
      <w:r w:rsidR="006B4206">
        <w:rPr>
          <w:lang w:val="en-GB"/>
        </w:rPr>
        <w:instrText>ADDIN CSL_CITATION {"citationItems":[{"id":"ITEM-1","itemData":{"DOI":"10.1186/s13321-016-0174-y","ISBN":"10715819","ISSN":"17582946","PMID":"27867422","abstract":"Background: Scientists have long been driven by the desire to describe, organize, classify, and compare objects using taxonomies and/or ontologies. In contrast to biology, geology, and many other scientific disciplines, the world of chemistry still lacks a standardized chemical ontology or taxonomy. Several attempts at chemical classification have been made; but they have mostly been limited to either manual, or semi-automated proof-of-principle applications. This is regrettable as comprehensive chemical classification and description tools could not only improve our understanding of chemistry but also improve the linkage between chemistry and many other fields. For instance, the chemical classification of a compound could help predict its metabolic fate in humans, its druggability or potential hazards associated with it, among others. However, the sheer number (tens of millions of compounds) and complexity of chemical structures is such that any manual classification effort would prove to be near impossible. Results: We have developed a comprehensive, flexible, and computable, purely structure-based chemical taxonomy (ChemOnt), along with a computer program (ClassyFire) that uses only chemical structures and structural features to automatically assign all known chemical compounds to a taxonomy consisting of &gt;4800 different categories. This new chemical taxonomy consists of up to 11 different levels (Kingdom, SuperClass, Class, SubClass, etc.) with each of the categories defined by unambiguous, computable structural rules. Furthermore each category is named using a consensus-based nomenclature and described (in English) based on the characteristic common structural properties of the compounds it contains. The ClassyFire webserver is freely accessible at http://classyfire.wishartlab.com/ . Moreover, a Ruby API version is available at https://bitbucket.org/wishartlab/classyfire_api , which provides programmatic access to the ClassyFire server and database. ClassyFire has been used to annotate over 77 million compounds and has already been integrated into other software packages to automatically generate textual descriptions for, and/or infer biological properties of over 100,000 compounds. Additional examples and applications are provided in this paper. Conclusion: ClassyFire, in combination with ChemOnt (ClassyFire's comprehensive chemical taxonomy), now allows chemists and cheminformaticians to perform large-scale, rapid and automated chemical classific…","author":[{"dropping-particle":"","family":"Djoumbou Feunang","given":"Yannick","non-dropping-particle":"","parse-names":false,"suffix":""},{"dropping-particle":"","family":"Eisner","given":"Roman","non-dropping-particle":"","parse-names":false,"suffix":""},{"dropping-particle":"","family":"Knox","given":"Craig","non-dropping-particle":"","parse-names":false,"suffix":""},{"dropping-particle":"","family":"Chepelev","given":"Leonid","non-dropping-particle":"","parse-names":false,"suffix":""},{"dropping-particle":"","family":"Hastings","given":"Janna","non-dropping-particle":"","parse-names":false,"suffix":""},{"dropping-particle":"","family":"Owen","given":"Gareth","non-dropping-particle":"","parse-names":false,"suffix":""},{"dropping-particle":"","family":"Fahy","given":"Eoin","non-dropping-particle":"","parse-names":false,"suffix":""},{"dropping-particle":"","family":"Steinbeck","given":"Christoph","non-dropping-particle":"","parse-names":false,"suffix":""},{"dropping-particle":"","family":"Subramanian","given":"Shankar","non-dropping-particle":"","parse-names":false,"suffix":""},{"dropping-particle":"","family":"Bolton","given":"Evan","non-dropping-particle":"","parse-names":false,"suffix":""},{"dropping-particle":"","family":"Greiner","given":"Russell","non-dropping-particle":"","parse-names":false,"suffix":""},{"dropping-particle":"","family":"Wishart","given":"David S.","non-dropping-particle":"","parse-names":false,"suffix":""}],"container-title":"Journal of Cheminformatics","id":"ITEM-1","issue":"1","issued":{"date-parts":[["2016"]]},"page":"1-20","publisher":"Springer International Publishing","title":"ClassyFire: automated chemical classification with a comprehensive, computable taxonomy","type":"article-journal","volume":"8"},"uris":["http://www.mendeley.com/documents/?uuid=e38b2196-1276-49c7-b428-090596da8795"]}],"mendeley":{"formattedCitation":"&lt;sup&gt;18&lt;/sup&gt;","plainTextFormattedCitation":"18","previouslyFormattedCitation":"&lt;sup&gt;18&lt;/sup&gt;"},"properties":{"noteIndex":0},"schema":"https://github.com/citation-style-language/schema/raw/master/csl-citation.json"}</w:instrText>
      </w:r>
      <w:r w:rsidRPr="00472208">
        <w:rPr>
          <w:lang w:val="en-GB"/>
        </w:rPr>
        <w:fldChar w:fldCharType="separate"/>
      </w:r>
      <w:r w:rsidR="009E64B1" w:rsidRPr="009E64B1">
        <w:rPr>
          <w:noProof/>
          <w:vertAlign w:val="superscript"/>
          <w:lang w:val="en-GB"/>
        </w:rPr>
        <w:t>18</w:t>
      </w:r>
      <w:r w:rsidRPr="00472208">
        <w:fldChar w:fldCharType="end"/>
      </w:r>
      <w:r w:rsidRPr="00472208">
        <w:rPr>
          <w:lang w:val="en-GB"/>
        </w:rPr>
        <w:t xml:space="preserve"> is effectively reproduced through separation of charges by negative </w:t>
      </w:r>
      <w:r w:rsidRPr="00472208">
        <w:rPr>
          <w:i/>
          <w:lang w:val="en-GB"/>
        </w:rPr>
        <w:t>z</w:t>
      </w:r>
      <w:r w:rsidRPr="00472208">
        <w:rPr>
          <w:lang w:val="en-GB"/>
        </w:rPr>
        <w:t xml:space="preserve"> on each nitrogen (</w:t>
      </w:r>
      <w:r w:rsidRPr="00472208">
        <w:rPr>
          <w:lang w:val="en-CA"/>
        </w:rPr>
        <w:t>−</w:t>
      </w:r>
      <w:r w:rsidRPr="00472208">
        <w:rPr>
          <w:lang w:val="en-GB"/>
        </w:rPr>
        <w:t>0.4825</w:t>
      </w:r>
      <w:r w:rsidRPr="00472208">
        <w:rPr>
          <w:i/>
          <w:lang w:val="en-GB"/>
        </w:rPr>
        <w:t>e</w:t>
      </w:r>
      <w:r w:rsidRPr="00472208">
        <w:rPr>
          <w:lang w:val="en-GB"/>
        </w:rPr>
        <w:t>), which is balanced by a point charge of 2</w:t>
      </w:r>
      <w:r w:rsidRPr="00472208">
        <w:rPr>
          <w:i/>
          <w:lang w:val="en-GB"/>
        </w:rPr>
        <w:t>z</w:t>
      </w:r>
      <w:r w:rsidRPr="00472208">
        <w:rPr>
          <w:lang w:val="en-GB"/>
        </w:rPr>
        <w:t xml:space="preserve"> (+0.965</w:t>
      </w:r>
      <w:r w:rsidRPr="00472208">
        <w:rPr>
          <w:i/>
          <w:lang w:val="en-GB"/>
        </w:rPr>
        <w:t>e</w:t>
      </w:r>
      <w:r w:rsidRPr="00472208">
        <w:rPr>
          <w:lang w:val="en-GB"/>
        </w:rPr>
        <w:t>) at the centre of mass of N</w:t>
      </w:r>
      <w:r w:rsidRPr="00472208">
        <w:rPr>
          <w:vertAlign w:val="subscript"/>
          <w:lang w:val="en-GB"/>
        </w:rPr>
        <w:t>2</w:t>
      </w:r>
      <w:r w:rsidRPr="00472208">
        <w:rPr>
          <w:lang w:val="en-GB"/>
        </w:rPr>
        <w:t>.</w:t>
      </w:r>
      <w:r w:rsidRPr="00472208">
        <w:rPr>
          <w:lang w:val="en-GB"/>
        </w:rPr>
        <w:fldChar w:fldCharType="begin" w:fldLock="1"/>
      </w:r>
      <w:r w:rsidR="006B4206">
        <w:rPr>
          <w:lang w:val="en-GB"/>
        </w:rPr>
        <w:instrText xml:space="preserve">ADDIN CSL_CITATION {"citationItems":[{"id":"ITEM-1","itemData":{"DOI":"10.1021/ac701888e","ISBN":"1513215140","ISSN":"00032700","PMID":"18278882","abstract":"A number of tertiary amine and quaternary ammonium cations spanning a mass range of 60-146 amu (trimethylamine, tetramethylammonium, trimethylethylaminonium, N,N-dimethylaminoethanol, choline, N,N-dimethylglycine, betaine, acetylcholine, (3-carboxypropyl)trimethylammonium) were investigated using electrospray ionization ion mobility spectrometry. Measured ion mobilities demonstrate a high correlation between mass and mobility in N2. In addition, identical mobilities within experimental uncertainties are observed for structurally dissimilar ions with similar ion masses. For example, dimethylethylammonium (88 amu) cations and protonated N,N-dimethylaminoethanol cations (90 amu) show identical mobilities (1.93 cm2 V-1 s-1) though N,N-dimethylaminoethanol contains a hydroxyl functional group while dimethylethylammonium only contains alkyl groups. Computational analysis was performed using the modified trajectory (TJ) method with nonspherical N2 molecules as the drift gas. The sensitivity of the ammonium cation collision cross sections to the details of the ion-neutral interactions was investigated and compared to other classes of organic molecules (carboxylic acids and abiotic amino acids). The specific charge distribution of the molecular ions in the investigated mass range has an insignificant affect on the collision cross section. © 2008 American Chemical Society.","author":[{"dropping-particle":"","family":"Kim","given":"Hyungjun","non-dropping-particle":"","parse-names":false,"suffix":""},{"dropping-particle":"","family":"Kim","given":"Hugh I.","non-dropping-particle":"","parse-names":false,"suffix":""},{"dropping-particle":"V.","family":"Johnson","given":"Paul","non-dropping-particle":"","parse-names":false,"suffix":""},{"dropping-particle":"","family":"Beegle","given":"Luther W.","non-dropping-particle":"","parse-names":false,"suffix":""},{"dropping-particle":"","family":"Beauchamp","given":"J. L.","non-dropping-particle":"","parse-names":false,"suffix":""},{"dropping-particle":"","family":"Goddard","given":"William A.","non-dropping-particle":"","parse-names":false,"suffix":""},{"dropping-particle":"","family":"Kanik","given":"Isik","non-dropping-particle":"","parse-names":false,"suffix":""}],"container-title":"Analytical Chemistry","id":"ITEM-1","issue":"6","issued":{"date-parts":[["2008"]]},"page":"1928-1936","title":"Experimental and theoretical investigation into the correlation between mass and ion mobility for choline and other ammonium cations in N2","type":"article-journal","volume":"80"},"uris":["http://www.mendeley.com/documents/?uuid=9d9f0539-0b82-47ba-ba61-5ee0b4fa9563"]},{"id":"ITEM-2","itemData":{"DOI":"10.1021/ac202625t","ISBN":"1520-6882 (Electronic)\\r0003-2700 (Linking)","ISSN":"00032700","PMID":"22141445","abstract":"We present the use of drug-like molecules as a traveling wave (T-wave) ion mobility (IM) calibration sample set, covering the m/z range of 122.1-609.3, the nitrogen collision cross-section (ωN 2) range of 124.5-254.3 Å 2 and the helium collision cross-section (ω He) range of 63.0-178.8 Å 2. Absolute ωN 2 and ω He values for the drug-like calibrants and two diastereomers were measured using a drift-tube instrument with radio frequency (RF) ion confinement. T-wave drift-times for the protonated diastereomers betamethasone and dexamethasone are reproducibly different. Calibration of these drift-times yields T-wave ωN 2 values of 189.4 and 190.4 Å 2, respectively. These results demonstrate the ability of T-wave IM spectrometry to differentiate diastereomers differing in ωN 2 value by only 1 Å 2, even though the resolution of these IM experiments were </w:instrText>
      </w:r>
      <w:r w:rsidR="006B4206">
        <w:rPr>
          <w:rFonts w:ascii="Cambria Math" w:hAnsi="Cambria Math" w:cs="Cambria Math"/>
          <w:lang w:val="en-GB"/>
        </w:rPr>
        <w:instrText>∼</w:instrText>
      </w:r>
      <w:r w:rsidR="006B4206">
        <w:rPr>
          <w:lang w:val="en-GB"/>
        </w:rPr>
        <w:instrText>40 (</w:instrText>
      </w:r>
      <w:r w:rsidR="006B4206">
        <w:rPr>
          <w:rFonts w:cs="Garamond"/>
          <w:lang w:val="en-GB"/>
        </w:rPr>
        <w:instrText>ω</w:instrText>
      </w:r>
      <w:r w:rsidR="006B4206">
        <w:rPr>
          <w:lang w:val="en-GB"/>
        </w:rPr>
        <w:instrText>/</w:instrText>
      </w:r>
      <w:r w:rsidR="006B4206">
        <w:rPr>
          <w:rFonts w:cs="Garamond"/>
          <w:lang w:val="en-GB"/>
        </w:rPr>
        <w:instrText>δω</w:instrText>
      </w:r>
      <w:r w:rsidR="006B4206">
        <w:rPr>
          <w:lang w:val="en-GB"/>
        </w:rPr>
        <w:instrText xml:space="preserve">). Demonstrated through density functional theory optimized geometries and ionic electrostatic surface potential analysis, the small but measurable mobility difference between the two diastereomers is mainly due to short-range van der Waals interactions with the neutral buffer gas and not long-range charge-induced dipole interactions. The experimental RF-confining drift-tube and T-wave ωN 2 values were also evaluated using a nitrogen based trajectory method, optimized for T-wave operating temperature and pressures, incorporating additional scaling factors to the Lennard-Jones potentials. Experimental ω He values were also compared to the original and optimized helium based trajectory methods. © 2011 American Chemical Society.","author":[{"dropping-particle":"","family":"Campuzano","given":"Iain","non-dropping-particle":"","parse-names":false,"suffix":""},{"dropping-particle":"","family":"Bush","given":"Matthew F.","non-dropping-particle":"","parse-names":false,"suffix":""},{"dropping-particle":"V.","family":"Robinson","given":"Carol","non-dropping-particle":"","parse-names":false,"suffix":""},{"dropping-particle":"","family":"Beaumont","given":"Claire","non-dropping-particle":"","parse-names":false,"suffix":""},{"dropping-particle":"","family":"Richardson","given":"Keith","non-dropping-particle":"","parse-names":false,"suffix":""},{"dropping-particle":"","family":"Kim","given":"Hyungjun","non-dropping-particle":"","parse-names":false,"suffix":""},{"dropping-particle":"","family":"Kim","given":"Hugh I.","non-dropping-particle":"","parse-names":false,"suffix":""}],"container-title":"Analytical Chemistry","id":"ITEM-2","issue":"2","issued":{"date-parts":[["2012"]]},"page":"1026-1033","title":"Structural characterization of drug-like compounds by ion mobility mass spectrometry: Comparison of theoretical and experimentally derived nitrogen collision cross sections","type":"article-journal","volume":"84"},"uris":["http://www.mendeley.com/documents/?uuid=c1c4d96a-0c5a-401d-a0a5-7e82b92fae24"]},{"id":"ITEM-3","itemData":{"DOI":"10.1021/ac900672a","ISBN":"0003-2700","ISSN":"00032700","PMID":"19764704","abstract":"A number of phosphatidylcholine (PC) cations spanning a mass range of 400-1000 Da are investigated using electrospray ionization mass spectrometry coupled with traveling wave ion mobility spectrometry (TWIMS). A high correlation between mass and mobility is demonstrated with saturated phosphatidylcholine cations in N2. A significant deviation from this mass-mobility correlation line is observed for the unsaturated PC cation. We found that the double bond in the acyl chain causes a 5% reduction in drift time. The drift time is reduced at a rate of </w:instrText>
      </w:r>
      <w:r w:rsidR="006B4206">
        <w:rPr>
          <w:rFonts w:ascii="Cambria Math" w:hAnsi="Cambria Math" w:cs="Cambria Math"/>
          <w:lang w:val="en-GB"/>
        </w:rPr>
        <w:instrText>∼</w:instrText>
      </w:r>
      <w:r w:rsidR="006B4206">
        <w:rPr>
          <w:lang w:val="en-GB"/>
        </w:rPr>
        <w:instrText>1% for each additional double bond. Theoretical collision cross sections of PC cations exhibit good agreement with experimentally evaluated values. Collision cross sections are determined using the recently derived relationship between mobility and drift time in TWIMS stacked ring ion guide (SRIG) and compared to estimated collision cross sections using an empiric calibration method. Computational analysis was performed using the modified trajectory (TJ) method with nonspherical N 2 molecules as the drift gas. The difference between estimated collision cross sections and theoretical collision cross sections of PC cations is related to the sensitivity of the PC cation collision cross sections to the details of the ion-neutral interactions. The origin of the observed correlation and deviation between mass and mobility of PC cations is discussed in terms of the structural rigidity of these molecules using molecular dynamic simulations. © 2009 American Chemical Society.","author":[{"dropping-particle":"","family":"Kim","given":"Hugh I.","non-dropping-particle":"","parse-names":false,"suffix":""},{"dropping-particle":"","family":"Kim","given":"Hyungjun","non-dropping-particle":"","parse-names":false,"suffix":""},{"dropping-particle":"","family":"Pang","given":"Eric S.","non-dropping-particle":"","parse-names":false,"suffix":""},{"dropping-particle":"","family":"Ryu","given":"Ernest K.","non-dropping-particle":"","parse-names":false,"suffix":""},{"dropping-particle":"","family":"Beegle","given":"Luther W.","non-dropping-particle":"","parse-names":false,"suffix":""},{"dropping-particle":"","family":"Loo","given":"Joseph A.","non-dropping-particle":"","parse-names":false,"suffix":""},{"dropping-particle":"","family":"Goddard","given":"William A.","non-dropping-particle":"","parse-names":false,"suffix":""},{"dropping-particle":"","family":"Kanik","given":"Isik","non-dropping-particle":"","parse-names":false,"suffix":""}],"container-title":"Analytical Chemistry","id":"ITEM-3","issue":"20","issued":{"date-parts":[["2009"]]},"page":"8289-8297","title":"Structural characterization of unsaturated phosphatidylcholines using traveling wave ion mobility spectrometry","type":"article-journal","volume":"81"},"uris":["http://www.mendeley.com/documents/?uuid=e30f452a-5f75-48c8-bd9b-86d0bc6f6775"]}],"mendeley":{"formattedCitation":"&lt;sup&gt;8,16,17&lt;/sup&gt;","plainTextFormattedCitation":"8,16,17","previouslyFormattedCitation":"&lt;sup&gt;8,16,17&lt;/sup&gt;"},"properties":{"noteIndex":0},"schema":"https://github.com/citation-style-language/schema/raw/master/csl-citation.json"}</w:instrText>
      </w:r>
      <w:r w:rsidRPr="00472208">
        <w:rPr>
          <w:lang w:val="en-GB"/>
        </w:rPr>
        <w:fldChar w:fldCharType="separate"/>
      </w:r>
      <w:r w:rsidR="009E64B1" w:rsidRPr="009E64B1">
        <w:rPr>
          <w:noProof/>
          <w:vertAlign w:val="superscript"/>
          <w:lang w:val="en-GB"/>
        </w:rPr>
        <w:t>8,16,17</w:t>
      </w:r>
      <w:r w:rsidRPr="00472208">
        <w:fldChar w:fldCharType="end"/>
      </w:r>
      <w:r w:rsidRPr="00472208">
        <w:rPr>
          <w:lang w:val="en-CA"/>
        </w:rPr>
        <w:t xml:space="preserve"> This facilitates a relatively simple calculation of the ion-quadrupole potential by Equation 7, where the </w:t>
      </w:r>
      <w:r w:rsidRPr="00472208">
        <w:rPr>
          <w:i/>
          <w:lang w:val="en-CA"/>
        </w:rPr>
        <w:t>j</w:t>
      </w:r>
      <w:r w:rsidRPr="00472208">
        <w:rPr>
          <w:lang w:val="en-CA"/>
        </w:rPr>
        <w:t xml:space="preserve"> index denotes each partial charge of molecular nitrogen, and </w:t>
      </w:r>
      <w:proofErr w:type="spellStart"/>
      <w:r w:rsidRPr="00472208">
        <w:rPr>
          <w:i/>
          <w:lang w:val="en-CA"/>
        </w:rPr>
        <w:t>i</w:t>
      </w:r>
      <w:proofErr w:type="spellEnd"/>
      <w:r w:rsidRPr="00472208">
        <w:rPr>
          <w:lang w:val="en-CA"/>
        </w:rPr>
        <w:t xml:space="preserve"> indicates atomic partial charges of the ion.</w:t>
      </w:r>
    </w:p>
    <w:p w14:paraId="2803CE3F" w14:textId="77777777" w:rsidR="009E64B1" w:rsidRDefault="009E64B1" w:rsidP="000356B7">
      <w:pPr>
        <w:jc w:val="both"/>
        <w:rPr>
          <w:lang w:val="en-CA"/>
        </w:rPr>
      </w:pPr>
    </w:p>
    <w:tbl>
      <w:tblPr>
        <w:tblStyle w:val="TableGrid"/>
        <w:tblW w:w="9360" w:type="dxa"/>
        <w:tblInd w:w="-5" w:type="dxa"/>
        <w:tblLook w:val="04A0" w:firstRow="1" w:lastRow="0" w:firstColumn="1" w:lastColumn="0" w:noHBand="0" w:noVBand="1"/>
      </w:tblPr>
      <w:tblGrid>
        <w:gridCol w:w="836"/>
        <w:gridCol w:w="7479"/>
        <w:gridCol w:w="1045"/>
      </w:tblGrid>
      <w:tr w:rsidR="00B87EB3" w:rsidRPr="00F14A94" w14:paraId="2A7CE50F" w14:textId="77777777" w:rsidTr="00277675">
        <w:tc>
          <w:tcPr>
            <w:tcW w:w="836" w:type="dxa"/>
            <w:tcBorders>
              <w:top w:val="nil"/>
              <w:left w:val="nil"/>
              <w:bottom w:val="nil"/>
              <w:right w:val="nil"/>
            </w:tcBorders>
            <w:vAlign w:val="center"/>
          </w:tcPr>
          <w:p w14:paraId="30407898" w14:textId="77777777" w:rsidR="00B87EB3" w:rsidRPr="00F14A94" w:rsidRDefault="00B87EB3" w:rsidP="000356B7">
            <w:pPr>
              <w:tabs>
                <w:tab w:val="left" w:pos="3119"/>
              </w:tabs>
              <w:spacing w:line="480" w:lineRule="auto"/>
              <w:jc w:val="both"/>
            </w:pPr>
          </w:p>
        </w:tc>
        <w:tc>
          <w:tcPr>
            <w:tcW w:w="7479" w:type="dxa"/>
            <w:tcBorders>
              <w:top w:val="nil"/>
              <w:left w:val="nil"/>
              <w:bottom w:val="nil"/>
              <w:right w:val="nil"/>
            </w:tcBorders>
            <w:vAlign w:val="center"/>
          </w:tcPr>
          <w:p w14:paraId="7D4C1EEF" w14:textId="77777777" w:rsidR="00B87EB3" w:rsidRDefault="00B22392" w:rsidP="000356B7">
            <w:pPr>
              <w:jc w:val="both"/>
            </w:pPr>
            <m:oMathPara>
              <m:oMath>
                <m:sSub>
                  <m:sSubPr>
                    <m:ctrlPr>
                      <w:rPr>
                        <w:rFonts w:ascii="Cambria Math" w:hAnsi="Cambria Math"/>
                      </w:rPr>
                    </m:ctrlPr>
                  </m:sSubPr>
                  <m:e>
                    <m:r>
                      <w:rPr>
                        <w:rFonts w:ascii="Cambria Math" w:hAnsi="Cambria Math"/>
                      </w:rPr>
                      <m:t>V</m:t>
                    </m:r>
                  </m:e>
                  <m:sub>
                    <m:r>
                      <w:rPr>
                        <w:rFonts w:ascii="Cambria Math" w:hAnsi="Cambria Math"/>
                      </w:rPr>
                      <m:t>IQ</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ij</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3</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j</m:t>
                                </m:r>
                              </m:sub>
                            </m:sSub>
                            <m:sSup>
                              <m:sSupPr>
                                <m:ctrlPr>
                                  <w:rPr>
                                    <w:rFonts w:ascii="Cambria Math" w:hAnsi="Cambria Math"/>
                                  </w:rPr>
                                </m:ctrlPr>
                              </m:sSupPr>
                              <m:e>
                                <m:r>
                                  <w:rPr>
                                    <w:rFonts w:ascii="Cambria Math" w:hAnsi="Cambria Math"/>
                                  </w:rPr>
                                  <m:t>e</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ij</m:t>
                                </m:r>
                              </m:sub>
                            </m:sSub>
                          </m:den>
                        </m:f>
                      </m:e>
                    </m:nary>
                  </m:e>
                </m:nary>
              </m:oMath>
            </m:oMathPara>
          </w:p>
          <w:p w14:paraId="3FE9B67D" w14:textId="77777777" w:rsidR="00B87EB3" w:rsidRPr="00F14A94" w:rsidRDefault="00B87EB3" w:rsidP="000356B7">
            <w:pPr>
              <w:tabs>
                <w:tab w:val="left" w:pos="3119"/>
              </w:tabs>
              <w:spacing w:line="480" w:lineRule="auto"/>
              <w:jc w:val="both"/>
              <w:rPr>
                <w:iCs/>
              </w:rPr>
            </w:pPr>
          </w:p>
        </w:tc>
        <w:tc>
          <w:tcPr>
            <w:tcW w:w="1045" w:type="dxa"/>
            <w:tcBorders>
              <w:top w:val="nil"/>
              <w:left w:val="nil"/>
              <w:bottom w:val="nil"/>
              <w:right w:val="nil"/>
            </w:tcBorders>
            <w:vAlign w:val="center"/>
          </w:tcPr>
          <w:p w14:paraId="040AB98C" w14:textId="44629460" w:rsidR="00B87EB3" w:rsidRPr="00F14A94" w:rsidRDefault="00B87EB3" w:rsidP="000356B7">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7</w:t>
            </w:r>
            <w:r w:rsidRPr="00F14A94">
              <w:rPr>
                <w:sz w:val="22"/>
                <w:szCs w:val="22"/>
              </w:rPr>
              <w:fldChar w:fldCharType="end"/>
            </w:r>
          </w:p>
        </w:tc>
      </w:tr>
    </w:tbl>
    <w:p w14:paraId="6DBB22CE" w14:textId="499F1313" w:rsidR="00576F6C" w:rsidRDefault="001C7170" w:rsidP="000356B7">
      <w:pPr>
        <w:pStyle w:val="Heading2"/>
        <w:numPr>
          <w:ilvl w:val="1"/>
          <w:numId w:val="7"/>
        </w:numPr>
        <w:jc w:val="both"/>
      </w:pPr>
      <w:bookmarkStart w:id="6" w:name="_Toc66269157"/>
      <w:r>
        <w:t>Optimization of a</w:t>
      </w:r>
      <w:r w:rsidR="00576F6C">
        <w:t>tom</w:t>
      </w:r>
      <w:r w:rsidR="00C16637">
        <w:t>-</w:t>
      </w:r>
      <w:r w:rsidR="00576F6C">
        <w:t xml:space="preserve">specific </w:t>
      </w:r>
      <w:proofErr w:type="spellStart"/>
      <w:r w:rsidR="003C0EE8">
        <w:t>vdW</w:t>
      </w:r>
      <w:proofErr w:type="spellEnd"/>
      <w:r w:rsidR="00C16637">
        <w:t xml:space="preserve"> </w:t>
      </w:r>
      <w:r w:rsidR="003C0EE8">
        <w:t>parameters in MobCal-MPI</w:t>
      </w:r>
      <w:bookmarkEnd w:id="6"/>
    </w:p>
    <w:p w14:paraId="33406637" w14:textId="77777777" w:rsidR="001C7170" w:rsidRPr="001C7170" w:rsidRDefault="001C7170" w:rsidP="000356B7">
      <w:pPr>
        <w:jc w:val="both"/>
      </w:pPr>
    </w:p>
    <w:p w14:paraId="623D56ED" w14:textId="780A4ECB" w:rsidR="0033353F" w:rsidRDefault="004E21C5" w:rsidP="000356B7">
      <w:pPr>
        <w:jc w:val="both"/>
        <w:rPr>
          <w:lang w:val="en-CA"/>
        </w:rPr>
      </w:pPr>
      <w:r w:rsidRPr="00CC56C3">
        <w:rPr>
          <w:lang w:val="en-CA"/>
        </w:rPr>
        <w:t xml:space="preserve">MMFF94 </w:t>
      </w:r>
      <w:proofErr w:type="spellStart"/>
      <w:r>
        <w:rPr>
          <w:lang w:val="en-CA"/>
        </w:rPr>
        <w:t>vdW</w:t>
      </w:r>
      <w:proofErr w:type="spellEnd"/>
      <w:r>
        <w:rPr>
          <w:lang w:val="en-CA"/>
        </w:rPr>
        <w:t xml:space="preserve"> </w:t>
      </w:r>
      <w:r w:rsidRPr="00CC56C3">
        <w:rPr>
          <w:lang w:val="en-CA"/>
        </w:rPr>
        <w:t xml:space="preserve">parameters were </w:t>
      </w:r>
      <w:r>
        <w:rPr>
          <w:lang w:val="en-CA"/>
        </w:rPr>
        <w:t>obtained</w:t>
      </w:r>
      <w:r w:rsidRPr="00CC56C3">
        <w:rPr>
          <w:lang w:val="en-CA"/>
        </w:rPr>
        <w:t xml:space="preserve"> from the original publication.</w:t>
      </w:r>
      <w:r w:rsidRPr="00CC56C3">
        <w:rPr>
          <w:lang w:val="en-CA"/>
        </w:rPr>
        <w:fldChar w:fldCharType="begin" w:fldLock="1"/>
      </w:r>
      <w:r w:rsidR="006B4206">
        <w:rPr>
          <w:lang w:val="en-CA"/>
        </w:rPr>
        <w:instrText>ADDIN CSL_CITATION {"citationItems":[{"id":"ITEM-1","itemData":{"DOI":"10.1002/(SICI)1096-987X(199604)17:5/6&lt;520::AID-JCC2&gt;3.0.CO;2-W","ISBN":"1096-987X","ISSN":"01928651","abstract":"This article defines the parameterization and performance of MMFF94 for intermolecular interactions. It specifies the novel \"buffered\" functional forms used for treating van der Waals (vdW) and electrostatic interactions, and describes the use of: (1) high quality ab initio data to parameterize vdW interactions involving aliphatic hydrogens; and (2) HF/6-31 G* calculations on hydrogen-bonded complexes to parameterize nonbonded interactions in polar systems. Comparisons show that appropriate trends in the HF/6-31G* data are well reproduced by MMFF94 and that intermolecular interaction energies and geometries closely parallel those given by the highly regarded OPLS force field. A proper balance between solvent-solvent, solvent-solute, and solute-solute interactions, critically important for prospective success in aqueous simulations, thus appears to be attained. Comparison of MMFF94, OPLS, CHELPG electrostatic potential fit, QEq, Gasteiger, and Abraham charges for 20 small molecules and ions also shows the close correspondence between MMFF94 and OPLS. As do OPLS and all current, widely used force fields, MMFF94 employs \"effective pair potentials\" which incorporate in an averaged way the increases in polarity which occur in high dielectric media. Some limitations of this approach are discussed and suggestions for possible enhancements to MMFF94's functional form are noted. © 1996 by John Wiley &amp; Sons, Inc.","author":[{"dropping-particle":"","family":"Halgren","given":"Thomas A.","non-dropping-particle":"","parse-names":false,"suffix":""}],"container-title":"Journal of Computational Chemistry","id":"ITEM-1","issue":"5-6","issued":{"date-parts":[["1996"]]},"page":"520-552","title":"Merck molecular force field. II. MMFF94 van der Waals and electrostatic parameters for intermolecular interactions","type":"article-journal","volume":"17"},"uris":["http://www.mendeley.com/documents/?uuid=4ed434fb-59dd-4cf8-bf39-997aaf8b72b9"]}],"mendeley":{"formattedCitation":"&lt;sup&gt;15&lt;/sup&gt;","plainTextFormattedCitation":"15","previouslyFormattedCitation":"&lt;sup&gt;15&lt;/sup&gt;"},"properties":{"noteIndex":0},"schema":"https://github.com/citation-style-language/schema/raw/master/csl-citation.json"}</w:instrText>
      </w:r>
      <w:r w:rsidRPr="00CC56C3">
        <w:rPr>
          <w:lang w:val="en-CA"/>
        </w:rPr>
        <w:fldChar w:fldCharType="separate"/>
      </w:r>
      <w:r w:rsidR="009E64B1" w:rsidRPr="009E64B1">
        <w:rPr>
          <w:noProof/>
          <w:vertAlign w:val="superscript"/>
          <w:lang w:val="en-CA"/>
        </w:rPr>
        <w:t>15</w:t>
      </w:r>
      <w:r w:rsidRPr="00CC56C3">
        <w:fldChar w:fldCharType="end"/>
      </w:r>
      <w:r w:rsidRPr="00CC56C3">
        <w:rPr>
          <w:lang w:val="en-CA"/>
        </w:rPr>
        <w:t xml:space="preserve"> In this forcefield, atom types are defined by four unique parameters (α</w:t>
      </w:r>
      <w:proofErr w:type="spellStart"/>
      <w:r w:rsidRPr="00CC56C3">
        <w:rPr>
          <w:vertAlign w:val="subscript"/>
          <w:lang w:val="en-CA"/>
        </w:rPr>
        <w:t>i</w:t>
      </w:r>
      <w:proofErr w:type="spellEnd"/>
      <w:r w:rsidRPr="00CC56C3">
        <w:rPr>
          <w:lang w:val="en-CA"/>
        </w:rPr>
        <w:t>, A</w:t>
      </w:r>
      <w:r w:rsidRPr="00CC56C3">
        <w:rPr>
          <w:vertAlign w:val="subscript"/>
          <w:lang w:val="en-CA"/>
        </w:rPr>
        <w:t>i</w:t>
      </w:r>
      <w:r w:rsidRPr="00CC56C3">
        <w:rPr>
          <w:lang w:val="en-CA"/>
        </w:rPr>
        <w:t>, N</w:t>
      </w:r>
      <w:r w:rsidRPr="00CC56C3">
        <w:rPr>
          <w:vertAlign w:val="subscript"/>
          <w:lang w:val="en-CA"/>
        </w:rPr>
        <w:t>i</w:t>
      </w:r>
      <w:r w:rsidRPr="00CC56C3">
        <w:rPr>
          <w:lang w:val="en-CA"/>
        </w:rPr>
        <w:t>, and G</w:t>
      </w:r>
      <w:r w:rsidRPr="00CC56C3">
        <w:rPr>
          <w:vertAlign w:val="subscript"/>
          <w:lang w:val="en-CA"/>
        </w:rPr>
        <w:t>i</w:t>
      </w:r>
      <w:r w:rsidRPr="00CC56C3">
        <w:rPr>
          <w:lang w:val="en-CA"/>
        </w:rPr>
        <w:t>)</w:t>
      </w:r>
      <w:r>
        <w:rPr>
          <w:lang w:val="en-CA"/>
        </w:rPr>
        <w:t xml:space="preserve"> related to physicochemical properties of the atom</w:t>
      </w:r>
      <w:r w:rsidRPr="00CC56C3">
        <w:rPr>
          <w:lang w:val="en-CA"/>
        </w:rPr>
        <w:t xml:space="preserve">. Combination of these parameters with those of molecular nitrogen yields the values of </w:t>
      </w:r>
      <w:proofErr w:type="spellStart"/>
      <w:r w:rsidRPr="00072CDB">
        <w:rPr>
          <w:i/>
          <w:lang w:val="en-CA"/>
        </w:rPr>
        <w:t>r</w:t>
      </w:r>
      <w:r w:rsidRPr="00072CDB">
        <w:rPr>
          <w:i/>
          <w:vertAlign w:val="subscript"/>
          <w:lang w:val="en-CA"/>
        </w:rPr>
        <w:t>ij</w:t>
      </w:r>
      <w:proofErr w:type="spellEnd"/>
      <w:r w:rsidRPr="00072CDB">
        <w:rPr>
          <w:i/>
          <w:lang w:val="en-CA"/>
        </w:rPr>
        <w:t>*</w:t>
      </w:r>
      <w:r w:rsidRPr="00CC56C3">
        <w:rPr>
          <w:lang w:val="en-CA"/>
        </w:rPr>
        <w:t xml:space="preserve"> and </w:t>
      </w:r>
      <w:proofErr w:type="spellStart"/>
      <w:r w:rsidRPr="007E1F8B">
        <w:rPr>
          <w:rFonts w:asciiTheme="majorHAnsi" w:hAnsiTheme="majorHAnsi"/>
          <w:i/>
          <w:lang w:val="en-CA"/>
        </w:rPr>
        <w:t>ε</w:t>
      </w:r>
      <w:r w:rsidRPr="00072CDB">
        <w:rPr>
          <w:i/>
          <w:vertAlign w:val="subscript"/>
          <w:lang w:val="en-CA"/>
        </w:rPr>
        <w:t>ij</w:t>
      </w:r>
      <w:proofErr w:type="spellEnd"/>
      <w:r w:rsidRPr="00CC56C3">
        <w:rPr>
          <w:lang w:val="en-CA"/>
        </w:rPr>
        <w:t xml:space="preserve"> used in this study.</w:t>
      </w:r>
      <w:r>
        <w:rPr>
          <w:lang w:val="en-CA"/>
        </w:rPr>
        <w:t xml:space="preserve"> Since the interaction partner in this work is always</w:t>
      </w:r>
      <w:r w:rsidR="00981831">
        <w:rPr>
          <w:lang w:val="en-CA"/>
        </w:rPr>
        <w:t xml:space="preserve"> N</w:t>
      </w:r>
      <w:r w:rsidR="00981831">
        <w:rPr>
          <w:vertAlign w:val="subscript"/>
          <w:lang w:val="en-CA"/>
        </w:rPr>
        <w:t>2</w:t>
      </w:r>
      <w:r w:rsidR="00981831">
        <w:rPr>
          <w:lang w:val="en-CA"/>
        </w:rPr>
        <w:t xml:space="preserve">, we simply refer to </w:t>
      </w:r>
      <w:proofErr w:type="spellStart"/>
      <w:r w:rsidR="00981831" w:rsidRPr="00072CDB">
        <w:rPr>
          <w:i/>
          <w:lang w:val="en-CA"/>
        </w:rPr>
        <w:t>r</w:t>
      </w:r>
      <w:r w:rsidR="00981831" w:rsidRPr="00072CDB">
        <w:rPr>
          <w:i/>
          <w:vertAlign w:val="subscript"/>
          <w:lang w:val="en-CA"/>
        </w:rPr>
        <w:t>i</w:t>
      </w:r>
      <w:proofErr w:type="spellEnd"/>
      <w:r w:rsidR="00981831" w:rsidRPr="00072CDB">
        <w:rPr>
          <w:i/>
          <w:lang w:val="en-CA"/>
        </w:rPr>
        <w:t>*</w:t>
      </w:r>
      <w:r w:rsidR="00981831" w:rsidRPr="00CC56C3">
        <w:rPr>
          <w:lang w:val="en-CA"/>
        </w:rPr>
        <w:t xml:space="preserve"> and </w:t>
      </w:r>
      <w:proofErr w:type="spellStart"/>
      <w:r w:rsidR="00981831" w:rsidRPr="00A205F8">
        <w:rPr>
          <w:rFonts w:asciiTheme="majorHAnsi" w:hAnsiTheme="majorHAnsi"/>
          <w:i/>
          <w:lang w:val="en-CA"/>
        </w:rPr>
        <w:t>ε</w:t>
      </w:r>
      <w:r w:rsidR="00981831" w:rsidRPr="00072CDB">
        <w:rPr>
          <w:i/>
          <w:vertAlign w:val="subscript"/>
          <w:lang w:val="en-CA"/>
        </w:rPr>
        <w:t>i</w:t>
      </w:r>
      <w:proofErr w:type="spellEnd"/>
      <w:r w:rsidR="00981831">
        <w:rPr>
          <w:lang w:val="en-CA"/>
        </w:rPr>
        <w:t xml:space="preserve">. </w:t>
      </w:r>
      <w:r w:rsidR="00981831" w:rsidRPr="00CC56C3">
        <w:rPr>
          <w:lang w:val="en-CA"/>
        </w:rPr>
        <w:t xml:space="preserve"> Although it </w:t>
      </w:r>
      <w:r w:rsidR="00981831">
        <w:rPr>
          <w:lang w:val="en-CA"/>
        </w:rPr>
        <w:t>is</w:t>
      </w:r>
      <w:r w:rsidR="00981831" w:rsidRPr="00CC56C3">
        <w:rPr>
          <w:lang w:val="en-CA"/>
        </w:rPr>
        <w:t xml:space="preserve"> possible to fit individual parameters, </w:t>
      </w:r>
      <w:r w:rsidR="00981831">
        <w:rPr>
          <w:lang w:val="en-CA"/>
        </w:rPr>
        <w:t>the most straight-forward procedure (owing to the</w:t>
      </w:r>
      <w:r w:rsidR="00981831" w:rsidRPr="00CC56C3">
        <w:rPr>
          <w:lang w:val="en-CA"/>
        </w:rPr>
        <w:t xml:space="preserve"> rather complex combination rules </w:t>
      </w:r>
      <w:r w:rsidR="00981831">
        <w:rPr>
          <w:lang w:val="en-CA"/>
        </w:rPr>
        <w:t>associated with</w:t>
      </w:r>
      <w:r w:rsidR="00981831" w:rsidRPr="00CC56C3">
        <w:rPr>
          <w:lang w:val="en-CA"/>
        </w:rPr>
        <w:t xml:space="preserve"> the MMFF94 forcefield</w:t>
      </w:r>
      <w:r w:rsidR="00981831">
        <w:rPr>
          <w:lang w:val="en-CA"/>
        </w:rPr>
        <w:t>) was to</w:t>
      </w:r>
      <w:r w:rsidR="00981831" w:rsidRPr="00CC56C3">
        <w:rPr>
          <w:lang w:val="en-CA"/>
        </w:rPr>
        <w:t xml:space="preserve"> fit final </w:t>
      </w:r>
      <w:proofErr w:type="spellStart"/>
      <w:r w:rsidR="00981831" w:rsidRPr="00072CDB">
        <w:rPr>
          <w:i/>
          <w:lang w:val="en-CA"/>
        </w:rPr>
        <w:t>r</w:t>
      </w:r>
      <w:r w:rsidR="00981831" w:rsidRPr="00072CDB">
        <w:rPr>
          <w:i/>
          <w:vertAlign w:val="subscript"/>
          <w:lang w:val="en-CA"/>
        </w:rPr>
        <w:t>i</w:t>
      </w:r>
      <w:proofErr w:type="spellEnd"/>
      <w:r w:rsidR="00981831" w:rsidRPr="00072CDB">
        <w:rPr>
          <w:i/>
          <w:lang w:val="en-CA"/>
        </w:rPr>
        <w:t>*</w:t>
      </w:r>
      <w:r w:rsidR="00981831" w:rsidRPr="00CC56C3">
        <w:rPr>
          <w:lang w:val="en-CA"/>
        </w:rPr>
        <w:t xml:space="preserve"> and </w:t>
      </w:r>
      <w:proofErr w:type="spellStart"/>
      <w:r w:rsidR="00981831" w:rsidRPr="00A205F8">
        <w:rPr>
          <w:rFonts w:asciiTheme="majorHAnsi" w:hAnsiTheme="majorHAnsi"/>
          <w:i/>
          <w:lang w:val="en-CA"/>
        </w:rPr>
        <w:t>ε</w:t>
      </w:r>
      <w:r w:rsidR="00981831" w:rsidRPr="00072CDB">
        <w:rPr>
          <w:i/>
          <w:vertAlign w:val="subscript"/>
          <w:lang w:val="en-CA"/>
        </w:rPr>
        <w:t>i</w:t>
      </w:r>
      <w:proofErr w:type="spellEnd"/>
      <w:r w:rsidR="00981831" w:rsidRPr="00CC56C3">
        <w:rPr>
          <w:lang w:val="en-CA"/>
        </w:rPr>
        <w:t xml:space="preserve"> values. Since </w:t>
      </w:r>
      <w:r w:rsidR="00981831">
        <w:rPr>
          <w:lang w:val="en-CA"/>
        </w:rPr>
        <w:t>the</w:t>
      </w:r>
      <w:r w:rsidR="00981831" w:rsidRPr="00CC56C3">
        <w:rPr>
          <w:lang w:val="en-CA"/>
        </w:rPr>
        <w:t xml:space="preserve"> atom type</w:t>
      </w:r>
      <w:r w:rsidR="00981831">
        <w:rPr>
          <w:lang w:val="en-CA"/>
        </w:rPr>
        <w:t>s</w:t>
      </w:r>
      <w:r w:rsidR="00981831" w:rsidRPr="00CC56C3">
        <w:rPr>
          <w:lang w:val="en-CA"/>
        </w:rPr>
        <w:t xml:space="preserve"> outlined in the forcefield are inherently parameterized, optimization of </w:t>
      </w:r>
      <w:proofErr w:type="spellStart"/>
      <w:r w:rsidR="00981831" w:rsidRPr="00CC56C3">
        <w:rPr>
          <w:lang w:val="en-CA"/>
        </w:rPr>
        <w:t>vdW</w:t>
      </w:r>
      <w:proofErr w:type="spellEnd"/>
      <w:r w:rsidR="00981831" w:rsidRPr="00CC56C3">
        <w:rPr>
          <w:lang w:val="en-CA"/>
        </w:rPr>
        <w:t xml:space="preserve"> parameters can be easily accomplished through the application of a uniform scaling factor to the distance (</w:t>
      </w:r>
      <w:proofErr w:type="spellStart"/>
      <w:r w:rsidR="00981831" w:rsidRPr="00072CDB">
        <w:rPr>
          <w:i/>
          <w:lang w:val="en-CA"/>
        </w:rPr>
        <w:t>r</w:t>
      </w:r>
      <w:r w:rsidR="00981831" w:rsidRPr="00072CDB">
        <w:rPr>
          <w:i/>
          <w:vertAlign w:val="subscript"/>
          <w:lang w:val="en-CA"/>
        </w:rPr>
        <w:t>i</w:t>
      </w:r>
      <w:proofErr w:type="spellEnd"/>
      <w:r w:rsidR="00981831" w:rsidRPr="00072CDB">
        <w:rPr>
          <w:i/>
          <w:lang w:val="en-CA"/>
        </w:rPr>
        <w:t>*</w:t>
      </w:r>
      <w:r w:rsidR="00981831" w:rsidRPr="00CC56C3">
        <w:rPr>
          <w:lang w:val="en-CA"/>
        </w:rPr>
        <w:t>) and energy (</w:t>
      </w:r>
      <w:proofErr w:type="spellStart"/>
      <w:r w:rsidR="00981831" w:rsidRPr="00A205F8">
        <w:rPr>
          <w:rFonts w:asciiTheme="majorHAnsi" w:hAnsiTheme="majorHAnsi"/>
          <w:i/>
          <w:lang w:val="en-CA"/>
        </w:rPr>
        <w:t>ε</w:t>
      </w:r>
      <w:r w:rsidR="00981831" w:rsidRPr="00072CDB">
        <w:rPr>
          <w:i/>
          <w:vertAlign w:val="subscript"/>
          <w:lang w:val="en-CA"/>
        </w:rPr>
        <w:t>i</w:t>
      </w:r>
      <w:proofErr w:type="spellEnd"/>
      <w:r w:rsidR="00981831" w:rsidRPr="00CC56C3">
        <w:rPr>
          <w:lang w:val="en-CA"/>
        </w:rPr>
        <w:t xml:space="preserve">) related terms </w:t>
      </w:r>
      <w:r w:rsidR="00981831">
        <w:rPr>
          <w:lang w:val="en-CA"/>
        </w:rPr>
        <w:t xml:space="preserve">as per equations </w:t>
      </w:r>
      <w:r w:rsidR="001C7170">
        <w:rPr>
          <w:lang w:val="en-CA"/>
        </w:rPr>
        <w:t>8 and 9.</w:t>
      </w:r>
    </w:p>
    <w:p w14:paraId="3957E96B" w14:textId="7CA292B9" w:rsidR="00BB0102" w:rsidRDefault="00BB0102" w:rsidP="000356B7">
      <w:pPr>
        <w:jc w:val="both"/>
        <w:rPr>
          <w:lang w:val="en-CA"/>
        </w:rPr>
      </w:pPr>
    </w:p>
    <w:tbl>
      <w:tblPr>
        <w:tblStyle w:val="TableGrid"/>
        <w:tblW w:w="9365" w:type="dxa"/>
        <w:tblInd w:w="-5" w:type="dxa"/>
        <w:tblLook w:val="04A0" w:firstRow="1" w:lastRow="0" w:firstColumn="1" w:lastColumn="0" w:noHBand="0" w:noVBand="1"/>
      </w:tblPr>
      <w:tblGrid>
        <w:gridCol w:w="761"/>
        <w:gridCol w:w="7659"/>
        <w:gridCol w:w="945"/>
      </w:tblGrid>
      <w:tr w:rsidR="00B457B7" w:rsidRPr="00F14A94" w14:paraId="0E58F564" w14:textId="6F46CD45" w:rsidTr="00B457B7">
        <w:tc>
          <w:tcPr>
            <w:tcW w:w="761" w:type="dxa"/>
            <w:tcBorders>
              <w:top w:val="nil"/>
              <w:left w:val="nil"/>
              <w:bottom w:val="nil"/>
              <w:right w:val="nil"/>
            </w:tcBorders>
            <w:vAlign w:val="center"/>
          </w:tcPr>
          <w:p w14:paraId="799CCB3C" w14:textId="77777777" w:rsidR="00B457B7" w:rsidRPr="00F14A94" w:rsidRDefault="00B457B7" w:rsidP="00B457B7">
            <w:pPr>
              <w:tabs>
                <w:tab w:val="left" w:pos="3119"/>
              </w:tabs>
              <w:spacing w:line="480" w:lineRule="auto"/>
              <w:jc w:val="center"/>
            </w:pPr>
          </w:p>
        </w:tc>
        <w:tc>
          <w:tcPr>
            <w:tcW w:w="7659" w:type="dxa"/>
            <w:tcBorders>
              <w:top w:val="nil"/>
              <w:left w:val="nil"/>
              <w:bottom w:val="nil"/>
              <w:right w:val="nil"/>
            </w:tcBorders>
            <w:vAlign w:val="center"/>
          </w:tcPr>
          <w:p w14:paraId="67BE65EC" w14:textId="7C703FC9" w:rsidR="00B457B7" w:rsidRPr="00B457B7" w:rsidRDefault="00B22392" w:rsidP="00B457B7">
            <w:pPr>
              <w:pStyle w:val="Caption"/>
              <w:keepNext/>
              <w:jc w:val="center"/>
              <w:rPr>
                <w:sz w:val="24"/>
                <w:szCs w:val="24"/>
              </w:rPr>
            </w:pPr>
            <m:oMathPara>
              <m:oMath>
                <m:sSub>
                  <m:sSubPr>
                    <m:ctrlPr>
                      <w:rPr>
                        <w:rFonts w:ascii="Cambria Math" w:hAnsi="Cambria Math"/>
                        <w:color w:val="auto"/>
                        <w:w w:val="108"/>
                        <w:sz w:val="24"/>
                        <w:szCs w:val="24"/>
                      </w:rPr>
                    </m:ctrlPr>
                  </m:sSubPr>
                  <m:e>
                    <m:sSubSup>
                      <m:sSubSupPr>
                        <m:ctrlPr>
                          <w:rPr>
                            <w:rFonts w:ascii="Cambria Math" w:hAnsi="Cambria Math"/>
                            <w:color w:val="auto"/>
                            <w:w w:val="108"/>
                            <w:sz w:val="24"/>
                            <w:szCs w:val="24"/>
                          </w:rPr>
                        </m:ctrlPr>
                      </m:sSubSupPr>
                      <m:e>
                        <m:r>
                          <w:rPr>
                            <w:rFonts w:ascii="Cambria Math" w:hAnsi="Cambria Math"/>
                            <w:color w:val="auto"/>
                            <w:sz w:val="24"/>
                            <w:szCs w:val="24"/>
                          </w:rPr>
                          <m:t>r</m:t>
                        </m:r>
                      </m:e>
                      <m:sub>
                        <m:r>
                          <w:rPr>
                            <w:rFonts w:ascii="Cambria Math" w:hAnsi="Cambria Math"/>
                            <w:color w:val="auto"/>
                            <w:sz w:val="24"/>
                            <w:szCs w:val="24"/>
                          </w:rPr>
                          <m:t>i</m:t>
                        </m:r>
                      </m:sub>
                      <m:sup>
                        <m:r>
                          <w:rPr>
                            <w:rFonts w:ascii="Cambria Math" w:hAnsi="Cambria Math"/>
                            <w:color w:val="auto"/>
                            <w:sz w:val="24"/>
                            <w:szCs w:val="24"/>
                          </w:rPr>
                          <m:t>*</m:t>
                        </m:r>
                      </m:sup>
                    </m:sSubSup>
                  </m:e>
                  <m:sub>
                    <m:r>
                      <w:rPr>
                        <w:rFonts w:ascii="Cambria Math" w:hAnsi="Cambria Math"/>
                        <w:color w:val="auto"/>
                        <w:sz w:val="24"/>
                        <w:szCs w:val="24"/>
                      </w:rPr>
                      <m:t>scaled</m:t>
                    </m:r>
                  </m:sub>
                </m:sSub>
                <m:r>
                  <w:rPr>
                    <w:rFonts w:ascii="Cambria Math" w:hAnsi="Cambria Math"/>
                    <w:color w:val="auto"/>
                    <w:sz w:val="24"/>
                    <w:szCs w:val="24"/>
                  </w:rPr>
                  <m:t>=</m:t>
                </m:r>
                <m:sSubSup>
                  <m:sSubSupPr>
                    <m:ctrlPr>
                      <w:rPr>
                        <w:rFonts w:ascii="Cambria Math" w:hAnsi="Cambria Math"/>
                        <w:color w:val="auto"/>
                        <w:w w:val="108"/>
                        <w:sz w:val="24"/>
                        <w:szCs w:val="24"/>
                      </w:rPr>
                    </m:ctrlPr>
                  </m:sSubSupPr>
                  <m:e>
                    <m:r>
                      <w:rPr>
                        <w:rFonts w:ascii="Cambria Math" w:hAnsi="Cambria Math"/>
                        <w:color w:val="auto"/>
                        <w:sz w:val="24"/>
                        <w:szCs w:val="24"/>
                      </w:rPr>
                      <m:t>r</m:t>
                    </m:r>
                  </m:e>
                  <m:sub>
                    <m:r>
                      <w:rPr>
                        <w:rFonts w:ascii="Cambria Math" w:hAnsi="Cambria Math"/>
                        <w:color w:val="auto"/>
                        <w:sz w:val="24"/>
                        <w:szCs w:val="24"/>
                      </w:rPr>
                      <m:t>i</m:t>
                    </m:r>
                  </m:sub>
                  <m:sup>
                    <m:r>
                      <w:rPr>
                        <w:rFonts w:ascii="Cambria Math" w:hAnsi="Cambria Math"/>
                        <w:color w:val="auto"/>
                        <w:sz w:val="24"/>
                        <w:szCs w:val="24"/>
                      </w:rPr>
                      <m:t>*</m:t>
                    </m:r>
                  </m:sup>
                </m:sSubSup>
                <m:r>
                  <w:rPr>
                    <w:rFonts w:ascii="Cambria Math" w:hAnsi="Cambria Math"/>
                    <w:color w:val="auto"/>
                    <w:sz w:val="24"/>
                    <w:szCs w:val="24"/>
                  </w:rPr>
                  <m:t>×</m:t>
                </m:r>
                <m:sSub>
                  <m:sSubPr>
                    <m:ctrlPr>
                      <w:rPr>
                        <w:rFonts w:ascii="Cambria Math" w:hAnsi="Cambria Math"/>
                        <w:color w:val="auto"/>
                        <w:w w:val="108"/>
                        <w:sz w:val="24"/>
                        <w:szCs w:val="24"/>
                      </w:rPr>
                    </m:ctrlPr>
                  </m:sSubPr>
                  <m:e>
                    <m:r>
                      <w:rPr>
                        <w:rFonts w:ascii="Cambria Math" w:hAnsi="Cambria Math"/>
                        <w:color w:val="auto"/>
                        <w:sz w:val="24"/>
                        <w:szCs w:val="24"/>
                      </w:rPr>
                      <m:t>ρ</m:t>
                    </m:r>
                  </m:e>
                  <m:sub>
                    <m:r>
                      <w:rPr>
                        <w:rFonts w:ascii="Cambria Math" w:hAnsi="Cambria Math"/>
                        <w:color w:val="auto"/>
                        <w:sz w:val="24"/>
                        <w:szCs w:val="24"/>
                      </w:rPr>
                      <m:t>dist</m:t>
                    </m:r>
                  </m:sub>
                </m:sSub>
              </m:oMath>
            </m:oMathPara>
          </w:p>
        </w:tc>
        <w:tc>
          <w:tcPr>
            <w:tcW w:w="945" w:type="dxa"/>
            <w:tcBorders>
              <w:top w:val="nil"/>
              <w:left w:val="nil"/>
              <w:bottom w:val="nil"/>
              <w:right w:val="nil"/>
            </w:tcBorders>
            <w:vAlign w:val="center"/>
          </w:tcPr>
          <w:p w14:paraId="0A3DB6B9" w14:textId="29095E08" w:rsidR="00B457B7" w:rsidRPr="00F14A94" w:rsidRDefault="00B457B7" w:rsidP="00B457B7">
            <w:pPr>
              <w:pStyle w:val="Caption"/>
              <w:keepNext/>
              <w:jc w:val="center"/>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8</w:t>
            </w:r>
            <w:r w:rsidRPr="00F14A94">
              <w:rPr>
                <w:sz w:val="22"/>
                <w:szCs w:val="22"/>
              </w:rPr>
              <w:fldChar w:fldCharType="end"/>
            </w:r>
          </w:p>
        </w:tc>
      </w:tr>
    </w:tbl>
    <w:p w14:paraId="689A8A32" w14:textId="6FD2CAC1" w:rsidR="00DD2C28" w:rsidRDefault="00DD2C28" w:rsidP="000356B7">
      <w:pPr>
        <w:jc w:val="both"/>
        <w:rPr>
          <w:lang w:val="en-CA"/>
        </w:rPr>
      </w:pPr>
    </w:p>
    <w:tbl>
      <w:tblPr>
        <w:tblStyle w:val="TableGrid"/>
        <w:tblW w:w="9360" w:type="dxa"/>
        <w:tblInd w:w="-5" w:type="dxa"/>
        <w:tblLook w:val="04A0" w:firstRow="1" w:lastRow="0" w:firstColumn="1" w:lastColumn="0" w:noHBand="0" w:noVBand="1"/>
      </w:tblPr>
      <w:tblGrid>
        <w:gridCol w:w="836"/>
        <w:gridCol w:w="7479"/>
        <w:gridCol w:w="1045"/>
      </w:tblGrid>
      <w:tr w:rsidR="001C7170" w:rsidRPr="00F14A94" w14:paraId="1C2C2E16" w14:textId="77777777" w:rsidTr="00B457B7">
        <w:tc>
          <w:tcPr>
            <w:tcW w:w="836" w:type="dxa"/>
            <w:tcBorders>
              <w:top w:val="nil"/>
              <w:left w:val="nil"/>
              <w:bottom w:val="nil"/>
              <w:right w:val="nil"/>
            </w:tcBorders>
            <w:vAlign w:val="center"/>
          </w:tcPr>
          <w:p w14:paraId="53911016" w14:textId="77777777" w:rsidR="001C7170" w:rsidRPr="00F14A94" w:rsidRDefault="001C7170" w:rsidP="00B457B7">
            <w:pPr>
              <w:tabs>
                <w:tab w:val="left" w:pos="3119"/>
              </w:tabs>
              <w:spacing w:line="480" w:lineRule="auto"/>
              <w:jc w:val="center"/>
            </w:pPr>
          </w:p>
        </w:tc>
        <w:tc>
          <w:tcPr>
            <w:tcW w:w="7479" w:type="dxa"/>
            <w:tcBorders>
              <w:top w:val="nil"/>
              <w:left w:val="nil"/>
              <w:bottom w:val="nil"/>
              <w:right w:val="nil"/>
            </w:tcBorders>
            <w:vAlign w:val="center"/>
          </w:tcPr>
          <w:p w14:paraId="7F22FF7E" w14:textId="0315A4F6" w:rsidR="001C7170" w:rsidRPr="00F14A94" w:rsidRDefault="00B22392" w:rsidP="00B457B7">
            <w:pPr>
              <w:tabs>
                <w:tab w:val="left" w:pos="3119"/>
              </w:tabs>
              <w:spacing w:line="480" w:lineRule="auto"/>
              <w:jc w:val="center"/>
              <w:rPr>
                <w:iCs/>
              </w:rPr>
            </w:pPr>
            <m:oMathPara>
              <m:oMath>
                <m:sSub>
                  <m:sSubPr>
                    <m:ctrlPr>
                      <w:rPr>
                        <w:rFonts w:ascii="Cambria Math" w:hAnsi="Cambria Math"/>
                        <w:w w:val="108"/>
                        <w:szCs w:val="18"/>
                      </w:rPr>
                    </m:ctrlPr>
                  </m:sSubPr>
                  <m:e>
                    <m:sSub>
                      <m:sSubPr>
                        <m:ctrlPr>
                          <w:rPr>
                            <w:rFonts w:ascii="Cambria Math" w:hAnsi="Cambria Math"/>
                            <w:i/>
                          </w:rPr>
                        </m:ctrlPr>
                      </m:sSubPr>
                      <m:e>
                        <m:r>
                          <w:rPr>
                            <w:rFonts w:ascii="Cambria Math" w:hAnsi="Cambria Math"/>
                          </w:rPr>
                          <m:t>ε</m:t>
                        </m:r>
                        <m:ctrlPr>
                          <w:rPr>
                            <w:rFonts w:ascii="Cambria Math" w:hAnsi="Cambria Math"/>
                            <w:w w:val="108"/>
                            <w:szCs w:val="18"/>
                          </w:rPr>
                        </m:ctrlPr>
                      </m:e>
                      <m:sub>
                        <m:r>
                          <w:rPr>
                            <w:rFonts w:ascii="Cambria Math" w:hAnsi="Cambria Math"/>
                          </w:rPr>
                          <m:t xml:space="preserve">i </m:t>
                        </m:r>
                        <m:ctrlPr>
                          <w:rPr>
                            <w:rFonts w:ascii="Cambria Math" w:hAnsi="Cambria Math"/>
                            <w:w w:val="108"/>
                            <w:szCs w:val="18"/>
                          </w:rPr>
                        </m:ctrlPr>
                      </m:sub>
                    </m:sSub>
                  </m:e>
                  <m:sub>
                    <m:r>
                      <w:rPr>
                        <w:rFonts w:ascii="Cambria Math" w:hAnsi="Cambria Math"/>
                      </w:rPr>
                      <m:t>scaled</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m:rPr>
                    <m:sty m:val="p"/>
                  </m:rPr>
                  <w:rPr>
                    <w:rFonts w:ascii="Cambria Math" w:hAnsi="Cambria Math"/>
                  </w:rPr>
                  <m:t>×</m:t>
                </m:r>
                <m:sSub>
                  <m:sSubPr>
                    <m:ctrlPr>
                      <w:rPr>
                        <w:rFonts w:ascii="Cambria Math" w:hAnsi="Cambria Math"/>
                        <w:w w:val="108"/>
                        <w:szCs w:val="18"/>
                      </w:rPr>
                    </m:ctrlPr>
                  </m:sSubPr>
                  <m:e>
                    <m:r>
                      <w:rPr>
                        <w:rFonts w:ascii="Cambria Math" w:hAnsi="Cambria Math"/>
                      </w:rPr>
                      <m:t>ρ</m:t>
                    </m:r>
                  </m:e>
                  <m:sub>
                    <m:r>
                      <w:rPr>
                        <w:rFonts w:ascii="Cambria Math" w:hAnsi="Cambria Math"/>
                      </w:rPr>
                      <m:t>ener</m:t>
                    </m:r>
                  </m:sub>
                </m:sSub>
              </m:oMath>
            </m:oMathPara>
          </w:p>
        </w:tc>
        <w:tc>
          <w:tcPr>
            <w:tcW w:w="1045" w:type="dxa"/>
            <w:tcBorders>
              <w:top w:val="nil"/>
              <w:left w:val="nil"/>
              <w:bottom w:val="nil"/>
              <w:right w:val="nil"/>
            </w:tcBorders>
            <w:vAlign w:val="center"/>
          </w:tcPr>
          <w:p w14:paraId="7CB08D5D" w14:textId="6CAFF2F3" w:rsidR="001C7170" w:rsidRPr="00F14A94" w:rsidRDefault="001C7170" w:rsidP="00B457B7">
            <w:pPr>
              <w:pStyle w:val="Caption"/>
              <w:keepNext/>
              <w:jc w:val="center"/>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9</w:t>
            </w:r>
            <w:r w:rsidRPr="00F14A94">
              <w:rPr>
                <w:sz w:val="22"/>
                <w:szCs w:val="22"/>
              </w:rPr>
              <w:fldChar w:fldCharType="end"/>
            </w:r>
          </w:p>
        </w:tc>
      </w:tr>
    </w:tbl>
    <w:p w14:paraId="7FD3B221" w14:textId="77777777" w:rsidR="00DD2C28" w:rsidRPr="00DD2C28" w:rsidRDefault="00DD2C28" w:rsidP="000356B7">
      <w:pPr>
        <w:jc w:val="both"/>
        <w:rPr>
          <w:lang w:val="en-CA"/>
        </w:rPr>
      </w:pPr>
      <w:r w:rsidRPr="00DD2C28">
        <w:rPr>
          <w:lang w:val="en-CA"/>
        </w:rPr>
        <w:t xml:space="preserve">For </w:t>
      </w:r>
      <w:proofErr w:type="spellStart"/>
      <w:r w:rsidRPr="00DD2C28">
        <w:rPr>
          <w:i/>
          <w:lang w:val="en-CA"/>
        </w:rPr>
        <w:t>i</w:t>
      </w:r>
      <w:proofErr w:type="spellEnd"/>
      <w:r w:rsidRPr="00DD2C28">
        <w:rPr>
          <w:lang w:val="en-CA"/>
        </w:rPr>
        <w:t xml:space="preserve"> = C, H, O, N, F, P, S, Cl, Br, I, … </w:t>
      </w:r>
    </w:p>
    <w:p w14:paraId="2B9E6624" w14:textId="3A931E3B" w:rsidR="00DD2C28" w:rsidRDefault="00DD2C28" w:rsidP="000356B7">
      <w:pPr>
        <w:jc w:val="both"/>
        <w:rPr>
          <w:lang w:val="en-GB"/>
        </w:rPr>
      </w:pPr>
    </w:p>
    <w:p w14:paraId="4C2E6F69" w14:textId="78228E8C" w:rsidR="00BB0102" w:rsidRDefault="00BB0102" w:rsidP="000356B7">
      <w:pPr>
        <w:jc w:val="both"/>
        <w:rPr>
          <w:lang w:val="en-CA"/>
        </w:rPr>
      </w:pPr>
      <w:r w:rsidRPr="00BB0102">
        <w:rPr>
          <w:lang w:val="en-CA"/>
        </w:rPr>
        <w:t xml:space="preserve">Optimization of scaling factors was completed iteratively, screening combinations of scaling factors between 0.70 and 1.00. For the final iteration, scaling factors were stepped in increments of 0.01 to ensure optimal parameterization of </w:t>
      </w:r>
      <w:proofErr w:type="spellStart"/>
      <w:r w:rsidRPr="00BB0102">
        <w:rPr>
          <w:lang w:val="en-CA"/>
        </w:rPr>
        <w:t>vdW</w:t>
      </w:r>
      <w:proofErr w:type="spellEnd"/>
      <w:r w:rsidRPr="00BB0102">
        <w:rPr>
          <w:lang w:val="en-CA"/>
        </w:rPr>
        <w:t xml:space="preserve"> interaction potentials. It should be noted that this procedure returned numerous scaling factors that produced similar root mean square errors (RMSEs), indicating that a comprehensive search of the scaling factor surface had to be completed.</w:t>
      </w:r>
    </w:p>
    <w:p w14:paraId="60C37CE8" w14:textId="469BA76C" w:rsidR="0011104F" w:rsidRDefault="0011104F" w:rsidP="000356B7">
      <w:pPr>
        <w:jc w:val="both"/>
        <w:rPr>
          <w:lang w:val="en-CA"/>
        </w:rPr>
      </w:pPr>
    </w:p>
    <w:p w14:paraId="5689E13A" w14:textId="623D9397" w:rsidR="0011104F" w:rsidRPr="0011104F" w:rsidRDefault="0011104F" w:rsidP="000356B7">
      <w:pPr>
        <w:jc w:val="both"/>
        <w:rPr>
          <w:lang w:val="en-CA"/>
        </w:rPr>
      </w:pPr>
      <w:r w:rsidRPr="0011104F">
        <w:rPr>
          <w:lang w:val="en-CA"/>
        </w:rPr>
        <w:lastRenderedPageBreak/>
        <w:t xml:space="preserve">To assess the CCS calculation accuracy, accurate structural models must be accompanied by reproducible CCS measurements. To accomplish this, calibrant ions with highly reproducible experimental </w:t>
      </w:r>
      <w:r w:rsidRPr="0011104F">
        <w:rPr>
          <w:lang w:val="en-GB"/>
        </w:rPr>
        <w:t>CCS measurements were selected</w:t>
      </w:r>
      <w:r w:rsidRPr="0011104F">
        <w:rPr>
          <w:lang w:val="en-CA"/>
        </w:rPr>
        <w:t xml:space="preserve">. </w:t>
      </w:r>
      <w:r w:rsidRPr="0011104F">
        <w:rPr>
          <w:lang w:val="en-GB"/>
        </w:rPr>
        <w:t>The conformational space of these species was then mapped using the BH algorithm at the molecular mechanics level and refined using DFT.</w:t>
      </w:r>
      <w:r w:rsidRPr="0011104F">
        <w:rPr>
          <w:lang w:val="en-CA"/>
        </w:rPr>
        <w:t xml:space="preserve"> Note that all CCS values were obtained using N</w:t>
      </w:r>
      <w:r w:rsidRPr="0011104F">
        <w:rPr>
          <w:vertAlign w:val="subscript"/>
          <w:lang w:val="en-CA"/>
        </w:rPr>
        <w:t>2</w:t>
      </w:r>
      <w:r w:rsidRPr="0011104F">
        <w:rPr>
          <w:lang w:val="en-CA"/>
        </w:rPr>
        <w:t xml:space="preserve"> as a collision gas. </w:t>
      </w:r>
      <w:r w:rsidRPr="0011104F">
        <w:rPr>
          <w:lang w:val="en-GB"/>
        </w:rPr>
        <w:t xml:space="preserve">With refined structural models, multiple low-energy isomers for a given calibrant ion were submitted for CCS calculation with the new parallelized code. Figure </w:t>
      </w:r>
      <w:r w:rsidR="004B45D1">
        <w:rPr>
          <w:lang w:val="en-GB"/>
        </w:rPr>
        <w:t>1</w:t>
      </w:r>
      <w:r w:rsidRPr="0011104F">
        <w:rPr>
          <w:lang w:val="en-GB"/>
        </w:rPr>
        <w:t xml:space="preserve"> shows a contour plot of the RMSEs obtained through a comparison of experimental CCS with the Boltzmann-weighted CCS of each calibrant</w:t>
      </w:r>
      <w:r w:rsidRPr="0011104F">
        <w:rPr>
          <w:lang w:val="en-CA"/>
        </w:rPr>
        <w:t xml:space="preserve"> ion at specific values of the linear scaling parameters </w:t>
      </w:r>
      <w:proofErr w:type="spellStart"/>
      <w:r w:rsidRPr="0011104F">
        <w:rPr>
          <w:i/>
          <w:lang w:val="en-CA"/>
        </w:rPr>
        <w:t>ρ</w:t>
      </w:r>
      <w:r w:rsidRPr="0011104F">
        <w:rPr>
          <w:i/>
          <w:vertAlign w:val="subscript"/>
          <w:lang w:val="en-CA"/>
        </w:rPr>
        <w:t>dist</w:t>
      </w:r>
      <w:proofErr w:type="spellEnd"/>
      <w:r w:rsidRPr="0011104F">
        <w:rPr>
          <w:i/>
          <w:vertAlign w:val="subscript"/>
          <w:lang w:val="en-CA"/>
        </w:rPr>
        <w:t xml:space="preserve"> </w:t>
      </w:r>
      <w:r w:rsidRPr="0011104F">
        <w:rPr>
          <w:lang w:val="en-CA"/>
        </w:rPr>
        <w:t xml:space="preserve">and </w:t>
      </w:r>
      <w:proofErr w:type="spellStart"/>
      <w:r w:rsidRPr="0011104F">
        <w:rPr>
          <w:i/>
          <w:lang w:val="en-CA"/>
        </w:rPr>
        <w:t>ρ</w:t>
      </w:r>
      <w:r w:rsidRPr="0011104F">
        <w:rPr>
          <w:i/>
          <w:vertAlign w:val="subscript"/>
          <w:lang w:val="en-CA"/>
        </w:rPr>
        <w:t>ener</w:t>
      </w:r>
      <w:proofErr w:type="spellEnd"/>
      <w:r w:rsidRPr="0011104F">
        <w:rPr>
          <w:lang w:val="en-CA"/>
        </w:rPr>
        <w:t xml:space="preserve">. While numerous combinations of scaling factors return RMSEs of &lt;3 %, the combination of </w:t>
      </w:r>
      <w:proofErr w:type="spellStart"/>
      <w:r w:rsidRPr="0011104F">
        <w:rPr>
          <w:i/>
          <w:lang w:val="en-CA"/>
        </w:rPr>
        <w:t>ρ</w:t>
      </w:r>
      <w:r w:rsidRPr="0011104F">
        <w:rPr>
          <w:i/>
          <w:vertAlign w:val="subscript"/>
          <w:lang w:val="en-CA"/>
        </w:rPr>
        <w:t>dist</w:t>
      </w:r>
      <w:proofErr w:type="spellEnd"/>
      <w:r w:rsidRPr="0011104F">
        <w:rPr>
          <w:i/>
          <w:vertAlign w:val="subscript"/>
          <w:lang w:val="en-CA"/>
        </w:rPr>
        <w:t xml:space="preserve"> </w:t>
      </w:r>
      <w:r w:rsidRPr="0011104F">
        <w:rPr>
          <w:lang w:val="en-CA"/>
        </w:rPr>
        <w:t>= 0.78</w:t>
      </w:r>
      <w:r w:rsidRPr="0011104F">
        <w:rPr>
          <w:vertAlign w:val="subscript"/>
          <w:lang w:val="en-CA"/>
        </w:rPr>
        <w:t xml:space="preserve"> </w:t>
      </w:r>
      <w:r w:rsidRPr="0011104F">
        <w:rPr>
          <w:lang w:val="en-CA"/>
        </w:rPr>
        <w:t xml:space="preserve">and </w:t>
      </w:r>
      <w:proofErr w:type="spellStart"/>
      <w:r w:rsidRPr="0011104F">
        <w:rPr>
          <w:i/>
          <w:lang w:val="en-CA"/>
        </w:rPr>
        <w:t>ρ</w:t>
      </w:r>
      <w:r w:rsidRPr="0011104F">
        <w:rPr>
          <w:i/>
          <w:vertAlign w:val="subscript"/>
          <w:lang w:val="en-CA"/>
        </w:rPr>
        <w:t>ener</w:t>
      </w:r>
      <w:proofErr w:type="spellEnd"/>
      <w:r w:rsidRPr="0011104F">
        <w:rPr>
          <w:lang w:val="en-CA"/>
        </w:rPr>
        <w:t xml:space="preserve"> = 0.80 returns a minimum RMSE of 2.60 %. Note that the parallelization, benchmarking, and optimization of the </w:t>
      </w:r>
      <w:proofErr w:type="spellStart"/>
      <w:r w:rsidRPr="0011104F">
        <w:rPr>
          <w:lang w:val="en-CA"/>
        </w:rPr>
        <w:t>vdW</w:t>
      </w:r>
      <w:proofErr w:type="spellEnd"/>
      <w:r w:rsidRPr="0011104F">
        <w:rPr>
          <w:lang w:val="en-CA"/>
        </w:rPr>
        <w:t xml:space="preserve"> parameters that we report here have been conducted for CCS calculations employing the trajectory method, which is generally accepted as the ‘gold standard’ for computed CCS values.</w:t>
      </w:r>
      <w:r w:rsidRPr="0011104F">
        <w:rPr>
          <w:lang w:val="en-CA"/>
        </w:rPr>
        <w:fldChar w:fldCharType="begin" w:fldLock="1"/>
      </w:r>
      <w:r w:rsidR="006B4206">
        <w:rPr>
          <w:lang w:val="en-CA"/>
        </w:rPr>
        <w:instrText xml:space="preserve">ADDIN CSL_CITATION {"citationItems":[{"id":"ITEM-1","itemData":{"DOI":"10.1021/ac202625t","ISBN":"1520-6882 (Electronic)\\r0003-2700 (Linking)","ISSN":"00032700","PMID":"22141445","abstract":"We present the use of drug-like molecules as a traveling wave (T-wave) ion mobility (IM) calibration sample set, covering the m/z range of 122.1-609.3, the nitrogen collision cross-section (ωN 2) range of 124.5-254.3 Å 2 and the helium collision cross-section (ω He) range of 63.0-178.8 Å 2. Absolute ωN 2 and ω He values for the drug-like calibrants and two diastereomers were measured using a drift-tube instrument with radio frequency (RF) ion confinement. T-wave drift-times for the protonated diastereomers betamethasone and dexamethasone are reproducibly different. Calibration of these drift-times yields T-wave ωN 2 values of 189.4 and 190.4 Å 2, respectively. These results demonstrate the ability of T-wave IM spectrometry to differentiate diastereomers differing in ωN 2 value by only 1 Å 2, even though the resolution of these IM experiments were </w:instrText>
      </w:r>
      <w:r w:rsidR="006B4206">
        <w:rPr>
          <w:rFonts w:ascii="Cambria Math" w:hAnsi="Cambria Math" w:cs="Cambria Math"/>
          <w:lang w:val="en-CA"/>
        </w:rPr>
        <w:instrText>∼</w:instrText>
      </w:r>
      <w:r w:rsidR="006B4206">
        <w:rPr>
          <w:lang w:val="en-CA"/>
        </w:rPr>
        <w:instrText>40 (</w:instrText>
      </w:r>
      <w:r w:rsidR="006B4206">
        <w:rPr>
          <w:rFonts w:cs="Garamond"/>
          <w:lang w:val="en-CA"/>
        </w:rPr>
        <w:instrText>ω</w:instrText>
      </w:r>
      <w:r w:rsidR="006B4206">
        <w:rPr>
          <w:lang w:val="en-CA"/>
        </w:rPr>
        <w:instrText>/</w:instrText>
      </w:r>
      <w:r w:rsidR="006B4206">
        <w:rPr>
          <w:rFonts w:cs="Garamond"/>
          <w:lang w:val="en-CA"/>
        </w:rPr>
        <w:instrText>δω</w:instrText>
      </w:r>
      <w:r w:rsidR="006B4206">
        <w:rPr>
          <w:lang w:val="en-CA"/>
        </w:rPr>
        <w:instrText>). Demonstrated through density functional theory optimized geometries and ionic electrostatic surface potential analysis, the small but measurable mobility difference between the two diastereomers is mainly due to short-range van der Waals interactions with the neutral buffer gas and not long-range charge-induced dipole interactions. The experimental RF-confining drift-tube and T-wave ωN 2 values were also evaluated using a nitrogen based trajectory method, optimized for T-wave operating temperature and pressures, incorporating additional scaling factors to the Lennard-Jones potentials. Experimental ω He values were also compared to the original and optimized helium based trajectory methods. © 2011 American Chemical Society.","author":[{"dropping-particle":"","family":"Campuzano","given":"Iain","non-dropping-particle":"","parse-names":false,"suffix":""},{"dropping-particle":"","family":"Bush","given":"Matthew F.","non-dropping-particle":"","parse-names":false,"suffix":""},{"dropping-particle":"V.","family":"Robinson","given":"Carol","non-dropping-particle":"","parse-names":false,"suffix":""},{"dropping-particle":"","family":"Beaumont","given":"Claire","non-dropping-particle":"","parse-names":false,"suffix":""},{"dropping-particle":"","family":"Richardson","given":"Keith","non-dropping-particle":"","parse-names":false,"suffix":""},{"dropping-particle":"","family":"Kim","given":"Hyungjun","non-dropping-particle":"","parse-names":false,"suffix":""},{"dropping-particle":"","family":"Kim","given":"Hugh I.","non-dropping-particle":"","parse-names":false,"suffix":""}],"container-title":"Analytical Chemistry","id":"ITEM-1","issue":"2","issued":{"date-parts":[["2012"]]},"page":"1026-1033","title":"Structural characterization of drug-like compounds by ion mobility mass spectrometry: Comparison of theoretical and experimentally derived nitrogen collision cross sections","type":"article-journal","volume":"84"},"uris":["http://www.mendeley.com/documents/?uuid=c1c4d96a-0c5a-401d-a0a5-7e82b92fae24"]},{"id":"ITEM-2","itemData":{"DOI":"10.1007/s00216-016-9777-4","ISBN":"1618-2650","ISSN":"16182650","PMID":"27447695","abstract":"The first systematic and comprehensive study of the charging behaviour and effect of charge on the conformation of specifically constructed arginine-rich peptides and its significance to the N- and C-terminal basic tail regions of histone proteins was conducted using ion mobility mass spectrometry (IM-MS). Among the basic amino acids, arginine has the greatest impact on the charging behaviour and structures of gas phase ions by virtue of its high proton affinity. A close linear correlation was found between either the maximum charge, or most abundant charge state, that the peptides support and their average collision cross section (CCS) values measured by ion mobility mass spectrometry. The calculated collision cross sections for the lowest energy solution state models predicted by the PEP-FOLD algorithm using a modified MOBCAL trajectory method were found to best correlate with the values measured by IM-MS. In the case of the histone peptides, more compact folded structures, supporting less than the maximum number of charges, were observed. These results are consistent with those previously reported for histone dimers where neutralization of the charge at the basic residues of the tail regions did not affect their CCS values.","author":[{"dropping-particle":"","family":"Akashi","given":"Satoko","non-dropping-particle":"","parse-names":false,"suffix":""},{"dropping-particle":"","family":"Downard","given":"Kevin M.","non-dropping-particle":"","parse-names":false,"suffix":""}],"container-title":"Analytical and Bioanalytical Chemistry","id":"ITEM-2","issue":"24","issued":{"date-parts":[["2016"]]},"page":"6637-6648","publisher":"Analytical and Bioanalytical Chemistry","title":"Effect of charge on the conformation of highly basic peptides including the tail regions of histone proteins by ion mobility mass spectrometry","type":"article-journal","volume":"408"},"uris":["http://www.mendeley.com/documents/?uuid=df40af53-d4f1-4d7c-90e2-e1430dab3637"]},{"id":"ITEM-3","itemData":{"DOI":"10.1039/c5an02456k","ISSN":"13645528","abstract":"Electrospray ion mobility-mass spectrometry (IM-MS) data show that for some small molecules, two (or even more) ions with identical sum formula and mass, but distinct drift times are observed. In spite of showing their own unique and characteristic fragmentation spectra in MS/MS, no configurational or constitutional isomers are found to be present in solution. Instead the observation and separation of such ions appears to be inherent to their gas-phase behaviour during ion mobility experiments. The origin of multiple drift times is thought to be the result of protonation site isomers ('protomers'). Although some important properties of protomers have been highlighted by other studies, correlating the experimental collision cross-sections (CCSs) with calculated values has proven to be a major difficulty. As a model, this study uses the pharmaceutical compound melphalan and a number of related molecules with alternative (gas-phase) protonation sites. Our study combines density functional theory (DFT) calculations with modified MobCal methods (e.g. nitrogen-based Trajectory Method algorithm) for the calculation of theoretical CCS values. Calculated structures can be linked to experimentally observed signals, and a strong correlation is found between the difference of the calculated dipole moments of the protomer pairs and their experimental CCS separation.","author":[{"dropping-particle":"","family":"Boschmans","given":"Jasper","non-dropping-particle":"","parse-names":false,"suffix":""},{"dropping-particle":"","family":"Jacobs","given":"Sam","non-dropping-particle":"","parse-names":false,"suffix":""},{"dropping-particle":"","family":"Williams","given":"Jonathan P.","non-dropping-particle":"","parse-names":false,"suffix":""},{"dropping-particle":"","family":"Palmer","given":"Martin","non-dropping-particle":"","parse-names":false,"suffix":""},{"dropping-particle":"","family":"Richardson","given":"Keith","non-dropping-particle":"","parse-names":false,"suffix":""},{"dropping-particle":"","family":"Giles","given":"Kevin","non-dropping-particle":"","parse-names":false,"suffix":""},{"dropping-particle":"","family":"Lapthorn","given":"Cris","non-dropping-particle":"","parse-names":false,"suffix":""},{"dropping-particle":"","family":"Herrebout","given":"Wouter A.","non-dropping-particle":"","parse-names":false,"suffix":""},{"dropping-particle":"","family":"Lemière","given":"Filip","non-dropping-particle":"","parse-names":false,"suffix":""},{"dropping-particle":"","family":"Sobott","given":"Frank","non-dropping-particle":"","parse-names":false,"suffix":""}],"container-title":"Analyst","id":"ITEM-3","issue":"13","issued":{"date-parts":[["2016"]]},"page":"4044-4054","publisher":"Royal Society of Chemistry","title":"Combining density functional theory (DFT) and collision cross-section (CCS) calculations to analyze the gas-phase behaviour of small molecules and their protonation site isomers","type":"article-journal","volume":"141"},"uris":["http://www.mendeley.com/documents/?uuid=ae1b31bc-7be2-4a3b-bbe1-c2dca39f3512"]},{"id":"ITEM-4","itemData":{"DOI":"10.1016/j.aca.2016.04.020","ISSN":"18734324","abstract":"The combination of ion mobility and mass spectrometry (MS) affords significant improvements over conventional MS/MS, especially in the characterization of isomeric metabolites due to the differences in their collision cross sections (CCS). Experimentally obtained CCS values are typically matched with theoretical CCS values from Trajectory Method (TM) and/or Projection Approximation (PA) calculations. In this paper, predictive models for CCS of deprotonated phenolics were developed using molecular descriptors and chemometric tools, stepwise multiple linear regression (SMLR), principal components regression (PCR), and partial least squares regression (PLS). A total of 102 molecular descriptors were generated and reduced to 28 after employing a feature selection tool, composed of mass, topological descriptors, Jurs descriptors and shadow indices. Therefore, the generated models considered the effects of mass, 3D conformation and partial charge distribution on CCS, which are the main parameters for either TM or PA (only 3D conformation) calculations. All three techniques yielded highly predictive models for both the training (R2SMLR = 0.9911; R2PCR = 0.9917; R2PLS = 0.9918) and validation datasets (R2SMLR = 0.9489; R2PCR = 0.9761; R2PLS = 0.9760). Also, the high cross validated R2 values indicate that the generated models are robust and highly predictive (Q2SMLR = 0.9859; Q2PCR = 0.9748; Q2PLS = 0.9760). The predictions were also very comparable to the results from TM calculations using modified mobcal (N2). Most importantly, this method offered a rapid (&lt;10 min) alternative to TM calculations without compromising predictive ability. These methods could therefore be used in routine analysis and could be easily integrated to metabolite identification platforms.","author":[{"dropping-particle":"","family":"Gonzales","given":"Gerard Bryan","non-dropping-particle":"","parse-names":false,"suffix":""},{"dropping-particle":"","family":"Smagghe","given":"Guy","non-dropping-particle":"","parse-names":false,"suffix":""},{"dropping-particle":"","family":"Coelus","given":"Sofie","non-dropping-particle":"","parse-names":false,"suffix":""},{"dropping-particle":"","family":"Adriaenssens","given":"Dieter","non-dropping-particle":"","parse-names":false,"suffix":""},{"dropping-particle":"","family":"Winter","given":"Karel","non-dropping-particle":"De","parse-names":false,"suffix":""},{"dropping-particle":"","family":"Desmet","given":"Tom","non-dropping-particle":"","parse-names":false,"suffix":""},{"dropping-particle":"","family":"Raes","given":"Katleen","non-dropping-particle":"","parse-names":false,"suffix":""},{"dropping-particle":"","family":"Camp","given":"John","non-dropping-particle":"Van","parse-names":false,"suffix":""}],"container-title":"Analytica Chimica Acta","id":"ITEM-4","issued":{"date-parts":[["2016"]]},"page":"68-76","title":"Collision cross section prediction of deprotonated phenolics in a travelling-wave ion mobility spectrometer using molecular descriptors and chemometrics","type":"article-journal","volume":"924"},"uris":["http://www.mendeley.com/documents/?uuid=28ec238c-9283-4801-8e7a-b9cec878e0a6"]},{"id":"ITEM-5","itemData":{"DOI":"10.1039/c5an00411j","ISBN":"0003-2654","ISSN":"13645528","PMID":"26131453","abstract":"Ion mobility mass spectrometry is used to measure the drift-time of an ion. The drift-time of an ion can be used to calculate the collision cross-section (CCS) in travelling wave ion mobility (e.g. Waters Synapt and Vion instruments) or directly determine the experimental CCS (e.g. Agilent 6560 instrument and many drift-tube instruments). A comparison of the experimental CCS and theoretical CCS values obtained from trajectory method He(g) parameterised MOBCAL and N2(g) parameterised MOBCAL software, for a range of 20 'small molecules' is presented. This study utilises density functional theory B3LYP methods and the 6-31G+(d,p) basis set to calculate theoretical CCS values. This study seeks to assess the accuracy of a common procedure using CCS calibration with poly-(d/l)-alanine derived from drift-cell measurements and the original release of MOBCAL software and compare it with recent improvements with a drug-like molecule calibration set and a revision of MOBCAL parameterised for N2(g) drift gas. This study represents one of the first quantitative evaluations of the agreement between theoretical CCS and experimental CCS values for a range of small pharmaceutically relevant molecules using travelling wave ion mobility mass spectrometry. Accurate theoretical CCS may allow optimisation of ion mobility separations in silico, provide CCS databases that can confirm structures without the need for alternative analytical tools such as nuclear magnetic resonance spectroscopy (NMR) and assignment of unknowns and positional isomers without requiring reference materials.","author":[{"dropping-particle":"","family":"Lapthorn","given":"Cris","non-dropping-particle":"","parse-names":false,"suffix":""},{"dropping-particle":"","family":"Pullen","given":"Frank S.","non-dropping-particle":"","parse-names":false,"suffix":""},{"dropping-particle":"","family":"Chowdhry","given":"Babur Z.","non-dropping-particle":"","parse-names":false,"suffix":""},{"dropping-particle":"","family":"Wright","given":"Patricia","non-dropping-particle":"","parse-names":false,"suffix":""},{"dropping-particle":"","family":"Perkins","given":"George L.","non-dropping-particle":"","parse-names":false,"suffix":""},{"dropping-particle":"","family":"Heredia","given":"Yanira","non-dropping-particle":"","parse-names":false,"suffix":""}],"container-title":"Analyst","id":"ITEM-5","issue":"20","issued":{"date-parts":[["2015"]]},"page":"6814-6823","publisher":"Royal Society of Chemistry","title":"How useful is molecular modelling in combination with ion mobility mass spectrometry for 'small molecule' ion mobility collision cross-sections?","type":"article-journal","volume":"140"},"uris":["http://www.mendeley.com/documents/?uuid=2aa3a028-34a6-4a2f-9c10-6cea1060843c"]},{"id":"ITEM-6","itemData":{"DOI":"10.1002/mas","ISBN":"0019-5189","ISSN":"00195189","PMID":"20329703","abstract":"Metabolomics is one omics approach that can be used to acquire comprehensive information on the composition of a metabolite pool to provide a functional screen of the cellular state. Studies of the plant metabolome include analysis of a wide range of chemical species with diverse physical properties, from ionic inorganic compounds to biochemically derived hydrophilic carbohydrates, organic and amino acids, and a range of hydrophobic lipid-related compounds. This complexitiy brings huge challenges to the analytical technologies employed in current plant metabolomics programs, and powerful analytical tools are required for the separation and characterization of this extremely high compound diversity present in biological sample matrices. The use of mass spectrometry (MS)-based analytical platforms to profile stress-responsive metabolites that allow some plants to adapt to adverse environmental conditions is fundamental in current plant biotechnology research programs for the understanding and development of stress-tolerant plants. In this review, we describe recent applications of metabolomics and emphasize its increasing application to study plant responses to environmental (stress-) factors, including drought, salt, low oxygen caused by waterlogging or flooding of the soil, temperature, light and oxidative stress (or a combination of them). Advances in understanding the global changes occurring in plant metabolism under specific abiotic stress conditions are fundamental to enhance plant fitness and increase stress tolerance.","author":[{"dropping-particle":"","family":"Weitzel","given":"Karl-michael","non-dropping-particle":"","parse-names":false,"suffix":""},{"dropping-particle":"","family":"Chemie","given":"Fachbereich","non-dropping-particle":"","parse-names":false,"suffix":""},{"dropping-particle":"","family":"Rev","given":"Mass Spec","non-dropping-particle":"","parse-names":false,"suffix":""},{"dropping-particle":"","family":"Introduction","given":"I","non-dropping-particle":"","parse-names":false,"suffix":""},{"dropping-particle":"","family":"Reference","given":"Chemical","non-dropping-particle":"","parse-names":false,"suffix":""}],"container-title":"WHO Library Cataloguing-in-Publication Data","id":"ITEM-6","issue":"i","issued":{"date-parts":[["2011"]]},"page":"221-235","title":"Bond-Dissociation Energies of Cations — Pushing the","type":"article-journal","volume":"32"},"uris":["http://www.mendeley.com/documents/?uuid=fe2e6e3b-811f-4d56-bc3f-5ed7fe77783f"]}],"mendeley":{"formattedCitation":"&lt;sup&gt;8,19–23&lt;/sup&gt;","plainTextFormattedCitation":"8,19–23","previouslyFormattedCitation":"&lt;sup&gt;8,19–23&lt;/sup&gt;"},"properties":{"noteIndex":0},"schema":"https://github.com/citation-style-language/schema/raw/master/csl-citation.json"}</w:instrText>
      </w:r>
      <w:r w:rsidRPr="0011104F">
        <w:rPr>
          <w:lang w:val="en-CA"/>
        </w:rPr>
        <w:fldChar w:fldCharType="separate"/>
      </w:r>
      <w:r w:rsidR="009E64B1" w:rsidRPr="009E64B1">
        <w:rPr>
          <w:noProof/>
          <w:vertAlign w:val="superscript"/>
          <w:lang w:val="en-CA"/>
        </w:rPr>
        <w:t>8,19–23</w:t>
      </w:r>
      <w:r w:rsidRPr="0011104F">
        <w:rPr>
          <w:lang w:val="en-CA"/>
        </w:rPr>
        <w:fldChar w:fldCharType="end"/>
      </w:r>
      <w:r w:rsidRPr="0011104F">
        <w:rPr>
          <w:lang w:val="en-CA"/>
        </w:rPr>
        <w:t xml:space="preserve">  Further to this, the option of utilizing helium as the collision partner is available in MobCal-MPI, but we have not completed an extensive benchmarking or refitting of scaling parameters beyond the previous work of Lee et al.</w:t>
      </w:r>
      <w:r w:rsidRPr="0011104F">
        <w:rPr>
          <w:lang w:val="en-CA"/>
        </w:rPr>
        <w:fldChar w:fldCharType="begin" w:fldLock="1"/>
      </w:r>
      <w:r w:rsidR="006B4206">
        <w:rPr>
          <w:lang w:val="en-CA"/>
        </w:rPr>
        <w:instrText>ADDIN CSL_CITATION {"citationItems":[{"id":"ITEM-1","itemData":{"DOI":"10.1039/c7an01276d","ISSN":"13645528","PMID":"29034911","abstract":"Ion mobility mass spectrometry (IM-MS) has become an important tool for the structural investigation of ions in the gas phase. Accurate theoretical evaluation of ion collision cross sections (CCSs) is essential for the effective application of IM-MS in structural studies. However, current theoretical tools have limitations in accurately describing a broad range of ions from small molecules to macromolecules. Significant difficulties in developing theoretical tools for CCS calculations are associated with obtaining high-quality experimental data and molecular models. In this study, we present a general CCS calculation method by employing two drift-tube IM-MS (DTIM-MS) instruments and thorough molecular modeling procedures. It is demonstrated that an appropriate description of the van der Waals (vdW) interactions is important for accurate CCS calculations in helium drift gas. By utilizing the vdW potentials from molecular mechanics force fields, it is shown that both the appropriate vdW potential-forms and their parameters are necessary for the highly reliable CCS predictions of small molecules. We further show that specific characteristics of the vdW interaction potential become less influential on the calculated CCS with increasing ion size, and that the calculated CCS values for the macromolecules converge to the values at the hard-sphere limit. Based on these results, a general CCS calculation method is presented that can be applied to ions of various sizes and compositions for the gas-phase structural studies.","author":[{"dropping-particle":"","family":"Lee","given":"Jong Wha","non-dropping-particle":"","parse-names":false,"suffix":""},{"dropping-particle":"","family":"Davidson","given":"Kimberly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I.","non-dropping-particle":"","parse-names":false,"suffix":""}],"container-title":"Analyst","id":"ITEM-1","issue":"22","issued":{"date-parts":[["2017"]]},"page":"4289-4298","publisher":"Royal Society of Chemistry","title":"Collision cross sections and ion structures: Development of a general calculation method via high-quality ion mobility measurements and theoretical modeling","type":"article-journal","volume":"142"},"uris":["http://www.mendeley.com/documents/?uuid=c99b8672-8a93-47f5-9241-a63cc58844c6"]}],"mendeley":{"formattedCitation":"&lt;sup&gt;5&lt;/sup&gt;","plainTextFormattedCitation":"5","previouslyFormattedCitation":"&lt;sup&gt;5&lt;/sup&gt;"},"properties":{"noteIndex":0},"schema":"https://github.com/citation-style-language/schema/raw/master/csl-citation.json"}</w:instrText>
      </w:r>
      <w:r w:rsidRPr="0011104F">
        <w:rPr>
          <w:lang w:val="en-CA"/>
        </w:rPr>
        <w:fldChar w:fldCharType="separate"/>
      </w:r>
      <w:r w:rsidR="009E64B1" w:rsidRPr="009E64B1">
        <w:rPr>
          <w:noProof/>
          <w:vertAlign w:val="superscript"/>
          <w:lang w:val="en-CA"/>
        </w:rPr>
        <w:t>5</w:t>
      </w:r>
      <w:r w:rsidRPr="0011104F">
        <w:rPr>
          <w:lang w:val="en-CA"/>
        </w:rPr>
        <w:fldChar w:fldCharType="end"/>
      </w:r>
      <w:r w:rsidRPr="0011104F">
        <w:rPr>
          <w:lang w:val="en-CA"/>
        </w:rPr>
        <w:t xml:space="preserve"> </w:t>
      </w:r>
    </w:p>
    <w:p w14:paraId="5C72BD96" w14:textId="77194304" w:rsidR="0011104F" w:rsidRDefault="0011104F" w:rsidP="000356B7">
      <w:pPr>
        <w:jc w:val="both"/>
        <w:rPr>
          <w:lang w:val="en-CA"/>
        </w:rPr>
      </w:pPr>
    </w:p>
    <w:p w14:paraId="1F2CFB26" w14:textId="7C473515" w:rsidR="0011104F" w:rsidRDefault="0007689A" w:rsidP="006E1E08">
      <w:pPr>
        <w:jc w:val="center"/>
        <w:rPr>
          <w:lang w:val="en-CA"/>
        </w:rPr>
      </w:pPr>
      <w:r>
        <w:rPr>
          <w:b/>
          <w:noProof/>
          <w:lang w:val="en-CA"/>
        </w:rPr>
        <w:drawing>
          <wp:inline distT="0" distB="0" distL="0" distR="0" wp14:anchorId="79673A8A" wp14:editId="37C8B006">
            <wp:extent cx="4943475" cy="494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4352" cy="4944352"/>
                    </a:xfrm>
                    <a:prstGeom prst="rect">
                      <a:avLst/>
                    </a:prstGeom>
                  </pic:spPr>
                </pic:pic>
              </a:graphicData>
            </a:graphic>
          </wp:inline>
        </w:drawing>
      </w:r>
    </w:p>
    <w:p w14:paraId="52CC6E79" w14:textId="77777777" w:rsidR="0007689A" w:rsidRPr="00BB0102" w:rsidRDefault="0007689A" w:rsidP="000356B7">
      <w:pPr>
        <w:jc w:val="both"/>
        <w:rPr>
          <w:lang w:val="en-CA"/>
        </w:rPr>
      </w:pPr>
    </w:p>
    <w:p w14:paraId="77305C6B" w14:textId="0830282D" w:rsidR="004B45D1" w:rsidRPr="004B45D1" w:rsidRDefault="004B45D1" w:rsidP="000356B7">
      <w:pPr>
        <w:jc w:val="both"/>
        <w:rPr>
          <w:lang w:val="en-CA"/>
        </w:rPr>
      </w:pPr>
      <w:r w:rsidRPr="004B45D1">
        <w:rPr>
          <w:b/>
          <w:lang w:val="en-CA"/>
        </w:rPr>
        <w:t xml:space="preserve">Figure </w:t>
      </w:r>
      <w:r>
        <w:rPr>
          <w:b/>
          <w:lang w:val="en-CA"/>
        </w:rPr>
        <w:t>1</w:t>
      </w:r>
      <w:r w:rsidRPr="004B45D1">
        <w:rPr>
          <w:b/>
          <w:lang w:val="en-CA"/>
        </w:rPr>
        <w:t>.</w:t>
      </w:r>
      <w:r w:rsidRPr="004B45D1">
        <w:rPr>
          <w:lang w:val="en-CA"/>
        </w:rPr>
        <w:t xml:space="preserve"> Contour plot indicating RMSE of the calibration set at specific combinations of the scaling parameters </w:t>
      </w:r>
      <w:proofErr w:type="spellStart"/>
      <w:r w:rsidRPr="004B45D1">
        <w:rPr>
          <w:i/>
          <w:lang w:val="en-CA"/>
        </w:rPr>
        <w:t>ρ</w:t>
      </w:r>
      <w:r w:rsidRPr="004B45D1">
        <w:rPr>
          <w:i/>
          <w:vertAlign w:val="subscript"/>
          <w:lang w:val="en-CA"/>
        </w:rPr>
        <w:t>dist</w:t>
      </w:r>
      <w:proofErr w:type="spellEnd"/>
      <w:r w:rsidRPr="004B45D1">
        <w:rPr>
          <w:i/>
          <w:lang w:val="en-CA"/>
        </w:rPr>
        <w:t xml:space="preserve"> </w:t>
      </w:r>
      <w:r w:rsidRPr="004B45D1">
        <w:rPr>
          <w:lang w:val="en-CA"/>
        </w:rPr>
        <w:t xml:space="preserve">and </w:t>
      </w:r>
      <w:proofErr w:type="spellStart"/>
      <w:r w:rsidRPr="004B45D1">
        <w:rPr>
          <w:i/>
          <w:lang w:val="en-CA"/>
        </w:rPr>
        <w:t>ρ</w:t>
      </w:r>
      <w:r w:rsidRPr="004B45D1">
        <w:rPr>
          <w:i/>
          <w:vertAlign w:val="subscript"/>
          <w:lang w:val="en-CA"/>
        </w:rPr>
        <w:t>ener</w:t>
      </w:r>
      <w:proofErr w:type="spellEnd"/>
      <w:r w:rsidRPr="004B45D1">
        <w:rPr>
          <w:lang w:val="en-CA"/>
        </w:rPr>
        <w:t>.</w:t>
      </w:r>
    </w:p>
    <w:p w14:paraId="2A2B64DD" w14:textId="4B9A8AD1" w:rsidR="004B45D1" w:rsidRDefault="00E077D8" w:rsidP="000356B7">
      <w:pPr>
        <w:pStyle w:val="Heading2"/>
        <w:numPr>
          <w:ilvl w:val="1"/>
          <w:numId w:val="7"/>
        </w:numPr>
        <w:jc w:val="both"/>
      </w:pPr>
      <w:bookmarkStart w:id="7" w:name="_Toc66269158"/>
      <w:r>
        <w:lastRenderedPageBreak/>
        <w:t>Assessing the accuracy of MobCal-MPI</w:t>
      </w:r>
      <w:bookmarkEnd w:id="7"/>
      <w:r>
        <w:t xml:space="preserve"> </w:t>
      </w:r>
    </w:p>
    <w:p w14:paraId="02CC5D81" w14:textId="60049A40" w:rsidR="0019345F" w:rsidRPr="0019345F" w:rsidRDefault="0019345F" w:rsidP="000356B7">
      <w:pPr>
        <w:pStyle w:val="Heading3"/>
        <w:jc w:val="both"/>
      </w:pPr>
      <w:bookmarkStart w:id="8" w:name="_Toc66269159"/>
      <w:r>
        <w:t>2.3.1 – Accuracy of the trajectory method</w:t>
      </w:r>
      <w:bookmarkEnd w:id="8"/>
    </w:p>
    <w:p w14:paraId="3CF628C6" w14:textId="77777777" w:rsidR="00E077D8" w:rsidRPr="00E077D8" w:rsidRDefault="00E077D8" w:rsidP="000356B7">
      <w:pPr>
        <w:jc w:val="both"/>
      </w:pPr>
    </w:p>
    <w:p w14:paraId="76915437" w14:textId="1B2EEB38" w:rsidR="0010393E" w:rsidRPr="0010393E" w:rsidRDefault="0010393E" w:rsidP="000356B7">
      <w:pPr>
        <w:jc w:val="both"/>
        <w:rPr>
          <w:lang w:val="en-CA"/>
        </w:rPr>
      </w:pPr>
      <w:r w:rsidRPr="0010393E">
        <w:rPr>
          <w:lang w:val="en-CA"/>
        </w:rPr>
        <w:t xml:space="preserve">Empirical optimization methods are often accompanied by systematic bias towards the calibration set, even if the calibration set encompasses a structurally diverse set of compounds. Thus, it is necessary to test our scaled parameters on an equally diverse chemical set that does not contain compounds found in the calibration set. To this end, we constructed a validation set consisting of 50 compounds from the same compendiums, which fall within 8 molecular </w:t>
      </w:r>
      <w:proofErr w:type="spellStart"/>
      <w:r w:rsidRPr="0010393E">
        <w:rPr>
          <w:lang w:val="en-CA"/>
        </w:rPr>
        <w:t>superclasses</w:t>
      </w:r>
      <w:proofErr w:type="spellEnd"/>
      <w:r w:rsidRPr="0010393E">
        <w:rPr>
          <w:lang w:val="en-CA"/>
        </w:rPr>
        <w:t xml:space="preserve"> and 18 molecular classes based on </w:t>
      </w:r>
      <w:proofErr w:type="spellStart"/>
      <w:r w:rsidRPr="0010393E">
        <w:rPr>
          <w:lang w:val="en-CA"/>
        </w:rPr>
        <w:t>ClassyFire</w:t>
      </w:r>
      <w:proofErr w:type="spellEnd"/>
      <w:r w:rsidRPr="0010393E">
        <w:rPr>
          <w:lang w:val="en-CA"/>
        </w:rPr>
        <w:t xml:space="preserve"> assignment (Figure S1). Figures </w:t>
      </w:r>
      <w:r w:rsidR="00123B2F">
        <w:rPr>
          <w:lang w:val="en-CA"/>
        </w:rPr>
        <w:t>2</w:t>
      </w:r>
      <w:r w:rsidRPr="0010393E">
        <w:rPr>
          <w:lang w:val="en-CA"/>
        </w:rPr>
        <w:t xml:space="preserve">A and </w:t>
      </w:r>
      <w:r w:rsidR="00123B2F">
        <w:rPr>
          <w:lang w:val="en-CA"/>
        </w:rPr>
        <w:t>2</w:t>
      </w:r>
      <w:r w:rsidRPr="0010393E">
        <w:rPr>
          <w:lang w:val="en-CA"/>
        </w:rPr>
        <w:t xml:space="preserve">B show the correlations between calculated and measured CCS for both the calibration and validation sets; CCS calculations for both sets return excellent accuracy (2.60 % and 2.31 % RMSE, respectively) and no outliers can be readily identified. </w:t>
      </w:r>
    </w:p>
    <w:p w14:paraId="7E194E14" w14:textId="3FC7831A" w:rsidR="0007689A" w:rsidRDefault="0007689A" w:rsidP="000356B7">
      <w:pPr>
        <w:jc w:val="both"/>
        <w:rPr>
          <w:lang w:val="en-GB"/>
        </w:rPr>
      </w:pPr>
    </w:p>
    <w:p w14:paraId="63FD4473" w14:textId="72027E16" w:rsidR="0010393E" w:rsidRDefault="00123B2F" w:rsidP="006E1E08">
      <w:pPr>
        <w:jc w:val="center"/>
        <w:rPr>
          <w:lang w:val="en-GB"/>
        </w:rPr>
      </w:pPr>
      <w:r>
        <w:rPr>
          <w:noProof/>
          <w:lang w:val="en-CA"/>
        </w:rPr>
        <w:drawing>
          <wp:inline distT="0" distB="0" distL="0" distR="0" wp14:anchorId="680B30FE" wp14:editId="4024384C">
            <wp:extent cx="3624284" cy="498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2610" cy="4993019"/>
                    </a:xfrm>
                    <a:prstGeom prst="rect">
                      <a:avLst/>
                    </a:prstGeom>
                  </pic:spPr>
                </pic:pic>
              </a:graphicData>
            </a:graphic>
          </wp:inline>
        </w:drawing>
      </w:r>
    </w:p>
    <w:p w14:paraId="64ABFB6A" w14:textId="77777777" w:rsidR="00123B2F" w:rsidRDefault="00123B2F" w:rsidP="000356B7">
      <w:pPr>
        <w:jc w:val="both"/>
        <w:rPr>
          <w:lang w:val="en-GB"/>
        </w:rPr>
      </w:pPr>
    </w:p>
    <w:p w14:paraId="72D14593" w14:textId="55220A93" w:rsidR="00B11BAF" w:rsidRDefault="00B11BAF" w:rsidP="000356B7">
      <w:pPr>
        <w:jc w:val="both"/>
        <w:rPr>
          <w:lang w:val="en-CA"/>
        </w:rPr>
      </w:pPr>
      <w:r w:rsidRPr="00B11BAF">
        <w:rPr>
          <w:b/>
          <w:lang w:val="en-CA"/>
        </w:rPr>
        <w:t xml:space="preserve">Figure </w:t>
      </w:r>
      <w:r>
        <w:rPr>
          <w:b/>
          <w:lang w:val="en-CA"/>
        </w:rPr>
        <w:t>2</w:t>
      </w:r>
      <w:r w:rsidRPr="00B11BAF">
        <w:rPr>
          <w:b/>
          <w:lang w:val="en-CA"/>
        </w:rPr>
        <w:t xml:space="preserve">. </w:t>
      </w:r>
      <w:r w:rsidRPr="00B11BAF">
        <w:rPr>
          <w:lang w:val="en-CA"/>
        </w:rPr>
        <w:t xml:space="preserve">Comparison of </w:t>
      </w:r>
      <w:r>
        <w:rPr>
          <w:lang w:val="en-CA"/>
        </w:rPr>
        <w:t xml:space="preserve">the calculated </w:t>
      </w:r>
      <w:r w:rsidRPr="00B11BAF">
        <w:rPr>
          <w:lang w:val="en-CA"/>
        </w:rPr>
        <w:t xml:space="preserve">Boltzmann-weighted CCSs </w:t>
      </w:r>
      <w:r>
        <w:rPr>
          <w:lang w:val="en-CA"/>
        </w:rPr>
        <w:t xml:space="preserve">using MobCal-MPI </w:t>
      </w:r>
      <w:r w:rsidRPr="00B11BAF">
        <w:rPr>
          <w:lang w:val="en-CA"/>
        </w:rPr>
        <w:t>from the calibration set (</w:t>
      </w:r>
      <w:r w:rsidRPr="00B11BAF">
        <w:rPr>
          <w:b/>
          <w:lang w:val="en-CA"/>
        </w:rPr>
        <w:t>A</w:t>
      </w:r>
      <w:r w:rsidRPr="00B11BAF">
        <w:rPr>
          <w:lang w:val="en-CA"/>
        </w:rPr>
        <w:t>) and validation set (</w:t>
      </w:r>
      <w:r w:rsidRPr="00B11BAF">
        <w:rPr>
          <w:b/>
          <w:lang w:val="en-CA"/>
        </w:rPr>
        <w:t>B</w:t>
      </w:r>
      <w:r w:rsidRPr="00B11BAF">
        <w:rPr>
          <w:lang w:val="en-CA"/>
        </w:rPr>
        <w:t xml:space="preserve">) to experiment. </w:t>
      </w:r>
    </w:p>
    <w:p w14:paraId="70224271" w14:textId="4E8F3ACA" w:rsidR="008E495D" w:rsidRDefault="008E495D" w:rsidP="000356B7">
      <w:pPr>
        <w:jc w:val="both"/>
        <w:rPr>
          <w:lang w:val="en-CA"/>
        </w:rPr>
      </w:pPr>
      <w:r w:rsidRPr="008E495D">
        <w:rPr>
          <w:lang w:val="en-CA"/>
        </w:rPr>
        <w:lastRenderedPageBreak/>
        <w:t>An additional factor regarding the accuracy of the CCS calculations stems from the trajectory method itself. To reiterate, the CCS depends on the orientation of the molecule relative to the buffer gas, the relative impact velocity of the buffer gas, and the scattering angle. Each of these are evaluated through repeated simulations of the collision trajectories between the ion and gas molecules, where the user can specify a definitive number of velocity and impact parameter (scattering angle) integrations to be performed. The number of velocity (</w:t>
      </w:r>
      <w:proofErr w:type="spellStart"/>
      <w:r w:rsidRPr="008E495D">
        <w:rPr>
          <w:i/>
          <w:lang w:val="en-CA"/>
        </w:rPr>
        <w:t>inp</w:t>
      </w:r>
      <w:proofErr w:type="spellEnd"/>
      <w:r w:rsidRPr="008E495D">
        <w:rPr>
          <w:lang w:val="en-CA"/>
        </w:rPr>
        <w:t>) and impact parameter (</w:t>
      </w:r>
      <w:r w:rsidRPr="008E495D">
        <w:rPr>
          <w:i/>
          <w:lang w:val="en-CA"/>
        </w:rPr>
        <w:t>imp</w:t>
      </w:r>
      <w:r w:rsidRPr="008E495D">
        <w:rPr>
          <w:lang w:val="en-CA"/>
        </w:rPr>
        <w:t>) integrations could potentially be optimized, but it is useful to constrain the number of integration points such that they can be efficiently distributed across parallel architecture. For example, the recommended number of points for velocity integration is 40, but this does not scale well with traditional number of cores commonly employed (</w:t>
      </w:r>
      <w:r w:rsidRPr="008E495D">
        <w:rPr>
          <w:i/>
          <w:lang w:val="en-CA"/>
        </w:rPr>
        <w:t>i.e.</w:t>
      </w:r>
      <w:r w:rsidRPr="008E495D">
        <w:rPr>
          <w:lang w:val="en-CA"/>
        </w:rPr>
        <w:t xml:space="preserve">, 8 or 16 cores). For that reason, we recommend that 48 points of velocity integration are used for even distribution across cores. </w:t>
      </w:r>
    </w:p>
    <w:p w14:paraId="67CF3232" w14:textId="77777777" w:rsidR="009E64B1" w:rsidRDefault="009E64B1" w:rsidP="000356B7">
      <w:pPr>
        <w:jc w:val="both"/>
        <w:rPr>
          <w:lang w:val="en-CA"/>
        </w:rPr>
      </w:pPr>
    </w:p>
    <w:p w14:paraId="37D105C1" w14:textId="68D68E1C" w:rsidR="0019345F" w:rsidRDefault="0019345F" w:rsidP="000356B7">
      <w:pPr>
        <w:jc w:val="both"/>
        <w:rPr>
          <w:lang w:val="en-CA"/>
        </w:rPr>
      </w:pPr>
    </w:p>
    <w:p w14:paraId="235A675B" w14:textId="074F30AF" w:rsidR="0019345F" w:rsidRPr="0019345F" w:rsidRDefault="0019345F" w:rsidP="000356B7">
      <w:pPr>
        <w:pStyle w:val="Heading3"/>
        <w:jc w:val="both"/>
      </w:pPr>
      <w:bookmarkStart w:id="9" w:name="_Toc66269160"/>
      <w:r>
        <w:t>2.3.2 – Influence of trajectory method parameters on calculated CCS accuracy</w:t>
      </w:r>
      <w:bookmarkEnd w:id="9"/>
      <w:r>
        <w:t xml:space="preserve"> </w:t>
      </w:r>
    </w:p>
    <w:p w14:paraId="0A16AF94" w14:textId="77777777" w:rsidR="0019345F" w:rsidRPr="008E495D" w:rsidRDefault="0019345F" w:rsidP="000356B7">
      <w:pPr>
        <w:jc w:val="both"/>
        <w:rPr>
          <w:lang w:val="en-CA"/>
        </w:rPr>
      </w:pPr>
    </w:p>
    <w:p w14:paraId="2AA6B4DB" w14:textId="66B1E3BF" w:rsidR="00D85536" w:rsidRPr="00D85536" w:rsidRDefault="00D85536" w:rsidP="000356B7">
      <w:pPr>
        <w:jc w:val="both"/>
        <w:rPr>
          <w:lang w:val="en-CA"/>
        </w:rPr>
      </w:pPr>
      <w:r w:rsidRPr="00D85536">
        <w:rPr>
          <w:lang w:val="en-CA"/>
        </w:rPr>
        <w:t xml:space="preserve">To investigate the effect of changing the frequency of impact parameter integration, we calculated the CCS of the validation set using 112, 256, 512, 752, and 1008 </w:t>
      </w:r>
      <w:r w:rsidRPr="00D85536">
        <w:rPr>
          <w:i/>
          <w:lang w:val="en-CA"/>
        </w:rPr>
        <w:t>imp</w:t>
      </w:r>
      <w:r w:rsidRPr="00D85536">
        <w:rPr>
          <w:lang w:val="en-CA"/>
        </w:rPr>
        <w:t xml:space="preserve"> integration points. The results of this investigation are plotted in Figure </w:t>
      </w:r>
      <w:r w:rsidR="008438EF">
        <w:rPr>
          <w:lang w:val="en-CA"/>
        </w:rPr>
        <w:t>3</w:t>
      </w:r>
      <w:r w:rsidRPr="00D85536">
        <w:rPr>
          <w:lang w:val="en-CA"/>
        </w:rPr>
        <w:t xml:space="preserve">, which shows that CCS values are relatively unaffected by the choice of </w:t>
      </w:r>
      <w:r w:rsidRPr="00D85536">
        <w:rPr>
          <w:i/>
          <w:lang w:val="en-CA"/>
        </w:rPr>
        <w:t>imp</w:t>
      </w:r>
      <w:r w:rsidRPr="00D85536">
        <w:rPr>
          <w:lang w:val="en-CA"/>
        </w:rPr>
        <w:t xml:space="preserve"> integration frequency (RMSE varies between 2.20 % and 2.36 %). However, significant variance in a single CCS calculation is observed when</w:t>
      </w:r>
      <w:r w:rsidRPr="00D85536">
        <w:rPr>
          <w:i/>
          <w:lang w:val="en-CA"/>
        </w:rPr>
        <w:t xml:space="preserve"> imp</w:t>
      </w:r>
      <w:r w:rsidRPr="00D85536">
        <w:rPr>
          <w:lang w:val="en-CA"/>
        </w:rPr>
        <w:t xml:space="preserve"> is set below 500 points. This is somewhat concerning for prior parameterization work, which employed 25 </w:t>
      </w:r>
      <w:r w:rsidRPr="00D85536">
        <w:rPr>
          <w:rFonts w:ascii="Times New Roman" w:hAnsi="Times New Roman"/>
          <w:lang w:val="en-CA"/>
        </w:rPr>
        <w:t>‒</w:t>
      </w:r>
      <w:r w:rsidRPr="00D85536">
        <w:rPr>
          <w:lang w:val="en-CA"/>
        </w:rPr>
        <w:t xml:space="preserve"> 100 </w:t>
      </w:r>
      <w:r w:rsidRPr="00D85536">
        <w:rPr>
          <w:i/>
          <w:lang w:val="en-CA"/>
        </w:rPr>
        <w:t>imp</w:t>
      </w:r>
      <w:r w:rsidRPr="00D85536">
        <w:rPr>
          <w:lang w:val="en-CA"/>
        </w:rPr>
        <w:t xml:space="preserve"> integration points.</w:t>
      </w:r>
      <w:r w:rsidRPr="00D85536">
        <w:rPr>
          <w:lang w:val="en-CA"/>
        </w:rPr>
        <w:fldChar w:fldCharType="begin" w:fldLock="1"/>
      </w:r>
      <w:r w:rsidR="006B4206">
        <w:rPr>
          <w:lang w:val="en-CA"/>
        </w:rPr>
        <w:instrText>ADDIN CSL_CITATION {"citationItems":[{"id":"ITEM-1","itemData":{"DOI":"10.1039/c7an01276d","ISSN":"13645528","PMID":"29034911","abstract":"Ion mobility mass spectrometry (IM-MS) has become an important tool for the structural investigation of ions in the gas phase. Accurate theoretical evaluation of ion collision cross sections (CCSs) is essential for the effective application of IM-MS in structural studies. However, current theoretical tools have limitations in accurately describing a broad range of ions from small molecules to macromolecules. Significant difficulties in developing theoretical tools for CCS calculations are associated with obtaining high-quality experimental data and molecular models. In this study, we present a general CCS calculation method by employing two drift-tube IM-MS (DTIM-MS) instruments and thorough molecular modeling procedures. It is demonstrated that an appropriate description of the van der Waals (vdW) interactions is important for accurate CCS calculations in helium drift gas. By utilizing the vdW potentials from molecular mechanics force fields, it is shown that both the appropriate vdW potential-forms and their parameters are necessary for the highly reliable CCS predictions of small molecules. We further show that specific characteristics of the vdW interaction potential become less influential on the calculated CCS with increasing ion size, and that the calculated CCS values for the macromolecules converge to the values at the hard-sphere limit. Based on these results, a general CCS calculation method is presented that can be applied to ions of various sizes and compositions for the gas-phase structural studies.","author":[{"dropping-particle":"","family":"Lee","given":"Jong Wha","non-dropping-particle":"","parse-names":false,"suffix":""},{"dropping-particle":"","family":"Davidson","given":"Kimberly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I.","non-dropping-particle":"","parse-names":false,"suffix":""}],"container-title":"Analyst","id":"ITEM-1","issue":"22","issued":{"date-parts":[["2017"]]},"page":"4289-4298","publisher":"Royal Society of Chemistry","title":"Collision cross sections and ion structures: Development of a general calculation method via high-quality ion mobility measurements and theoretical modeling","type":"article-journal","volume":"142"},"uris":["http://www.mendeley.com/documents/?uuid=c99b8672-8a93-47f5-9241-a63cc58844c6"]},{"id":"ITEM-2","itemData":{"DOI":"10.1039/c8an00270c","ISSN":"13645528","PMID":"29561029","abstract":"The investigation of ion structures based on a combination of ion mobility mass spectrometry (IM-MS) experiments and theoretical collision cross section (CCS) calculations has become important to many fields of research. However, the accuracy of current CCS calculations for ions in nitrogen drift gas limits the information content of many experiments. In particular, few studies have evaluated and attempted to improve the theoretical tools for CCS calculation in nitrogen drift gas. In this study, based on high-quality experimental measurements and theoretical modeling, a comprehensive evaluation of various aspects of CCS calculations in nitrogen drift gas is performed. It is shown that the modification of the ion-nitrogen van der Waals (vdW) interaction potential enables accurate CCS predictions of 29 small ions with ca. 3% maximum relative error. The present method exhibits no apparent systematic bias with respect to ion CCS (size) and dipole moment, suggesting that the method adequately describes the long-range interactions between the ions and the buffer gas. However, the method shows limitations in reproducing experimental CCS at low temperatures (&lt;150 K) and for macromolecular ions, and calculations for these cases should be complemented by CCS calculation methods in helium drift gas. This study presents an accurate and well-characterized CCS calculation method for ions in nitrogen drift gas that is expected to become an important tool for ion structural characterization and molecular identification. The experimental values reported here also provide a foundation for future studies aiming at developing more efficient computational tools.","author":[{"dropping-particle":"","family":"Lee","given":"Jong Wha","non-dropping-particle":"","parse-names":false,"suffix":""},{"dropping-particle":"","family":"Lee","given":"Hyun Hee L.","non-dropping-particle":"","parse-names":false,"suffix":""},{"dropping-particle":"","family":"Davidson","given":"Kimberly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I.","non-dropping-particle":"","parse-names":false,"suffix":""}],"container-title":"Analyst","id":"ITEM-2","issue":"8","issued":{"date-parts":[["2018"]]},"page":"1786-1796","publisher":"Royal Society of Chemistry","title":"Structural characterization of small molecular ions by ion mobility mass spectrometry in nitrogen drift gas: Improving the accuracy of trajectory method calculations","type":"article-journal","volume":"143"},"uris":["http://www.mendeley.com/documents/?uuid=14e56e6e-59c2-4b68-9d54-03fdf4dc8514"]}],"mendeley":{"formattedCitation":"&lt;sup&gt;5,14&lt;/sup&gt;","plainTextFormattedCitation":"5,14","previouslyFormattedCitation":"&lt;sup&gt;5,14&lt;/sup&gt;"},"properties":{"noteIndex":0},"schema":"https://github.com/citation-style-language/schema/raw/master/csl-citation.json"}</w:instrText>
      </w:r>
      <w:r w:rsidRPr="00D85536">
        <w:rPr>
          <w:lang w:val="en-CA"/>
        </w:rPr>
        <w:fldChar w:fldCharType="separate"/>
      </w:r>
      <w:r w:rsidR="009E64B1" w:rsidRPr="009E64B1">
        <w:rPr>
          <w:noProof/>
          <w:vertAlign w:val="superscript"/>
          <w:lang w:val="en-CA"/>
        </w:rPr>
        <w:t>5,14</w:t>
      </w:r>
      <w:r w:rsidRPr="00D85536">
        <w:rPr>
          <w:lang w:val="en-CA"/>
        </w:rPr>
        <w:fldChar w:fldCharType="end"/>
      </w:r>
      <w:r w:rsidRPr="00D85536">
        <w:rPr>
          <w:lang w:val="en-CA"/>
        </w:rPr>
        <w:t xml:space="preserve"> When an </w:t>
      </w:r>
      <w:r w:rsidRPr="00D85536">
        <w:rPr>
          <w:i/>
          <w:lang w:val="en-CA"/>
        </w:rPr>
        <w:t>imp</w:t>
      </w:r>
      <w:r w:rsidRPr="00D85536">
        <w:rPr>
          <w:lang w:val="en-CA"/>
        </w:rPr>
        <w:t xml:space="preserve"> of 112 is specified, a mean standard deviation of 3.87 Å</w:t>
      </w:r>
      <w:r w:rsidRPr="00D85536">
        <w:rPr>
          <w:vertAlign w:val="superscript"/>
          <w:lang w:val="en-CA"/>
        </w:rPr>
        <w:t>2</w:t>
      </w:r>
      <w:r w:rsidRPr="00D85536">
        <w:rPr>
          <w:lang w:val="en-CA"/>
        </w:rPr>
        <w:t xml:space="preserve"> and a maximum standard deviation of 8.22 Å</w:t>
      </w:r>
      <w:r w:rsidRPr="00D85536">
        <w:rPr>
          <w:vertAlign w:val="superscript"/>
          <w:lang w:val="en-CA"/>
        </w:rPr>
        <w:t>2</w:t>
      </w:r>
      <w:r w:rsidRPr="00D85536">
        <w:rPr>
          <w:lang w:val="en-CA"/>
        </w:rPr>
        <w:t xml:space="preserve"> was found for our chosen set of compounds. In contrast, when 1008 </w:t>
      </w:r>
      <w:r w:rsidRPr="00D85536">
        <w:rPr>
          <w:i/>
          <w:lang w:val="en-CA"/>
        </w:rPr>
        <w:t>imp</w:t>
      </w:r>
      <w:r w:rsidRPr="00D85536">
        <w:rPr>
          <w:lang w:val="en-CA"/>
        </w:rPr>
        <w:t xml:space="preserve"> integration points were used, both the mean and maximum standard deviations decreased to 1.20 Å</w:t>
      </w:r>
      <w:r w:rsidRPr="00D85536">
        <w:rPr>
          <w:vertAlign w:val="superscript"/>
          <w:lang w:val="en-CA"/>
        </w:rPr>
        <w:t>2</w:t>
      </w:r>
      <w:r w:rsidRPr="00D85536">
        <w:rPr>
          <w:lang w:val="en-CA"/>
        </w:rPr>
        <w:t xml:space="preserve"> and 2.36 Å</w:t>
      </w:r>
      <w:r w:rsidRPr="00D85536">
        <w:rPr>
          <w:vertAlign w:val="superscript"/>
          <w:lang w:val="en-CA"/>
        </w:rPr>
        <w:t>2</w:t>
      </w:r>
      <w:r w:rsidRPr="00D85536">
        <w:rPr>
          <w:lang w:val="en-CA"/>
        </w:rPr>
        <w:t xml:space="preserve">, respectively. There is, of course, a trade-off in terms of computational time when increasing the size of the integration grid; using 1008 </w:t>
      </w:r>
      <w:r w:rsidRPr="00D85536">
        <w:rPr>
          <w:i/>
          <w:lang w:val="en-CA"/>
        </w:rPr>
        <w:t>imp</w:t>
      </w:r>
      <w:r w:rsidRPr="00D85536">
        <w:rPr>
          <w:lang w:val="en-CA"/>
        </w:rPr>
        <w:t xml:space="preserve"> points takes 10 times longer than using 112 points. Our testing suggests that 512 </w:t>
      </w:r>
      <w:r w:rsidRPr="00D85536">
        <w:rPr>
          <w:i/>
          <w:lang w:val="en-CA"/>
        </w:rPr>
        <w:t>imp</w:t>
      </w:r>
      <w:r w:rsidRPr="00D85536">
        <w:rPr>
          <w:lang w:val="en-CA"/>
        </w:rPr>
        <w:t xml:space="preserve"> integration points offers a significantly reduced standard deviation in the determination of an ion’s CCS with only a moderate increase in computational cost compared to smaller grid sizes. Of course, this number must increase as ion size increases beyond those in the calibration/validation set to fully explore the surface of the ion’s collision landscape.</w:t>
      </w:r>
    </w:p>
    <w:p w14:paraId="4DD1F843" w14:textId="3E9C7E29" w:rsidR="008E495D" w:rsidRDefault="008E495D" w:rsidP="000356B7">
      <w:pPr>
        <w:jc w:val="both"/>
        <w:rPr>
          <w:lang w:val="en-CA"/>
        </w:rPr>
      </w:pPr>
    </w:p>
    <w:p w14:paraId="14A0B467" w14:textId="0381B0E4" w:rsidR="00D85536" w:rsidRDefault="00433C84" w:rsidP="00762033">
      <w:pPr>
        <w:jc w:val="center"/>
        <w:rPr>
          <w:lang w:val="en-CA"/>
        </w:rPr>
      </w:pPr>
      <w:r w:rsidRPr="00E076A7">
        <w:rPr>
          <w:noProof/>
          <w:lang w:val="en-CA"/>
        </w:rPr>
        <w:lastRenderedPageBreak/>
        <w:drawing>
          <wp:inline distT="0" distB="0" distL="0" distR="0" wp14:anchorId="3DF1A600" wp14:editId="3B5AFD3E">
            <wp:extent cx="43910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91025" cy="4391025"/>
                    </a:xfrm>
                    <a:prstGeom prst="rect">
                      <a:avLst/>
                    </a:prstGeom>
                    <a:noFill/>
                    <a:ln>
                      <a:noFill/>
                    </a:ln>
                  </pic:spPr>
                </pic:pic>
              </a:graphicData>
            </a:graphic>
          </wp:inline>
        </w:drawing>
      </w:r>
    </w:p>
    <w:p w14:paraId="33B51D63" w14:textId="77777777" w:rsidR="003C3D9B" w:rsidRDefault="003C3D9B" w:rsidP="000356B7">
      <w:pPr>
        <w:jc w:val="both"/>
        <w:rPr>
          <w:b/>
          <w:lang w:val="en-CA"/>
        </w:rPr>
      </w:pPr>
    </w:p>
    <w:p w14:paraId="14732C2A" w14:textId="46353C66" w:rsidR="008438EF" w:rsidRDefault="00217EA3" w:rsidP="000356B7">
      <w:pPr>
        <w:jc w:val="both"/>
        <w:rPr>
          <w:lang w:val="en-CA"/>
        </w:rPr>
      </w:pPr>
      <w:r w:rsidRPr="00CC56C3">
        <w:rPr>
          <w:b/>
          <w:lang w:val="en-CA"/>
        </w:rPr>
        <w:t xml:space="preserve">Figure </w:t>
      </w:r>
      <w:r>
        <w:rPr>
          <w:b/>
          <w:lang w:val="en-CA"/>
        </w:rPr>
        <w:t>3</w:t>
      </w:r>
      <w:r w:rsidRPr="00CC56C3">
        <w:rPr>
          <w:b/>
          <w:lang w:val="en-CA"/>
        </w:rPr>
        <w:t>.</w:t>
      </w:r>
      <w:r w:rsidRPr="00CC56C3">
        <w:rPr>
          <w:lang w:val="en-CA"/>
        </w:rPr>
        <w:t xml:space="preserve"> </w:t>
      </w:r>
      <w:r>
        <w:rPr>
          <w:lang w:val="en-CA"/>
        </w:rPr>
        <w:t>Box plot indicating the e</w:t>
      </w:r>
      <w:r w:rsidRPr="00CC56C3">
        <w:rPr>
          <w:lang w:val="en-CA"/>
        </w:rPr>
        <w:t xml:space="preserve">ffect of the </w:t>
      </w:r>
      <w:r>
        <w:rPr>
          <w:lang w:val="en-CA"/>
        </w:rPr>
        <w:t>number</w:t>
      </w:r>
      <w:r w:rsidRPr="00CC56C3">
        <w:rPr>
          <w:lang w:val="en-CA"/>
        </w:rPr>
        <w:t xml:space="preserve"> of impact parameter integration points </w:t>
      </w:r>
      <w:r>
        <w:rPr>
          <w:lang w:val="en-CA"/>
        </w:rPr>
        <w:t>on the relative standard deviation of an individual CCS calculation for all isomers within the validation set.</w:t>
      </w:r>
      <w:r w:rsidR="008438EF">
        <w:rPr>
          <w:lang w:val="en-CA"/>
        </w:rPr>
        <w:t xml:space="preserve"> </w:t>
      </w:r>
      <w:r w:rsidR="008438EF" w:rsidRPr="008438EF">
        <w:rPr>
          <w:lang w:val="en-CA"/>
        </w:rPr>
        <w:t xml:space="preserve">Speedups in calculation time are reported relative to the times for completion using 1008 </w:t>
      </w:r>
      <w:r w:rsidR="008438EF" w:rsidRPr="008438EF">
        <w:rPr>
          <w:i/>
          <w:lang w:val="en-CA"/>
        </w:rPr>
        <w:t>imp</w:t>
      </w:r>
      <w:r w:rsidR="008438EF" w:rsidRPr="008438EF">
        <w:rPr>
          <w:lang w:val="en-CA"/>
        </w:rPr>
        <w:t xml:space="preserve"> points in blue, and RMSE (accuracy) for each </w:t>
      </w:r>
      <w:r w:rsidR="008438EF" w:rsidRPr="008438EF">
        <w:rPr>
          <w:i/>
          <w:lang w:val="en-CA"/>
        </w:rPr>
        <w:t>imp</w:t>
      </w:r>
      <w:r w:rsidR="008438EF" w:rsidRPr="008438EF">
        <w:rPr>
          <w:lang w:val="en-CA"/>
        </w:rPr>
        <w:t xml:space="preserve"> routine is shown in black. </w:t>
      </w:r>
    </w:p>
    <w:p w14:paraId="035B024E" w14:textId="6801E3D4" w:rsidR="003C3D9B" w:rsidRDefault="003C3D9B" w:rsidP="000356B7">
      <w:pPr>
        <w:jc w:val="both"/>
        <w:rPr>
          <w:lang w:val="en-CA"/>
        </w:rPr>
      </w:pPr>
    </w:p>
    <w:p w14:paraId="09B4AD03" w14:textId="61F6F105" w:rsidR="0019345F" w:rsidRPr="0019345F" w:rsidRDefault="0019345F" w:rsidP="000356B7">
      <w:pPr>
        <w:pStyle w:val="Heading3"/>
        <w:jc w:val="both"/>
      </w:pPr>
      <w:bookmarkStart w:id="10" w:name="_Toc66269161"/>
      <w:r>
        <w:t xml:space="preserve">2.3.3 – Influence of </w:t>
      </w:r>
      <w:r w:rsidR="00D02177">
        <w:t>charge-neutral interactions in CCS calculations</w:t>
      </w:r>
      <w:bookmarkEnd w:id="10"/>
      <w:r w:rsidR="00D02177">
        <w:t xml:space="preserve"> </w:t>
      </w:r>
      <w:r>
        <w:t xml:space="preserve"> </w:t>
      </w:r>
    </w:p>
    <w:p w14:paraId="2B8E35DA" w14:textId="77777777" w:rsidR="0019345F" w:rsidRDefault="0019345F" w:rsidP="000356B7">
      <w:pPr>
        <w:jc w:val="both"/>
        <w:rPr>
          <w:lang w:val="en-CA"/>
        </w:rPr>
      </w:pPr>
    </w:p>
    <w:p w14:paraId="28157C39" w14:textId="2CF6FB4A" w:rsidR="00A404BC" w:rsidRPr="00A404BC" w:rsidRDefault="00A404BC" w:rsidP="000356B7">
      <w:pPr>
        <w:jc w:val="both"/>
        <w:rPr>
          <w:lang w:val="en-CA"/>
        </w:rPr>
      </w:pPr>
      <w:r w:rsidRPr="00A404BC">
        <w:rPr>
          <w:lang w:val="en-CA"/>
        </w:rPr>
        <w:t>Since ion-induced dipole (</w:t>
      </w:r>
      <w:r w:rsidRPr="00A404BC">
        <w:rPr>
          <w:i/>
          <w:lang w:val="en-CA"/>
        </w:rPr>
        <w:t>V</w:t>
      </w:r>
      <w:r w:rsidRPr="00A404BC">
        <w:rPr>
          <w:i/>
          <w:vertAlign w:val="subscript"/>
          <w:lang w:val="en-CA"/>
        </w:rPr>
        <w:t>IID</w:t>
      </w:r>
      <w:r w:rsidRPr="00A404BC">
        <w:rPr>
          <w:lang w:val="en-CA"/>
        </w:rPr>
        <w:t>) and ion-quadrupole (</w:t>
      </w:r>
      <w:r w:rsidRPr="00A404BC">
        <w:rPr>
          <w:i/>
          <w:lang w:val="en-CA"/>
        </w:rPr>
        <w:t>V</w:t>
      </w:r>
      <w:r w:rsidRPr="00A404BC">
        <w:rPr>
          <w:i/>
          <w:vertAlign w:val="subscript"/>
          <w:lang w:val="en-CA"/>
        </w:rPr>
        <w:t>IQ</w:t>
      </w:r>
      <w:r w:rsidRPr="00A404BC">
        <w:rPr>
          <w:lang w:val="en-CA"/>
        </w:rPr>
        <w:t>) interactions are significant contributors to the total ion-N</w:t>
      </w:r>
      <w:r w:rsidRPr="00A404BC">
        <w:rPr>
          <w:vertAlign w:val="subscript"/>
          <w:lang w:val="en-CA"/>
        </w:rPr>
        <w:t>2</w:t>
      </w:r>
      <w:r w:rsidRPr="00A404BC">
        <w:rPr>
          <w:lang w:val="en-CA"/>
        </w:rPr>
        <w:t xml:space="preserve"> interaction potential, a rigorous partial charge assignment scheme must be employed. Numerous methodologies for the assignment of atomic partial charges exist; however those that determine partial charges by fitting point charges to reproduce the electrostatic potential of the molecule are generally accepted to be the most accurate (e.g., </w:t>
      </w:r>
      <w:proofErr w:type="spellStart"/>
      <w:r w:rsidRPr="00A404BC">
        <w:rPr>
          <w:lang w:val="en-CA"/>
        </w:rPr>
        <w:t>ChelpG</w:t>
      </w:r>
      <w:proofErr w:type="spellEnd"/>
      <w:r w:rsidRPr="00A404BC">
        <w:rPr>
          <w:lang w:val="en-CA"/>
        </w:rPr>
        <w:t>, MK).</w:t>
      </w:r>
      <w:r w:rsidRPr="00A404BC">
        <w:rPr>
          <w:lang w:val="en-CA"/>
        </w:rPr>
        <w:fldChar w:fldCharType="begin" w:fldLock="1"/>
      </w:r>
      <w:r w:rsidR="006B4206">
        <w:rPr>
          <w:lang w:val="en-CA"/>
        </w:rPr>
        <w:instrText>ADDIN CSL_CITATION {"citationItems":[{"id":"ITEM-1","itemData":{"DOI":"10.1002/jcc.540050204","ISBN":"1096-987X","ISSN":"1096987X","PMID":"3143","abstract":"We present an approach for deriving net atomic charges from ab initio quantum mechanical calculations using a least squares fit of the quantum mechanically calculated electrostatic potential to that of the partial charge model. Our computational approach is similar to those presented by Momany [J. Phys. Chem., 82, 592 (1978)], Smit, Derissen, and van Duijneveldt [Mol. Phys., 37, 521 (1979)], and Cox and Williams [J. Comput. Chem., 2, 304 (1981)], but differs in the approach to choosing the positions for evaluating the potential. In this article, we present applications to the molecules H2O, CH3OH, (CH3)2O, H2CO, NH3, (CH3O)2PO</w:instrText>
      </w:r>
      <w:r w:rsidR="006B4206">
        <w:rPr>
          <w:rFonts w:ascii="Times New Roman" w:hAnsi="Times New Roman"/>
          <w:lang w:val="en-CA"/>
        </w:rPr>
        <w:instrText> </w:instrText>
      </w:r>
      <w:r w:rsidR="006B4206">
        <w:rPr>
          <w:lang w:val="en-CA"/>
        </w:rPr>
        <w:instrText>2</w:instrText>
      </w:r>
      <w:r w:rsidR="006B4206">
        <w:rPr>
          <w:rFonts w:cs="Garamond"/>
          <w:lang w:val="en-CA"/>
        </w:rPr>
        <w:instrText>−</w:instrText>
      </w:r>
      <w:r w:rsidR="006B4206">
        <w:rPr>
          <w:lang w:val="en-CA"/>
        </w:rPr>
        <w:instrText>, deoxyribose, ribose, adenine, 9</w:instrText>
      </w:r>
      <w:r w:rsidR="006B4206">
        <w:rPr>
          <w:rFonts w:ascii="Times New Roman" w:hAnsi="Times New Roman"/>
          <w:lang w:val="en-CA"/>
        </w:rPr>
        <w:instrText>‐</w:instrText>
      </w:r>
      <w:r w:rsidR="006B4206">
        <w:rPr>
          <w:lang w:val="en-CA"/>
        </w:rPr>
        <w:instrText>CH3 adenine, thymine, 1</w:instrText>
      </w:r>
      <w:r w:rsidR="006B4206">
        <w:rPr>
          <w:rFonts w:ascii="Times New Roman" w:hAnsi="Times New Roman"/>
          <w:lang w:val="en-CA"/>
        </w:rPr>
        <w:instrText>‐</w:instrText>
      </w:r>
      <w:r w:rsidR="006B4206">
        <w:rPr>
          <w:lang w:val="en-CA"/>
        </w:rPr>
        <w:instrText>CH3 thymine, guanine, 9</w:instrText>
      </w:r>
      <w:r w:rsidR="006B4206">
        <w:rPr>
          <w:rFonts w:ascii="Times New Roman" w:hAnsi="Times New Roman"/>
          <w:lang w:val="en-CA"/>
        </w:rPr>
        <w:instrText>‐</w:instrText>
      </w:r>
      <w:r w:rsidR="006B4206">
        <w:rPr>
          <w:lang w:val="en-CA"/>
        </w:rPr>
        <w:instrText>CH3 guanine, cytosine, 1</w:instrText>
      </w:r>
      <w:r w:rsidR="006B4206">
        <w:rPr>
          <w:rFonts w:ascii="Times New Roman" w:hAnsi="Times New Roman"/>
          <w:lang w:val="en-CA"/>
        </w:rPr>
        <w:instrText>‐</w:instrText>
      </w:r>
      <w:r w:rsidR="006B4206">
        <w:rPr>
          <w:lang w:val="en-CA"/>
        </w:rPr>
        <w:instrText>CH3 cytosine, uracil, and 1</w:instrText>
      </w:r>
      <w:r w:rsidR="006B4206">
        <w:rPr>
          <w:rFonts w:ascii="Times New Roman" w:hAnsi="Times New Roman"/>
          <w:lang w:val="en-CA"/>
        </w:rPr>
        <w:instrText>‐</w:instrText>
      </w:r>
      <w:r w:rsidR="006B4206">
        <w:rPr>
          <w:lang w:val="en-CA"/>
        </w:rPr>
        <w:instrText xml:space="preserve">CH3 uracil. We also address the question of inclusion of </w:instrText>
      </w:r>
      <w:r w:rsidR="006B4206">
        <w:rPr>
          <w:rFonts w:cs="Garamond"/>
          <w:lang w:val="en-CA"/>
        </w:rPr>
        <w:instrText>“</w:instrText>
      </w:r>
      <w:r w:rsidR="006B4206">
        <w:rPr>
          <w:lang w:val="en-CA"/>
        </w:rPr>
        <w:instrText>lone pairs,</w:instrText>
      </w:r>
      <w:r w:rsidR="006B4206">
        <w:rPr>
          <w:rFonts w:cs="Garamond"/>
          <w:lang w:val="en-CA"/>
        </w:rPr>
        <w:instrText>”</w:instrText>
      </w:r>
      <w:r w:rsidR="006B4206">
        <w:rPr>
          <w:lang w:val="en-CA"/>
        </w:rPr>
        <w:instrText xml:space="preserve"> their location and charge. Copyright </w:instrText>
      </w:r>
      <w:r w:rsidR="006B4206">
        <w:rPr>
          <w:rFonts w:cs="Garamond"/>
          <w:lang w:val="en-CA"/>
        </w:rPr>
        <w:instrText>©</w:instrText>
      </w:r>
      <w:r w:rsidR="006B4206">
        <w:rPr>
          <w:lang w:val="en-CA"/>
        </w:rPr>
        <w:instrText xml:space="preserve"> 1984 John Wiley &amp; Sons, Inc.","author":[{"dropping-particle":"","family":"Singh","given":"U. Chandra","non-dropping-particle":"","parse-names":false,"suffix":""},{"dropping-particle":"","family":"Kollman","given":"Peter A.","non-dropping-particle":"","parse-names":false,"suffix":""}],"container-title":"Journal of Computational Chemistry","id":"ITEM-1","issue":"2","issued":{"date-parts":[["1984"]]},"page":"129-145","title":"An approach to computing electrostatic charges for molecules","type":"article-journal","volume":"5"},"uris":["http://www.mendeley.com/documents/?uuid=5199a929-ab60-4652-b945-7a6c3d1065ba"]},{"id":"ITEM-2","itemData":{"DOI":"10.1002/jcc.540110404","ISBN":"1096-987X","ISSN":"1096987X","PMID":"2714","abstract":"It is demonstrated that semiempirical methods give electrostatic potential (ESP) derived atomic point charges that are in reasonable agreement with ab initio ESP charges. Furthermore, we find that MNDO ESP charges are superior to AM1 ESP charges in correlating with ESP charges derived from the 6</w:instrText>
      </w:r>
      <w:r w:rsidR="006B4206">
        <w:rPr>
          <w:rFonts w:ascii="Times New Roman" w:hAnsi="Times New Roman"/>
          <w:lang w:val="en-CA"/>
        </w:rPr>
        <w:instrText>‐</w:instrText>
      </w:r>
      <w:r w:rsidR="006B4206">
        <w:rPr>
          <w:lang w:val="en-CA"/>
        </w:rPr>
        <w:instrText>31G* basis set. Thus, it is possible to obtain 6</w:instrText>
      </w:r>
      <w:r w:rsidR="006B4206">
        <w:rPr>
          <w:rFonts w:ascii="Times New Roman" w:hAnsi="Times New Roman"/>
          <w:lang w:val="en-CA"/>
        </w:rPr>
        <w:instrText>‐</w:instrText>
      </w:r>
      <w:r w:rsidR="006B4206">
        <w:rPr>
          <w:lang w:val="en-CA"/>
        </w:rPr>
        <w:instrText>31G* quality point charges by simply scaling MNDO ESP charges. The charges are scaled in a linear (y = Mx) manner to conserve charge. In this way researchers desiring to carry out force field simulations or minimizations can obtain charges by using MNDO, which requires much less computer time than the corresponding 6</w:instrText>
      </w:r>
      <w:r w:rsidR="006B4206">
        <w:rPr>
          <w:rFonts w:ascii="Times New Roman" w:hAnsi="Times New Roman"/>
          <w:lang w:val="en-CA"/>
        </w:rPr>
        <w:instrText>‐</w:instrText>
      </w:r>
      <w:r w:rsidR="006B4206">
        <w:rPr>
          <w:lang w:val="en-CA"/>
        </w:rPr>
        <w:instrText xml:space="preserve">31G* calculation. Copyright </w:instrText>
      </w:r>
      <w:r w:rsidR="006B4206">
        <w:rPr>
          <w:rFonts w:cs="Garamond"/>
          <w:lang w:val="en-CA"/>
        </w:rPr>
        <w:instrText>©</w:instrText>
      </w:r>
      <w:r w:rsidR="006B4206">
        <w:rPr>
          <w:lang w:val="en-CA"/>
        </w:rPr>
        <w:instrText xml:space="preserve"> 1990 John Wiley &amp; Sons, Inc.","author":[{"dropping-particle":"","family":"Besler","given":"Brent H.","non-dropping-particle":"","parse-names":false,"suffix":""},{"dropping-particle":"","family":"Merz","given":"Kenneth M.","non-dropping-particle":"","parse-names":false,"suffix":""},{"dropping-particle":"","family":"Kollman","given":"Peter A.","non-dropping-particle":"","parse-names":false,"suffix":""}],"container-title":"Journal of Computational Chemistry","id":"ITEM-2","issue":"4","issued":{"date-parts":[["1990"]]},"page":"431-439","title":"Atomic charges derived from semiempirical methods","type":"article-journal","volume":"11"},"uris":["http://www.mendeley.com/documents/?uuid=778831d4-abdd-41ef-8e54-63527084a752"]},{"id":"ITEM-3","itemData":{"DOI":"10.1002/jcc.540110311","ISSN":"1096987X","abstract":"An improved method for computing potential</w:instrText>
      </w:r>
      <w:r w:rsidR="006B4206">
        <w:rPr>
          <w:rFonts w:ascii="Times New Roman" w:hAnsi="Times New Roman"/>
          <w:lang w:val="en-CA"/>
        </w:rPr>
        <w:instrText>‐</w:instrText>
      </w:r>
      <w:r w:rsidR="006B4206">
        <w:rPr>
          <w:lang w:val="en-CA"/>
        </w:rPr>
        <w:instrText>derived charges is described which is based upon the CHELP program available from QCPE.1 This approach (CHELPG) is shown to be considerably less dependent upon molecular orientation than the original CHELP program. In the second part of this work, the CHELPG point selection algorithm was used to analyze the changes in the potential</w:instrText>
      </w:r>
      <w:r w:rsidR="006B4206">
        <w:rPr>
          <w:rFonts w:ascii="Times New Roman" w:hAnsi="Times New Roman"/>
          <w:lang w:val="en-CA"/>
        </w:rPr>
        <w:instrText>‐</w:instrText>
      </w:r>
      <w:r w:rsidR="006B4206">
        <w:rPr>
          <w:lang w:val="en-CA"/>
        </w:rPr>
        <w:instrText>derived charges in formamide during rotation about the C</w:instrText>
      </w:r>
      <w:r w:rsidR="006B4206">
        <w:rPr>
          <w:rFonts w:cs="Garamond"/>
          <w:lang w:val="en-CA"/>
        </w:rPr>
        <w:instrText></w:instrText>
      </w:r>
      <w:r w:rsidR="006B4206">
        <w:rPr>
          <w:lang w:val="en-CA"/>
        </w:rPr>
        <w:instrText>N bond. In order to achieve a level of rotational invariance less than 10% of the magnitude of the electronic effects studied, an equally</w:instrText>
      </w:r>
      <w:r w:rsidR="006B4206">
        <w:rPr>
          <w:rFonts w:ascii="Times New Roman" w:hAnsi="Times New Roman"/>
          <w:lang w:val="en-CA"/>
        </w:rPr>
        <w:instrText>‐</w:instrText>
      </w:r>
      <w:r w:rsidR="006B4206">
        <w:rPr>
          <w:lang w:val="en-CA"/>
        </w:rPr>
        <w:instrText>spaced array of points 0.3 Å apart was required. Points found to be greater than 2.8 Å from any nucleus were eliminated, along with all points contained within the defined VDW distances from each of the atoms. The results are compared to those obtained by using CHELP. Even when large numbers of points (ca. 3000) were sampled using the CHELP selection routine, the results did not indicate a satisfactory level of rotatational invariance. On the basis of these results, the original CHELP program was found to be inadequate for analyzing internal rotations. Copyright © 1990 John Wiley &amp; Sons, Inc.","author":[{"dropping-particle":"","family":"Breneman","given":"Curt M.","non-dropping-particle":"","parse-names":false,"suffix":""},{"dropping-particle":"","family":"Wiberg","given":"Kenneth B.","non-dropping-particle":"","parse-names":false,"suffix":""}],"container-title":"Journal of Computational Chemistry","id":"ITEM-3","issue":"3","issued":{"date-parts":[["1990","4"]]},"note":"ChelpG Reference","page":"361-373","title":"Determining atom</w:instrText>
      </w:r>
      <w:r w:rsidR="006B4206">
        <w:rPr>
          <w:rFonts w:ascii="Times New Roman" w:hAnsi="Times New Roman"/>
          <w:lang w:val="en-CA"/>
        </w:rPr>
        <w:instrText>‐</w:instrText>
      </w:r>
      <w:r w:rsidR="006B4206">
        <w:rPr>
          <w:lang w:val="en-CA"/>
        </w:rPr>
        <w:instrText>centered monopoles from molecular electrostatic potentials. The need for high sampling density in formamide conformational analysis","type":"article-journal","volume":"11"},"uris":["http://www.mendeley.com/documents/?uuid=ce6fda7a-c6b3-4e17-8d4f-d2695a43fe33"]}],"mendeley":{"formattedCitation":"&lt;sup&gt;24–26&lt;/sup&gt;","plainTextFormattedCitation":"24–26","previouslyFormattedCitation":"&lt;sup&gt;24–26&lt;/sup&gt;"},"properties":{"noteIndex":0},"schema":"https://github.com/citation-style-language/schema/raw/master/csl-citation.json"}</w:instrText>
      </w:r>
      <w:r w:rsidRPr="00A404BC">
        <w:rPr>
          <w:lang w:val="en-CA"/>
        </w:rPr>
        <w:fldChar w:fldCharType="separate"/>
      </w:r>
      <w:r w:rsidR="009E64B1" w:rsidRPr="009E64B1">
        <w:rPr>
          <w:noProof/>
          <w:vertAlign w:val="superscript"/>
          <w:lang w:val="en-CA"/>
        </w:rPr>
        <w:t>24–26</w:t>
      </w:r>
      <w:r w:rsidRPr="00A404BC">
        <w:rPr>
          <w:lang w:val="en-CA"/>
        </w:rPr>
        <w:fldChar w:fldCharType="end"/>
      </w:r>
      <w:r w:rsidRPr="00A404BC">
        <w:rPr>
          <w:lang w:val="en-CA"/>
        </w:rPr>
        <w:t xml:space="preserve"> Calculated CCSs can vary dramatically when alternative atomic charge assignment schemes are used (e.g., those based on MM forcefield assignments or Mulliken charges).  In principle, one could avoid this issue and decrease computational time by ignoring </w:t>
      </w:r>
      <w:r w:rsidRPr="00A404BC">
        <w:rPr>
          <w:i/>
          <w:lang w:val="en-CA"/>
        </w:rPr>
        <w:t>V</w:t>
      </w:r>
      <w:r w:rsidRPr="00A404BC">
        <w:rPr>
          <w:i/>
          <w:vertAlign w:val="subscript"/>
          <w:lang w:val="en-CA"/>
        </w:rPr>
        <w:t>IID</w:t>
      </w:r>
      <w:r w:rsidRPr="00A404BC">
        <w:rPr>
          <w:lang w:val="en-CA"/>
        </w:rPr>
        <w:t xml:space="preserve"> and </w:t>
      </w:r>
      <w:r w:rsidRPr="00A404BC">
        <w:rPr>
          <w:i/>
          <w:lang w:val="en-CA"/>
        </w:rPr>
        <w:t>V</w:t>
      </w:r>
      <w:r w:rsidRPr="00A404BC">
        <w:rPr>
          <w:i/>
          <w:vertAlign w:val="subscript"/>
          <w:lang w:val="en-CA"/>
        </w:rPr>
        <w:t>IQ</w:t>
      </w:r>
      <w:r w:rsidRPr="00A404BC">
        <w:rPr>
          <w:lang w:val="en-CA"/>
        </w:rPr>
        <w:t xml:space="preserve"> terms. However, caution must be exercised in this regard because functional groups centered around the same atom type can have similar </w:t>
      </w:r>
      <w:proofErr w:type="spellStart"/>
      <w:r w:rsidRPr="00A404BC">
        <w:rPr>
          <w:lang w:val="en-CA"/>
        </w:rPr>
        <w:t>vdW</w:t>
      </w:r>
      <w:proofErr w:type="spellEnd"/>
      <w:r w:rsidRPr="00A404BC">
        <w:rPr>
          <w:lang w:val="en-CA"/>
        </w:rPr>
        <w:t xml:space="preserve"> interaction descriptions but may possess dissimilar </w:t>
      </w:r>
      <w:r w:rsidRPr="00A404BC">
        <w:rPr>
          <w:i/>
          <w:lang w:val="en-CA"/>
        </w:rPr>
        <w:t>V</w:t>
      </w:r>
      <w:r w:rsidRPr="00A404BC">
        <w:rPr>
          <w:i/>
          <w:vertAlign w:val="subscript"/>
          <w:lang w:val="en-CA"/>
        </w:rPr>
        <w:t>IID</w:t>
      </w:r>
      <w:r w:rsidRPr="00A404BC">
        <w:rPr>
          <w:lang w:val="en-CA"/>
        </w:rPr>
        <w:t xml:space="preserve"> and </w:t>
      </w:r>
      <w:r w:rsidRPr="00A404BC">
        <w:rPr>
          <w:i/>
          <w:lang w:val="en-CA"/>
        </w:rPr>
        <w:t>V</w:t>
      </w:r>
      <w:r w:rsidRPr="00A404BC">
        <w:rPr>
          <w:i/>
          <w:vertAlign w:val="subscript"/>
          <w:lang w:val="en-CA"/>
        </w:rPr>
        <w:t>IQ</w:t>
      </w:r>
      <w:r w:rsidRPr="00A404BC">
        <w:rPr>
          <w:i/>
          <w:lang w:val="en-CA"/>
        </w:rPr>
        <w:t xml:space="preserve"> </w:t>
      </w:r>
      <w:r w:rsidRPr="00A404BC">
        <w:rPr>
          <w:lang w:val="en-CA"/>
        </w:rPr>
        <w:t>terms. For instance, the nitrogen atom in an amide exhibits very different electronic character (</w:t>
      </w:r>
      <w:r w:rsidRPr="00A404BC">
        <w:rPr>
          <w:i/>
          <w:lang w:val="en-CA"/>
        </w:rPr>
        <w:t>viz</w:t>
      </w:r>
      <w:r w:rsidRPr="00A404BC">
        <w:rPr>
          <w:lang w:val="en-CA"/>
        </w:rPr>
        <w:t xml:space="preserve">. partial charge) than does a sulfonamide nitrogen atom due to donation/resonance effects with carbonyl </w:t>
      </w:r>
      <w:r w:rsidRPr="00A404BC">
        <w:rPr>
          <w:i/>
          <w:lang w:val="en-CA"/>
        </w:rPr>
        <w:t>versus</w:t>
      </w:r>
      <w:r w:rsidRPr="00A404BC">
        <w:rPr>
          <w:lang w:val="en-CA"/>
        </w:rPr>
        <w:t xml:space="preserve"> sulfonyl groups. However, the nitrogen </w:t>
      </w:r>
      <w:r w:rsidRPr="00A404BC">
        <w:rPr>
          <w:lang w:val="en-CA"/>
        </w:rPr>
        <w:lastRenderedPageBreak/>
        <w:t xml:space="preserve">atoms in the amide and sulfonamide groups have nearly identical </w:t>
      </w:r>
      <w:proofErr w:type="spellStart"/>
      <w:r w:rsidRPr="00A404BC">
        <w:rPr>
          <w:lang w:val="en-CA"/>
        </w:rPr>
        <w:t>vdW</w:t>
      </w:r>
      <w:proofErr w:type="spellEnd"/>
      <w:r w:rsidRPr="00A404BC">
        <w:rPr>
          <w:lang w:val="en-CA"/>
        </w:rPr>
        <w:t xml:space="preserve"> parameters and means that differentiation can only occur through atomic charge. Owing to the dependence of atomic charge on </w:t>
      </w:r>
      <w:r w:rsidRPr="00A404BC">
        <w:rPr>
          <w:i/>
          <w:lang w:val="en-CA"/>
        </w:rPr>
        <w:t>V</w:t>
      </w:r>
      <w:r w:rsidRPr="00A404BC">
        <w:rPr>
          <w:i/>
          <w:vertAlign w:val="subscript"/>
          <w:lang w:val="en-CA"/>
        </w:rPr>
        <w:t>IID</w:t>
      </w:r>
      <w:r w:rsidRPr="00A404BC">
        <w:rPr>
          <w:lang w:val="en-CA"/>
        </w:rPr>
        <w:t xml:space="preserve"> and </w:t>
      </w:r>
      <w:r w:rsidRPr="00A404BC">
        <w:rPr>
          <w:i/>
          <w:lang w:val="en-CA"/>
        </w:rPr>
        <w:t>V</w:t>
      </w:r>
      <w:r w:rsidRPr="00A404BC">
        <w:rPr>
          <w:i/>
          <w:vertAlign w:val="subscript"/>
          <w:lang w:val="en-CA"/>
        </w:rPr>
        <w:t>IQ</w:t>
      </w:r>
      <w:r w:rsidRPr="00A404BC">
        <w:rPr>
          <w:i/>
          <w:lang w:val="en-CA"/>
        </w:rPr>
        <w:t xml:space="preserve"> </w:t>
      </w:r>
      <w:r w:rsidRPr="00A404BC">
        <w:rPr>
          <w:lang w:val="en-CA"/>
        </w:rPr>
        <w:t>used to evaluate Ω</w:t>
      </w:r>
      <w:r w:rsidRPr="00A404BC">
        <w:rPr>
          <w:vertAlign w:val="subscript"/>
          <w:lang w:val="en-CA"/>
        </w:rPr>
        <w:t>N2</w:t>
      </w:r>
      <w:r w:rsidRPr="00A404BC">
        <w:rPr>
          <w:lang w:val="en-CA"/>
        </w:rPr>
        <w:t xml:space="preserve">, TM calculations should employ partial charge assignments based on electrostatic potential mapping as opposed to the less reliable Mulliken population analysis or assignment of equivalent partial charges to all atoms in a particular ion (equal). Figure </w:t>
      </w:r>
      <w:r w:rsidR="00233959">
        <w:rPr>
          <w:lang w:val="en-CA"/>
        </w:rPr>
        <w:t>4</w:t>
      </w:r>
      <w:r w:rsidRPr="00A404BC">
        <w:rPr>
          <w:lang w:val="en-CA"/>
        </w:rPr>
        <w:t xml:space="preserve"> shows impact of partial charge assignment on the calculated CCSs of the validation set with unique partial charges.</w:t>
      </w:r>
    </w:p>
    <w:p w14:paraId="61B1515B" w14:textId="0FAF3215" w:rsidR="003C3D9B" w:rsidRDefault="003C3D9B" w:rsidP="000356B7">
      <w:pPr>
        <w:jc w:val="both"/>
        <w:rPr>
          <w:lang w:val="en-CA"/>
        </w:rPr>
      </w:pPr>
    </w:p>
    <w:p w14:paraId="4F2106ED" w14:textId="5348D758" w:rsidR="00A404BC" w:rsidRDefault="00C804C5" w:rsidP="00284435">
      <w:pPr>
        <w:jc w:val="center"/>
        <w:rPr>
          <w:lang w:val="en-CA"/>
        </w:rPr>
      </w:pPr>
      <w:r w:rsidRPr="00AC3A6B">
        <w:rPr>
          <w:noProof/>
          <w:lang w:val="en-CA"/>
        </w:rPr>
        <w:drawing>
          <wp:inline distT="0" distB="0" distL="0" distR="0" wp14:anchorId="29070F48" wp14:editId="66911982">
            <wp:extent cx="4561391" cy="626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94187" cy="6312513"/>
                    </a:xfrm>
                    <a:prstGeom prst="rect">
                      <a:avLst/>
                    </a:prstGeom>
                    <a:noFill/>
                    <a:ln>
                      <a:noFill/>
                    </a:ln>
                  </pic:spPr>
                </pic:pic>
              </a:graphicData>
            </a:graphic>
          </wp:inline>
        </w:drawing>
      </w:r>
    </w:p>
    <w:p w14:paraId="2C7A29C1" w14:textId="65A0A255" w:rsidR="00C804C5" w:rsidRDefault="00C804C5" w:rsidP="000356B7">
      <w:pPr>
        <w:jc w:val="both"/>
        <w:rPr>
          <w:lang w:val="en-CA"/>
        </w:rPr>
      </w:pPr>
    </w:p>
    <w:p w14:paraId="4F709A54" w14:textId="4C8B73C0" w:rsidR="00233959" w:rsidRDefault="00233959" w:rsidP="000356B7">
      <w:pPr>
        <w:jc w:val="both"/>
        <w:rPr>
          <w:lang w:val="en-CA"/>
        </w:rPr>
      </w:pPr>
      <w:r w:rsidRPr="00233959">
        <w:rPr>
          <w:b/>
          <w:lang w:val="en-CA"/>
        </w:rPr>
        <w:t xml:space="preserve">Figure </w:t>
      </w:r>
      <w:r>
        <w:rPr>
          <w:b/>
          <w:lang w:val="en-CA"/>
        </w:rPr>
        <w:t>4</w:t>
      </w:r>
      <w:r w:rsidRPr="00233959">
        <w:rPr>
          <w:b/>
          <w:lang w:val="en-CA"/>
        </w:rPr>
        <w:t>.</w:t>
      </w:r>
      <w:r w:rsidRPr="00233959">
        <w:rPr>
          <w:lang w:val="en-CA"/>
        </w:rPr>
        <w:t xml:space="preserve"> Relative error (%) in CCS predictions associated with assignment of partial charges by various methodologies: (</w:t>
      </w:r>
      <w:r w:rsidRPr="00233959">
        <w:rPr>
          <w:b/>
          <w:lang w:val="en-CA"/>
        </w:rPr>
        <w:t>A</w:t>
      </w:r>
      <w:r w:rsidRPr="00233959">
        <w:rPr>
          <w:lang w:val="en-CA"/>
        </w:rPr>
        <w:t>) MK charges constrained to reproduce dipole moment (green), (</w:t>
      </w:r>
      <w:r w:rsidRPr="00233959">
        <w:rPr>
          <w:b/>
          <w:lang w:val="en-CA"/>
        </w:rPr>
        <w:t>B</w:t>
      </w:r>
      <w:r w:rsidRPr="00233959">
        <w:rPr>
          <w:lang w:val="en-CA"/>
        </w:rPr>
        <w:t>) Mulliken charges (blue), (</w:t>
      </w:r>
      <w:r w:rsidRPr="00233959">
        <w:rPr>
          <w:b/>
          <w:lang w:val="en-CA"/>
        </w:rPr>
        <w:t>C</w:t>
      </w:r>
      <w:r w:rsidRPr="00233959">
        <w:rPr>
          <w:lang w:val="en-CA"/>
        </w:rPr>
        <w:t>) equal partial charges (purple), and (</w:t>
      </w:r>
      <w:r w:rsidRPr="00233959">
        <w:rPr>
          <w:b/>
          <w:lang w:val="en-CA"/>
        </w:rPr>
        <w:t>D</w:t>
      </w:r>
      <w:r w:rsidRPr="00233959">
        <w:rPr>
          <w:lang w:val="en-CA"/>
        </w:rPr>
        <w:t>) no partial charges (red).</w:t>
      </w:r>
    </w:p>
    <w:p w14:paraId="7ABB51AB" w14:textId="2BED0466" w:rsidR="00620201" w:rsidRPr="00620201" w:rsidRDefault="00620201" w:rsidP="000356B7">
      <w:pPr>
        <w:jc w:val="both"/>
        <w:rPr>
          <w:lang w:val="en-CA"/>
        </w:rPr>
      </w:pPr>
      <w:r w:rsidRPr="00620201">
        <w:rPr>
          <w:lang w:val="en-CA"/>
        </w:rPr>
        <w:lastRenderedPageBreak/>
        <w:t xml:space="preserve">Analysis of CCSs computed with the newly optimized scaling factors for the </w:t>
      </w:r>
      <w:proofErr w:type="spellStart"/>
      <w:r w:rsidRPr="00620201">
        <w:rPr>
          <w:lang w:val="en-CA"/>
        </w:rPr>
        <w:t>vdW</w:t>
      </w:r>
      <w:proofErr w:type="spellEnd"/>
      <w:r w:rsidRPr="00620201">
        <w:rPr>
          <w:lang w:val="en-CA"/>
        </w:rPr>
        <w:t xml:space="preserve"> potentials indicates that optimal accuracy is achieved when partial charges are assigned based on electrostatic potential mapping (i.e., </w:t>
      </w:r>
      <w:proofErr w:type="spellStart"/>
      <w:r w:rsidRPr="00620201">
        <w:rPr>
          <w:lang w:val="en-CA"/>
        </w:rPr>
        <w:t>CHelpG</w:t>
      </w:r>
      <w:proofErr w:type="spellEnd"/>
      <w:r w:rsidRPr="00620201">
        <w:rPr>
          <w:lang w:val="en-CA"/>
        </w:rPr>
        <w:t xml:space="preserve">, MK), with the stipulation that partial charges be constrained to reproduce the molecular dipole moment. For example, the RMSE of CCSs determined using Mulliken and equal charge assignment schemes are 7.63 % and 4.45 %, respectively. Note that this effect is likely to be more important for calculations of </w:t>
      </w:r>
      <w:r w:rsidR="00CF1F4D">
        <w:rPr>
          <w:rFonts w:ascii="Calibri" w:hAnsi="Calibri" w:cs="Calibri"/>
          <w:lang w:val="en-CA"/>
        </w:rPr>
        <w:t>Ω</w:t>
      </w:r>
      <w:r w:rsidRPr="00620201">
        <w:rPr>
          <w:vertAlign w:val="subscript"/>
          <w:lang w:val="en-CA"/>
        </w:rPr>
        <w:t>N2</w:t>
      </w:r>
      <w:r w:rsidRPr="00620201">
        <w:rPr>
          <w:lang w:val="en-CA"/>
        </w:rPr>
        <w:t xml:space="preserve"> than</w:t>
      </w:r>
      <w:r w:rsidR="00CF1F4D">
        <w:rPr>
          <w:lang w:val="en-CA"/>
        </w:rPr>
        <w:t xml:space="preserve"> </w:t>
      </w:r>
      <w:proofErr w:type="spellStart"/>
      <w:r w:rsidR="00CF1F4D">
        <w:rPr>
          <w:rFonts w:ascii="Calibri" w:hAnsi="Calibri" w:cs="Calibri"/>
          <w:lang w:val="en-CA"/>
        </w:rPr>
        <w:t>Ω</w:t>
      </w:r>
      <w:r w:rsidRPr="00620201">
        <w:rPr>
          <w:vertAlign w:val="subscript"/>
          <w:lang w:val="en-CA"/>
        </w:rPr>
        <w:t>He</w:t>
      </w:r>
      <w:proofErr w:type="spellEnd"/>
      <w:r w:rsidRPr="00620201">
        <w:rPr>
          <w:lang w:val="en-CA"/>
        </w:rPr>
        <w:t xml:space="preserve"> owing to the relatively large polarizability of molecular nitrogen. We recommend that partial charge calculations should be computed at the B3LYP/6-31++G(</w:t>
      </w:r>
      <w:proofErr w:type="spellStart"/>
      <w:proofErr w:type="gramStart"/>
      <w:r w:rsidRPr="00620201">
        <w:rPr>
          <w:lang w:val="en-CA"/>
        </w:rPr>
        <w:t>d,p</w:t>
      </w:r>
      <w:proofErr w:type="spellEnd"/>
      <w:proofErr w:type="gramEnd"/>
      <w:r w:rsidRPr="00620201">
        <w:rPr>
          <w:lang w:val="en-CA"/>
        </w:rPr>
        <w:t xml:space="preserve">) level of theory to maintain consistency with the calibration set. However, a change in basis set should not have a major effect unless the relative energies of local minima are significantly changed, since this would influence Boltzmann-weighted CCSs. </w:t>
      </w:r>
    </w:p>
    <w:p w14:paraId="7F3914BD" w14:textId="77777777" w:rsidR="00620201" w:rsidRPr="00620201" w:rsidRDefault="00620201" w:rsidP="000356B7">
      <w:pPr>
        <w:jc w:val="both"/>
        <w:rPr>
          <w:lang w:val="en-CA"/>
        </w:rPr>
      </w:pPr>
    </w:p>
    <w:p w14:paraId="4BDD8E2C" w14:textId="132760F4" w:rsidR="00620201" w:rsidRPr="00620201" w:rsidRDefault="00620201" w:rsidP="000356B7">
      <w:pPr>
        <w:jc w:val="both"/>
        <w:rPr>
          <w:lang w:val="en-CA"/>
        </w:rPr>
      </w:pPr>
      <w:r w:rsidRPr="00620201">
        <w:rPr>
          <w:lang w:val="en-CA"/>
        </w:rPr>
        <w:t xml:space="preserve">It has been previously suggested that inclusion of the </w:t>
      </w:r>
      <w:r w:rsidRPr="00620201">
        <w:rPr>
          <w:i/>
          <w:lang w:val="en-CA"/>
        </w:rPr>
        <w:t>V</w:t>
      </w:r>
      <w:r w:rsidRPr="00620201">
        <w:rPr>
          <w:i/>
          <w:vertAlign w:val="subscript"/>
          <w:lang w:val="en-CA"/>
        </w:rPr>
        <w:t>IQ</w:t>
      </w:r>
      <w:r w:rsidRPr="00620201">
        <w:rPr>
          <w:lang w:val="en-CA"/>
        </w:rPr>
        <w:t xml:space="preserve"> term in the ion-N</w:t>
      </w:r>
      <w:r w:rsidRPr="00620201">
        <w:rPr>
          <w:vertAlign w:val="subscript"/>
          <w:lang w:val="en-CA"/>
        </w:rPr>
        <w:t>2</w:t>
      </w:r>
      <w:r w:rsidRPr="00620201">
        <w:rPr>
          <w:lang w:val="en-CA"/>
        </w:rPr>
        <w:t xml:space="preserve"> potential could be circumvented by fitting appropriate scaling factors to the </w:t>
      </w:r>
      <w:proofErr w:type="spellStart"/>
      <w:r w:rsidRPr="00620201">
        <w:rPr>
          <w:i/>
          <w:lang w:val="en-CA"/>
        </w:rPr>
        <w:t>V</w:t>
      </w:r>
      <w:r w:rsidRPr="00620201">
        <w:rPr>
          <w:i/>
          <w:vertAlign w:val="subscript"/>
          <w:lang w:val="en-CA"/>
        </w:rPr>
        <w:t>vdW</w:t>
      </w:r>
      <w:proofErr w:type="spellEnd"/>
      <w:r w:rsidRPr="00620201">
        <w:rPr>
          <w:lang w:val="en-CA"/>
        </w:rPr>
        <w:t xml:space="preserve"> potential.</w:t>
      </w:r>
      <w:r w:rsidRPr="00620201">
        <w:rPr>
          <w:lang w:val="en-CA"/>
        </w:rPr>
        <w:fldChar w:fldCharType="begin" w:fldLock="1"/>
      </w:r>
      <w:r w:rsidR="006B4206">
        <w:rPr>
          <w:lang w:val="en-CA"/>
        </w:rPr>
        <w:instrText xml:space="preserve">ADDIN CSL_CITATION {"citationItems":[{"id":"ITEM-1","itemData":{"DOI":"10.1063/1.5016170","ISSN":"00219606","PMID":"29471643","abstract":"The problem of optimizing Lennard-Jones (L-J) potential parameters to perform collision cross section (CCS) calculations in ion mobility spectrometry has been undertaken. The experimental CCS of 16 small organic molecules containing carbon, hydrogen, oxygen, nitrogen, and fluoride in N2 was compared to numerical calculations using Density Functional Theory (DFT). CCS calculations were performed using the momentum transfer algorithm IMoS and a 4-6-12 potential without incorporating the ion-quadrupole potential. A ceteris paribus optimization method was used to optimize the intercept σ and potential well-depth </w:instrText>
      </w:r>
      <w:r w:rsidR="006B4206">
        <w:rPr>
          <w:rFonts w:ascii="Cambria" w:hAnsi="Cambria" w:cs="Cambria"/>
          <w:lang w:val="en-CA"/>
        </w:rPr>
        <w:instrText>ϵ</w:instrText>
      </w:r>
      <w:r w:rsidR="006B4206">
        <w:rPr>
          <w:lang w:val="en-CA"/>
        </w:rPr>
        <w:instrText xml:space="preserve"> for the given atoms. This method yields important information that otherwise would remain concealed. Results show that the optimized L-J parameters are not necessarily unique with intercept and well-depth following an exponential relation at an existing line of minimums. Similarly, the method shows that some molecules containing atoms of interest may be ill-conditioned candidates to perform optimizations of the L-J parameters. The final calculated CCSs for the chosen parameters differ 1% on average from their experimental counterparts. This result conveys the notion that DFT calculations can indeed be used as potential candidates for CCS calculations and that effects, such as the ion-quadrupole potential or diffuse scattering, can be embedded into the L-J parameters without loss of accuracy but with a large increase in computational efficiency.","author":[{"dropping-particle":"","family":"Wu","given":"Tianyang","non-dropping-particle":"","parse-names":false,"suffix":""},{"dropping-particle":"","family":"Derrick","given":"Joseph","non-dropping-particle":"","parse-names":false,"suffix":""},{"dropping-particle":"","family":"Nahin","given":"Minal","non-dropping-particle":"","parse-names":false,"suffix":""},{"dropping-particle":"","family":"Chen","given":"Xi","non-dropping-particle":"","parse-names":false,"suffix":""},{"dropping-particle":"","family":"Larriba-Andaluz","given":"Carlos","non-dropping-particle":"","parse-names":false,"suffix":""}],"container-title":"Journal of Chemical Physics","id":"ITEM-1","issue":"7","issued":{"date-parts":[["2018"]]},"page":"074102","title":"Optimization of long range potential interaction parameters in ion mobility spectrometry","type":"article-journal","volume":"148"},"uris":["http://www.mendeley.com/documents/?uuid=440ea874-a390-4ad3-8be6-6ec869259703"]}],"mendeley":{"formattedCitation":"&lt;sup&gt;9&lt;/sup&gt;","plainTextFormattedCitation":"9","previouslyFormattedCitation":"&lt;sup&gt;9&lt;/sup&gt;"},"properties":{"noteIndex":0},"schema":"https://github.com/citation-style-language/schema/raw/master/csl-citation.json"}</w:instrText>
      </w:r>
      <w:r w:rsidRPr="00620201">
        <w:rPr>
          <w:lang w:val="en-CA"/>
        </w:rPr>
        <w:fldChar w:fldCharType="separate"/>
      </w:r>
      <w:r w:rsidR="009E64B1" w:rsidRPr="009E64B1">
        <w:rPr>
          <w:noProof/>
          <w:vertAlign w:val="superscript"/>
          <w:lang w:val="en-CA"/>
        </w:rPr>
        <w:t>9</w:t>
      </w:r>
      <w:r w:rsidRPr="00620201">
        <w:rPr>
          <w:lang w:val="en-CA"/>
        </w:rPr>
        <w:fldChar w:fldCharType="end"/>
      </w:r>
      <w:r w:rsidRPr="00620201">
        <w:rPr>
          <w:lang w:val="en-CA"/>
        </w:rPr>
        <w:t xml:space="preserve"> While exclusion of </w:t>
      </w:r>
      <w:r w:rsidRPr="00620201">
        <w:rPr>
          <w:i/>
          <w:lang w:val="en-CA"/>
        </w:rPr>
        <w:t>V</w:t>
      </w:r>
      <w:r w:rsidRPr="00620201">
        <w:rPr>
          <w:i/>
          <w:vertAlign w:val="subscript"/>
          <w:lang w:val="en-CA"/>
        </w:rPr>
        <w:t>IQ</w:t>
      </w:r>
      <w:r w:rsidRPr="00620201">
        <w:rPr>
          <w:lang w:val="en-CA"/>
        </w:rPr>
        <w:t xml:space="preserve"> would be beneficial in terms of reducing computational cost, its exclusion will also reduce the accuracy of the calculated CCS values. To quantify the importance of the various terms in the interaction potential, we explored the effect of removal of the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xml:space="preserve"> terms on computational time, calculation accuracy, and trends with experimental values. Removal of both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xml:space="preserve"> returned an average speedup of 2.6-fold, while removal of </w:t>
      </w:r>
      <w:r w:rsidRPr="00620201">
        <w:rPr>
          <w:i/>
          <w:lang w:val="en-CA"/>
        </w:rPr>
        <w:t>V</w:t>
      </w:r>
      <w:r w:rsidRPr="00620201">
        <w:rPr>
          <w:i/>
          <w:vertAlign w:val="subscript"/>
          <w:lang w:val="en-CA"/>
        </w:rPr>
        <w:t xml:space="preserve">IQ </w:t>
      </w:r>
      <w:r w:rsidRPr="00620201">
        <w:rPr>
          <w:lang w:val="en-CA"/>
        </w:rPr>
        <w:t xml:space="preserve">returned a speedup of 1.2-fold (Table S3). In terms of accuracy, the red bars in Figure 6D show that removal of both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xml:space="preserve"> terms returns a RMSE of 16.54 %. Figures S2 and S3 shows that individual removal of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xml:space="preserve"> terms yield RMSEs of 13.38 % and 3.80 %, respectively. Based on the data, it is unlikely that removal of either potential can be compensated by modifications to the </w:t>
      </w:r>
      <w:proofErr w:type="spellStart"/>
      <w:r w:rsidRPr="00620201">
        <w:rPr>
          <w:lang w:val="en-CA"/>
        </w:rPr>
        <w:t>vdW</w:t>
      </w:r>
      <w:proofErr w:type="spellEnd"/>
      <w:r w:rsidRPr="00620201">
        <w:rPr>
          <w:lang w:val="en-CA"/>
        </w:rPr>
        <w:t xml:space="preserve"> potential for small ions. Moreover, the slight gain in computational efficiency results in significantly larger variance of CCS measurements, in addition to increased deviation from experiment. While there is some merit to replacement of the </w:t>
      </w:r>
      <w:r w:rsidRPr="00620201">
        <w:rPr>
          <w:i/>
          <w:lang w:val="en-CA"/>
        </w:rPr>
        <w:t>V</w:t>
      </w:r>
      <w:r w:rsidRPr="00620201">
        <w:rPr>
          <w:i/>
          <w:vertAlign w:val="subscript"/>
          <w:lang w:val="en-CA"/>
        </w:rPr>
        <w:t>IQ</w:t>
      </w:r>
      <w:r w:rsidRPr="00620201">
        <w:rPr>
          <w:lang w:val="en-CA"/>
        </w:rPr>
        <w:t xml:space="preserve"> potential with appropriate </w:t>
      </w:r>
      <w:proofErr w:type="spellStart"/>
      <w:r w:rsidRPr="00620201">
        <w:rPr>
          <w:lang w:val="en-CA"/>
        </w:rPr>
        <w:t>vdW</w:t>
      </w:r>
      <w:proofErr w:type="spellEnd"/>
      <w:r w:rsidRPr="00620201">
        <w:rPr>
          <w:lang w:val="en-CA"/>
        </w:rPr>
        <w:t xml:space="preserve"> parameters, linear regression indicates a significant non-unity relationship between CCSs predicted by MobCal-MPI and experiment (Figure S2). </w:t>
      </w:r>
      <w:bookmarkStart w:id="11" w:name="_Hlk531868713"/>
      <w:r w:rsidRPr="00620201">
        <w:rPr>
          <w:lang w:val="en-CA"/>
        </w:rPr>
        <w:t>This correlates with the observation that the measurable difference in experimental Ω</w:t>
      </w:r>
      <w:r w:rsidRPr="00620201">
        <w:rPr>
          <w:vertAlign w:val="subscript"/>
          <w:lang w:val="en-CA"/>
        </w:rPr>
        <w:t>N2</w:t>
      </w:r>
      <w:r w:rsidRPr="00620201">
        <w:rPr>
          <w:lang w:val="en-CA"/>
        </w:rPr>
        <w:t xml:space="preserve"> of diastereomeric species,</w:t>
      </w:r>
      <w:r w:rsidRPr="00620201">
        <w:rPr>
          <w:lang w:val="en-CA"/>
        </w:rPr>
        <w:fldChar w:fldCharType="begin" w:fldLock="1"/>
      </w:r>
      <w:r w:rsidR="006B4206">
        <w:rPr>
          <w:lang w:val="en-CA"/>
        </w:rPr>
        <w:instrText xml:space="preserve">ADDIN CSL_CITATION {"citationItems":[{"id":"ITEM-1","itemData":{"DOI":"10.1021/ac202625t","ISBN":"1520-6882 (Electronic)\\r0003-2700 (Linking)","ISSN":"00032700","PMID":"22141445","abstract":"We present the use of drug-like molecules as a traveling wave (T-wave) ion mobility (IM) calibration sample set, covering the m/z range of 122.1-609.3, the nitrogen collision cross-section (ωN 2) range of 124.5-254.3 Å 2 and the helium collision cross-section (ω He) range of 63.0-178.8 Å 2. Absolute ωN 2 and ω He values for the drug-like calibrants and two diastereomers were measured using a drift-tube instrument with radio frequency (RF) ion confinement. T-wave drift-times for the protonated diastereomers betamethasone and dexamethasone are reproducibly different. Calibration of these drift-times yields T-wave ωN 2 values of 189.4 and 190.4 Å 2, respectively. These results demonstrate the ability of T-wave IM spectrometry to differentiate diastereomers differing in ωN 2 value by only 1 Å 2, even though the resolution of these IM experiments were </w:instrText>
      </w:r>
      <w:r w:rsidR="006B4206">
        <w:rPr>
          <w:rFonts w:ascii="Cambria Math" w:hAnsi="Cambria Math" w:cs="Cambria Math"/>
          <w:lang w:val="en-CA"/>
        </w:rPr>
        <w:instrText>∼</w:instrText>
      </w:r>
      <w:r w:rsidR="006B4206">
        <w:rPr>
          <w:lang w:val="en-CA"/>
        </w:rPr>
        <w:instrText>40 (</w:instrText>
      </w:r>
      <w:r w:rsidR="006B4206">
        <w:rPr>
          <w:rFonts w:cs="Garamond"/>
          <w:lang w:val="en-CA"/>
        </w:rPr>
        <w:instrText>ω</w:instrText>
      </w:r>
      <w:r w:rsidR="006B4206">
        <w:rPr>
          <w:lang w:val="en-CA"/>
        </w:rPr>
        <w:instrText>/</w:instrText>
      </w:r>
      <w:r w:rsidR="006B4206">
        <w:rPr>
          <w:rFonts w:cs="Garamond"/>
          <w:lang w:val="en-CA"/>
        </w:rPr>
        <w:instrText>δω</w:instrText>
      </w:r>
      <w:r w:rsidR="006B4206">
        <w:rPr>
          <w:lang w:val="en-CA"/>
        </w:rPr>
        <w:instrText>). Demonstrated through density functional theory optimized geometries and ionic electrostatic surface potential analysis, the small but measurable mobility difference between the two diastereomers is mainly due to short-range van der Waals interactions with the neutral buffer gas and not long-range charge-induced dipole interactions. The experimental RF-confining drift-tube and T-wave ωN 2 values were also evaluated using a nitrogen based trajectory method, optimized for T-wave operating temperature and pressures, incorporating additional scaling factors to the Lennard-Jones potentials. Experimental ω He values were also compared to the original and optimized helium based trajectory methods. © 2011 American Chemical Society.","author":[{"dropping-particle":"","family":"Campuzano","given":"Iain","non-dropping-particle":"","parse-names":false,"suffix":""},{"dropping-particle":"","family":"Bush","given":"Matthew F.","non-dropping-particle":"","parse-names":false,"suffix":""},{"dropping-particle":"V.","family":"Robinson","given":"Carol","non-dropping-particle":"","parse-names":false,"suffix":""},{"dropping-particle":"","family":"Beaumont","given":"Claire","non-dropping-particle":"","parse-names":false,"suffix":""},{"dropping-particle":"","family":"Richardson","given":"Keith","non-dropping-particle":"","parse-names":false,"suffix":""},{"dropping-particle":"","family":"Kim","given":"Hyungjun","non-dropping-particle":"","parse-names":false,"suffix":""},{"dropping-particle":"","family":"Kim","given":"Hugh I.","non-dropping-particle":"","parse-names":false,"suffix":""}],"container-title":"Analytical Chemistry","id":"ITEM-1","issue":"2","issued":{"date-parts":[["2012"]]},"page":"1026-1033","title":"Structural characterization of drug-like compounds by ion mobility mass spectrometry: Comparison of theoretical and experimentally derived nitrogen collision cross sections","type":"article-journal","volume":"84"},"uris":["http://www.mendeley.com/documents/?uuid=c1c4d96a-0c5a-401d-a0a5-7e82b92fae24"]}],"mendeley":{"formattedCitation":"&lt;sup&gt;8&lt;/sup&gt;","plainTextFormattedCitation":"8","previouslyFormattedCitation":"&lt;sup&gt;8&lt;/sup&gt;"},"properties":{"noteIndex":0},"schema":"https://github.com/citation-style-language/schema/raw/master/csl-citation.json"}</w:instrText>
      </w:r>
      <w:r w:rsidRPr="00620201">
        <w:rPr>
          <w:lang w:val="en-CA"/>
        </w:rPr>
        <w:fldChar w:fldCharType="separate"/>
      </w:r>
      <w:r w:rsidR="009E64B1" w:rsidRPr="009E64B1">
        <w:rPr>
          <w:noProof/>
          <w:vertAlign w:val="superscript"/>
          <w:lang w:val="en-CA"/>
        </w:rPr>
        <w:t>8</w:t>
      </w:r>
      <w:r w:rsidRPr="00620201">
        <w:rPr>
          <w:lang w:val="en-CA"/>
        </w:rPr>
        <w:fldChar w:fldCharType="end"/>
      </w:r>
      <w:r w:rsidRPr="00620201">
        <w:rPr>
          <w:lang w:val="en-CA"/>
        </w:rPr>
        <w:t xml:space="preserve"> tertiary/quaternary ammonium species,</w:t>
      </w:r>
      <w:r w:rsidRPr="00620201">
        <w:rPr>
          <w:lang w:val="en-CA"/>
        </w:rPr>
        <w:fldChar w:fldCharType="begin" w:fldLock="1"/>
      </w:r>
      <w:r w:rsidR="006B4206">
        <w:rPr>
          <w:lang w:val="en-CA"/>
        </w:rPr>
        <w:instrText xml:space="preserve">ADDIN CSL_CITATION {"citationItems":[{"id":"ITEM-1","itemData":{"DOI":"10.1021/ac701888e","ISBN":"1513215140","ISSN":"00032700","PMID":"18278882","abstract":"A number of tertiary amine and quaternary ammonium cations spanning a mass range of 60-146 amu (trimethylamine, tetramethylammonium, trimethylethylaminonium, N,N-dimethylaminoethanol, choline, N,N-dimethylglycine, betaine, acetylcholine, (3-carboxypropyl)trimethylammonium) were investigated using electrospray ionization ion mobility spectrometry. Measured ion mobilities demonstrate a high correlation between mass and mobility in N2. In addition, identical mobilities within experimental uncertainties are observed for structurally dissimilar ions with similar ion masses. For example, dimethylethylammonium (88 amu) cations and protonated N,N-dimethylaminoethanol cations (90 amu) show identical mobilities (1.93 cm2 V-1 s-1) though N,N-dimethylaminoethanol contains a hydroxyl functional group while dimethylethylammonium only contains alkyl groups. Computational analysis was performed using the modified trajectory (TJ) method with nonspherical N2 molecules as the drift gas. The sensitivity of the ammonium cation collision cross sections to the details of the ion-neutral interactions was investigated and compared to other classes of organic molecules (carboxylic acids and abiotic amino acids). The specific charge distribution of the molecular ions in the investigated mass range has an insignificant affect on the collision cross section. © 2008 American Chemical Society.","author":[{"dropping-particle":"","family":"Kim","given":"Hyungjun","non-dropping-particle":"","parse-names":false,"suffix":""},{"dropping-particle":"","family":"Kim","given":"Hugh I.","non-dropping-particle":"","parse-names":false,"suffix":""},{"dropping-particle":"V.","family":"Johnson","given":"Paul","non-dropping-particle":"","parse-names":false,"suffix":""},{"dropping-particle":"","family":"Beegle","given":"Luther W.","non-dropping-particle":"","parse-names":false,"suffix":""},{"dropping-particle":"","family":"Beauchamp","given":"J. L.","non-dropping-particle":"","parse-names":false,"suffix":""},{"dropping-particle":"","family":"Goddard","given":"William A.","non-dropping-particle":"","parse-names":false,"suffix":""},{"dropping-particle":"","family":"Kanik","given":"Isik","non-dropping-particle":"","parse-names":false,"suffix":""}],"container-title":"Analytical Chemistry","id":"ITEM-1","issue":"6","issued":{"date-parts":[["2008"]]},"page":"1928-1936","title":"Experimental and theoretical investigation into the correlation between mass and ion mobility for choline and other ammonium cations in N2","type":"article-journal","volume":"80"},"uris":["http://www.mendeley.com/documents/?uuid=9d9f0539-0b82-47ba-ba61-5ee0b4fa9563"]},{"id":"ITEM-2","itemData":{"DOI":"10.1021/ac900672a","ISBN":"0003-2700","ISSN":"00032700","PMID":"19764704","abstract":"A number of phosphatidylcholine (PC) cations spanning a mass range of 400-1000 Da are investigated using electrospray ionization mass spectrometry coupled with traveling wave ion mobility spectrometry (TWIMS). A high correlation between mass and mobility is demonstrated with saturated phosphatidylcholine cations in N2. A significant deviation from this mass-mobility correlation line is observed for the unsaturated PC cation. We found that the double bond in the acyl chain causes a 5% reduction in drift time. The drift time is reduced at a rate of </w:instrText>
      </w:r>
      <w:r w:rsidR="006B4206">
        <w:rPr>
          <w:rFonts w:ascii="Cambria Math" w:hAnsi="Cambria Math" w:cs="Cambria Math"/>
          <w:lang w:val="en-CA"/>
        </w:rPr>
        <w:instrText>∼</w:instrText>
      </w:r>
      <w:r w:rsidR="006B4206">
        <w:rPr>
          <w:lang w:val="en-CA"/>
        </w:rPr>
        <w:instrText>1% for each additional double bond. Theoretical collision cross sections of PC cations exhibit good agreement with experimentally evaluated values. Collision cross sections are determined using the recently derived relationship between mobility and drift time in TWIMS stacked ring ion guide (SRIG) and compared to estimated collision cross sections using an empiric calibration method. Computational analysis was performed using the modified trajectory (TJ) method with nonspherical N 2 molecules as the drift gas. The difference between estimated collision cross sections and theoretical collision cross sections of PC cations is related to the sensitivity of the PC cation collision cross sections to the details of the ion-neutral interactions. The origin of the observed correlation and deviation between mass and mobility of PC cations is discussed in terms of the structural rigidity of these molecules using molecular dynamic simulations. © 2009 American Chemical Society.","author":[{"dropping-particle":"","family":"Kim","given":"Hugh I.","non-dropping-particle":"","parse-names":false,"suffix":""},{"dropping-particle":"","family":"Kim","given":"Hyungjun","non-dropping-particle":"","parse-names":false,"suffix":""},{"dropping-particle":"","family":"Pang","given":"Eric S.","non-dropping-particle":"","parse-names":false,"suffix":""},{"dropping-particle":"","family":"Ryu","given":"Ernest K.","non-dropping-particle":"","parse-names":false,"suffix":""},{"dropping-particle":"","family":"Beegle","given":"Luther W.","non-dropping-particle":"","parse-names":false,"suffix":""},{"dropping-particle":"","family":"Loo","given":"Joseph A.","non-dropping-particle":"","parse-names":false,"suffix":""},{"dropping-particle":"","family":"Goddard","given":"William A.","non-dropping-particle":"","parse-names":false,"suffix":""},{"dropping-particle":"","family":"Kanik","given":"Isik","non-dropping-particle":"","parse-names":false,"suffix":""}],"container-title":"Analytical Chemistry","id":"ITEM-2","issue":"20","issued":{"date-parts":[["2009"]]},"page":"8289-8297","title":"Structural characterization of unsaturated phosphatidylcholines using traveling wave ion mobility spectrometry","type":"article-journal","volume":"81"},"uris":["http://www.mendeley.com/documents/?uuid=e30f452a-5f75-48c8-bd9b-86d0bc6f6775"]}],"mendeley":{"formattedCitation":"&lt;sup&gt;16,17&lt;/sup&gt;","plainTextFormattedCitation":"16,17","previouslyFormattedCitation":"&lt;sup&gt;16,17&lt;/sup&gt;"},"properties":{"noteIndex":0},"schema":"https://github.com/citation-style-language/schema/raw/master/csl-citation.json"}</w:instrText>
      </w:r>
      <w:r w:rsidRPr="00620201">
        <w:rPr>
          <w:lang w:val="en-CA"/>
        </w:rPr>
        <w:fldChar w:fldCharType="separate"/>
      </w:r>
      <w:r w:rsidR="009E64B1" w:rsidRPr="009E64B1">
        <w:rPr>
          <w:noProof/>
          <w:vertAlign w:val="superscript"/>
          <w:lang w:val="en-CA"/>
        </w:rPr>
        <w:t>16,17</w:t>
      </w:r>
      <w:r w:rsidRPr="00620201">
        <w:rPr>
          <w:lang w:val="en-CA"/>
        </w:rPr>
        <w:fldChar w:fldCharType="end"/>
      </w:r>
      <w:r w:rsidRPr="00620201">
        <w:rPr>
          <w:lang w:val="en-CA"/>
        </w:rPr>
        <w:t xml:space="preserve"> and proteins</w:t>
      </w:r>
      <w:r w:rsidRPr="00620201">
        <w:rPr>
          <w:lang w:val="en-CA"/>
        </w:rPr>
        <w:fldChar w:fldCharType="begin" w:fldLock="1"/>
      </w:r>
      <w:r w:rsidR="006B4206">
        <w:rPr>
          <w:lang w:val="en-CA"/>
        </w:rPr>
        <w:instrText>ADDIN CSL_CITATION {"citationItems":[{"id":"ITEM-1","itemData":{"DOI":"10.1021/acs.jpca.8b04474","ISBN":"1877-0568","ISSN":"15205215","PMID":"29864282","abstract":"Ion mobility is emerging as a rapid and sensitive tool for structural characterization. Collision cross-section (ω) values determined using ion mobility are often compared to values calculated for candidate structures generated through molecular modeling. Several methods exist for calculating ω values, but the trajectory method explicitly includes contributions from long-range, ion-neutral interactions. Recent implementations of the trajectory method have significantly reduced its expense and have made applications to proteins far more tractable. Here, we use ion mobility experiments and trajectory method calculations to characterize the effects of charge state, charge distribution, and structure on the ion mobility of proteins in nitrogen gas. These results show that ion-induced dipole interactions contribute significantly to the ω values of these ions with nitrogen gas, even for the modestly charged ions commonly observed in native mass spectrometry experiments. Therefore, these interactions contribute significantly to the values measured in most structural biology and biophysics applications of ion mobility using nitrogen gas. Comparisons between the reciprocal mobilities of protein ions in helium gas and in nitrogen gas show that there are significant, noncorrelated differences between these values. As a consequence, it is challenging to estimate the errors associated with interconverting between helium- and nitrogen-based mobilities without extensive characterization in both gases, even for ions of proteins with similar sequences. Therefore, we recommend reporting ω and mobility values that are based on the predominant gas present in the separation and applying additional caution when comparing results from mobility experiments performed using different gases.","author":[{"dropping-particle":"","family":"Canzani","given":"Daniele","non-dropping-particle":"","parse-names":false,"suffix":""},{"dropping-particle":"","family":"Laszlo","given":"Kenneth J.","non-dropping-particle":"","parse-names":false,"suffix":""},{"dropping-particle":"","family":"Bush","given":"Matthew F.","non-dropping-particle":"","parse-names":false,"suffix":""}],"container-title":"Journal of Physical Chemistry A","genre":"research-article","id":"ITEM-1","issue":"25","issued":{"date-parts":[["2018"]]},"page":"5625-5634","publisher":"American Chemical Society","title":"Ion Mobility of Proteins in Nitrogen Gas: Effects of Charge State, Charge Distribution, and Structure","type":"article-journal","volume":"122"},"uris":["http://www.mendeley.com/documents/?uuid=3f1f4842-83b7-4280-bc2f-19b3f2ebb648"]}],"mendeley":{"formattedCitation":"&lt;sup&gt;27&lt;/sup&gt;","plainTextFormattedCitation":"27","previouslyFormattedCitation":"&lt;sup&gt;27&lt;/sup&gt;"},"properties":{"noteIndex":0},"schema":"https://github.com/citation-style-language/schema/raw/master/csl-citation.json"}</w:instrText>
      </w:r>
      <w:r w:rsidRPr="00620201">
        <w:rPr>
          <w:lang w:val="en-CA"/>
        </w:rPr>
        <w:fldChar w:fldCharType="separate"/>
      </w:r>
      <w:r w:rsidR="009E64B1" w:rsidRPr="009E64B1">
        <w:rPr>
          <w:noProof/>
          <w:vertAlign w:val="superscript"/>
          <w:lang w:val="en-CA"/>
        </w:rPr>
        <w:t>27</w:t>
      </w:r>
      <w:r w:rsidRPr="00620201">
        <w:rPr>
          <w:lang w:val="en-CA"/>
        </w:rPr>
        <w:fldChar w:fldCharType="end"/>
      </w:r>
      <w:r w:rsidRPr="00620201">
        <w:rPr>
          <w:lang w:val="en-CA"/>
        </w:rPr>
        <w:t xml:space="preserve"> depends on accurate modelling of short- (</w:t>
      </w:r>
      <w:proofErr w:type="spellStart"/>
      <w:r w:rsidRPr="00620201">
        <w:rPr>
          <w:i/>
          <w:lang w:val="en-CA"/>
        </w:rPr>
        <w:t>V</w:t>
      </w:r>
      <w:r w:rsidRPr="00620201">
        <w:rPr>
          <w:i/>
          <w:vertAlign w:val="subscript"/>
          <w:lang w:val="en-CA"/>
        </w:rPr>
        <w:t>vdW</w:t>
      </w:r>
      <w:proofErr w:type="spellEnd"/>
      <w:r w:rsidRPr="00620201">
        <w:rPr>
          <w:lang w:val="en-CA"/>
        </w:rPr>
        <w:t>) and long-range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interactions using appropriate potentials</w:t>
      </w:r>
      <w:bookmarkEnd w:id="11"/>
      <w:r w:rsidRPr="00620201">
        <w:rPr>
          <w:lang w:val="en-CA"/>
        </w:rPr>
        <w:t xml:space="preserve">. If such a method were desired, individual empirical optimization of each atom type in the </w:t>
      </w:r>
      <w:proofErr w:type="spellStart"/>
      <w:r w:rsidRPr="00620201">
        <w:rPr>
          <w:lang w:val="en-CA"/>
        </w:rPr>
        <w:t>vdW</w:t>
      </w:r>
      <w:proofErr w:type="spellEnd"/>
      <w:r w:rsidRPr="00620201">
        <w:rPr>
          <w:lang w:val="en-CA"/>
        </w:rPr>
        <w:t xml:space="preserve"> potential would be required, which is not feasible owing to the 100 unique </w:t>
      </w:r>
      <w:proofErr w:type="spellStart"/>
      <w:r w:rsidRPr="00620201">
        <w:rPr>
          <w:lang w:val="en-CA"/>
        </w:rPr>
        <w:t>vdW</w:t>
      </w:r>
      <w:proofErr w:type="spellEnd"/>
      <w:r w:rsidRPr="00620201">
        <w:rPr>
          <w:lang w:val="en-CA"/>
        </w:rPr>
        <w:t xml:space="preserve"> parameters defined in the MMFF94 forcefield.</w:t>
      </w:r>
    </w:p>
    <w:p w14:paraId="0DA3FD0A" w14:textId="77777777" w:rsidR="00620201" w:rsidRPr="00620201" w:rsidRDefault="00620201" w:rsidP="000356B7">
      <w:pPr>
        <w:jc w:val="both"/>
        <w:rPr>
          <w:lang w:val="en-CA"/>
        </w:rPr>
      </w:pPr>
    </w:p>
    <w:p w14:paraId="672F0DF2" w14:textId="77777777" w:rsidR="00620201" w:rsidRPr="00620201" w:rsidRDefault="00620201" w:rsidP="000356B7">
      <w:pPr>
        <w:jc w:val="both"/>
        <w:rPr>
          <w:lang w:val="en-CA"/>
        </w:rPr>
      </w:pPr>
      <w:r w:rsidRPr="00620201">
        <w:rPr>
          <w:lang w:val="en-CA"/>
        </w:rPr>
        <w:t xml:space="preserve">The exclusion of the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xml:space="preserve"> terms creates a dependence of error on ion size; deviations from experimental CCSs diminish as ion size increases. In other words, </w:t>
      </w:r>
      <w:r w:rsidRPr="00620201">
        <w:rPr>
          <w:i/>
          <w:lang w:val="en-CA"/>
        </w:rPr>
        <w:t>V</w:t>
      </w:r>
      <w:r w:rsidRPr="00620201">
        <w:rPr>
          <w:i/>
          <w:vertAlign w:val="subscript"/>
          <w:lang w:val="en-CA"/>
        </w:rPr>
        <w:t>IID</w:t>
      </w:r>
      <w:r w:rsidRPr="00620201">
        <w:rPr>
          <w:i/>
          <w:lang w:val="en-CA"/>
        </w:rPr>
        <w:t xml:space="preserve"> </w:t>
      </w:r>
      <w:r w:rsidRPr="00620201">
        <w:rPr>
          <w:lang w:val="en-CA"/>
        </w:rPr>
        <w:t xml:space="preserve">and </w:t>
      </w:r>
      <w:r w:rsidRPr="00620201">
        <w:rPr>
          <w:i/>
          <w:lang w:val="en-CA"/>
        </w:rPr>
        <w:t>V</w:t>
      </w:r>
      <w:r w:rsidRPr="00620201">
        <w:rPr>
          <w:i/>
          <w:vertAlign w:val="subscript"/>
          <w:lang w:val="en-CA"/>
        </w:rPr>
        <w:t>IQ</w:t>
      </w:r>
      <w:r w:rsidRPr="00620201">
        <w:rPr>
          <w:lang w:val="en-CA"/>
        </w:rPr>
        <w:t xml:space="preserve"> are particularly important for accurate calculation of small molecule CCSs. This result can be rationalized in terms of surface exposure and has implications in the development of a method for macromolecular CCS calculations. In the case of small species, which effectively expose all atoms at the outer molecular surface, any changes to parameters that affect ion radii (</w:t>
      </w:r>
      <w:r w:rsidRPr="00620201">
        <w:rPr>
          <w:i/>
          <w:lang w:val="en-CA"/>
        </w:rPr>
        <w:t>i.e.</w:t>
      </w:r>
      <w:r w:rsidRPr="00620201">
        <w:rPr>
          <w:lang w:val="en-CA"/>
        </w:rPr>
        <w:t xml:space="preserve">, </w:t>
      </w:r>
      <w:proofErr w:type="spellStart"/>
      <w:r w:rsidRPr="00620201">
        <w:rPr>
          <w:i/>
          <w:lang w:val="en-CA"/>
        </w:rPr>
        <w:t>V</w:t>
      </w:r>
      <w:r w:rsidRPr="00620201">
        <w:rPr>
          <w:i/>
          <w:vertAlign w:val="subscript"/>
          <w:lang w:val="en-CA"/>
        </w:rPr>
        <w:t>vdW</w:t>
      </w:r>
      <w:proofErr w:type="spellEnd"/>
      <w:r w:rsidRPr="00620201">
        <w:rPr>
          <w:lang w:val="en-CA"/>
        </w:rPr>
        <w:t xml:space="preserve">,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xml:space="preserve"> terms) will have a substantial influence on buffer gas trajectories (and CCS by association). As the size of the molecular entity increases, atoms can become buried within the effective ion core, and thus will exhibit little influence on buffer gas trajectories. Continual ion growth will eventually reach a size regime where only a small fraction of the total number of atoms is exposed at the molecular surface. When this size regime is reached, changes in effective ion radii will minutely increase the size of the exposed surface and will essentially leave the volume of the ion core unchanged. Bearing this in mind, we expect the effect of corrections from </w:t>
      </w:r>
      <w:r w:rsidRPr="00620201">
        <w:rPr>
          <w:i/>
          <w:lang w:val="en-CA"/>
        </w:rPr>
        <w:t>V</w:t>
      </w:r>
      <w:r w:rsidRPr="00620201">
        <w:rPr>
          <w:i/>
          <w:vertAlign w:val="subscript"/>
          <w:lang w:val="en-CA"/>
        </w:rPr>
        <w:t>IID</w:t>
      </w:r>
      <w:r w:rsidRPr="00620201">
        <w:rPr>
          <w:lang w:val="en-CA"/>
        </w:rPr>
        <w:t xml:space="preserve"> and </w:t>
      </w:r>
      <w:r w:rsidRPr="00620201">
        <w:rPr>
          <w:i/>
          <w:lang w:val="en-CA"/>
        </w:rPr>
        <w:t>V</w:t>
      </w:r>
      <w:r w:rsidRPr="00620201">
        <w:rPr>
          <w:i/>
          <w:vertAlign w:val="subscript"/>
          <w:lang w:val="en-CA"/>
        </w:rPr>
        <w:t>IQ</w:t>
      </w:r>
      <w:r w:rsidRPr="00620201">
        <w:rPr>
          <w:lang w:val="en-CA"/>
        </w:rPr>
        <w:t xml:space="preserve"> terms to diminish to the point where macromolecular ions (e.g., proteins, DNA/RNA, etc.) can be treated relatively accurately using only a </w:t>
      </w:r>
      <w:proofErr w:type="spellStart"/>
      <w:r w:rsidRPr="00620201">
        <w:rPr>
          <w:lang w:val="en-CA"/>
        </w:rPr>
        <w:t>vdW</w:t>
      </w:r>
      <w:proofErr w:type="spellEnd"/>
      <w:r w:rsidRPr="00620201">
        <w:rPr>
          <w:lang w:val="en-CA"/>
        </w:rPr>
        <w:t xml:space="preserve"> interaction potential. </w:t>
      </w:r>
    </w:p>
    <w:p w14:paraId="2B41DEA5" w14:textId="6FECF4E0" w:rsidR="00ED2C39" w:rsidRDefault="00ED2C39" w:rsidP="000356B7">
      <w:pPr>
        <w:pStyle w:val="Heading2"/>
        <w:numPr>
          <w:ilvl w:val="1"/>
          <w:numId w:val="7"/>
        </w:numPr>
        <w:jc w:val="both"/>
      </w:pPr>
      <w:bookmarkStart w:id="12" w:name="_Toc66269162"/>
      <w:r>
        <w:lastRenderedPageBreak/>
        <w:t>Benchmark</w:t>
      </w:r>
      <w:r w:rsidR="004E3276">
        <w:t xml:space="preserve">ing </w:t>
      </w:r>
      <w:r w:rsidR="006E1E08">
        <w:t xml:space="preserve">CCS </w:t>
      </w:r>
      <w:r w:rsidR="004E3276">
        <w:t>calculation speed</w:t>
      </w:r>
      <w:bookmarkEnd w:id="12"/>
      <w:r w:rsidR="004E3276">
        <w:t xml:space="preserve"> </w:t>
      </w:r>
      <w:r w:rsidR="00167630">
        <w:t xml:space="preserve"> </w:t>
      </w:r>
    </w:p>
    <w:p w14:paraId="791B9A0E" w14:textId="77777777" w:rsidR="00C67B28" w:rsidRPr="00C67B28" w:rsidRDefault="00C67B28" w:rsidP="000356B7">
      <w:pPr>
        <w:jc w:val="both"/>
      </w:pPr>
    </w:p>
    <w:p w14:paraId="69B4ABEB" w14:textId="021B23AA" w:rsidR="006940A3" w:rsidRPr="006940A3" w:rsidRDefault="006940A3" w:rsidP="000356B7">
      <w:pPr>
        <w:jc w:val="both"/>
        <w:rPr>
          <w:lang w:val="en-CA"/>
        </w:rPr>
      </w:pPr>
      <w:r w:rsidRPr="006940A3">
        <w:rPr>
          <w:lang w:val="en-CA"/>
        </w:rPr>
        <w:t>Prior to this work, the updated MobCal code was only available for serial execution.</w:t>
      </w:r>
      <w:r w:rsidRPr="006940A3">
        <w:rPr>
          <w:lang w:val="en-CA"/>
        </w:rPr>
        <w:fldChar w:fldCharType="begin" w:fldLock="1"/>
      </w:r>
      <w:r w:rsidR="006B4206">
        <w:rPr>
          <w:lang w:val="en-CA"/>
        </w:rPr>
        <w:instrText>ADDIN CSL_CITATION {"citationItems":[{"id":"ITEM-1","itemData":{"DOI":"10.1039/c8an00270c","ISSN":"13645528","PMID":"29561029","abstract":"The investigation of ion structures based on a combination of ion mobility mass spectrometry (IM-MS) experiments and theoretical collision cross section (CCS) calculations has become important to many fields of research. However, the accuracy of current CCS calculations for ions in nitrogen drift gas limits the information content of many experiments. In particular, few studies have evaluated and attempted to improve the theoretical tools for CCS calculation in nitrogen drift gas. In this study, based on high-quality experimental measurements and theoretical modeling, a comprehensive evaluation of various aspects of CCS calculations in nitrogen drift gas is performed. It is shown that the modification of the ion-nitrogen van der Waals (vdW) interaction potential enables accurate CCS predictions of 29 small ions with ca. 3% maximum relative error. The present method exhibits no apparent systematic bias with respect to ion CCS (size) and dipole moment, suggesting that the method adequately describes the long-range interactions between the ions and the buffer gas. However, the method shows limitations in reproducing experimental CCS at low temperatures (&lt;150 K) and for macromolecular ions, and calculations for these cases should be complemented by CCS calculation methods in helium drift gas. This study presents an accurate and well-characterized CCS calculation method for ions in nitrogen drift gas that is expected to become an important tool for ion structural characterization and molecular identification. The experimental values reported here also provide a foundation for future studies aiming at developing more efficient computational tools.","author":[{"dropping-particle":"","family":"Lee","given":"Jong Wha","non-dropping-particle":"","parse-names":false,"suffix":""},{"dropping-particle":"","family":"Lee","given":"Hyun Hee L.","non-dropping-particle":"","parse-names":false,"suffix":""},{"dropping-particle":"","family":"Davidson","given":"Kimberly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I.","non-dropping-particle":"","parse-names":false,"suffix":""}],"container-title":"Analyst","id":"ITEM-1","issue":"8","issued":{"date-parts":[["2018"]]},"page":"1786-1796","publisher":"Royal Society of Chemistry","title":"Structural characterization of small molecular ions by ion mobility mass spectrometry in nitrogen drift gas: Improving the accuracy of trajectory method calculations","type":"article-journal","volume":"143"},"uris":["http://www.mendeley.com/documents/?uuid=14e56e6e-59c2-4b68-9d54-03fdf4dc8514"]}],"mendeley":{"formattedCitation":"&lt;sup&gt;14&lt;/sup&gt;","plainTextFormattedCitation":"14","previouslyFormattedCitation":"&lt;sup&gt;14&lt;/sup&gt;"},"properties":{"noteIndex":0},"schema":"https://github.com/citation-style-language/schema/raw/master/csl-citation.json"}</w:instrText>
      </w:r>
      <w:r w:rsidRPr="006940A3">
        <w:rPr>
          <w:lang w:val="en-CA"/>
        </w:rPr>
        <w:fldChar w:fldCharType="separate"/>
      </w:r>
      <w:r w:rsidR="009E64B1" w:rsidRPr="009E64B1">
        <w:rPr>
          <w:noProof/>
          <w:vertAlign w:val="superscript"/>
          <w:lang w:val="en-CA"/>
        </w:rPr>
        <w:t>14</w:t>
      </w:r>
      <w:r w:rsidRPr="006940A3">
        <w:fldChar w:fldCharType="end"/>
      </w:r>
      <w:r w:rsidRPr="006940A3">
        <w:rPr>
          <w:lang w:val="en-CA"/>
        </w:rPr>
        <w:t xml:space="preserve"> This severely limited its performance on High Performance Computing (HPC) architectures capable of parallelization. To remedy this, we have modified the original code to improve its computational efficiency. Briefly, modifications to the updated MobCal code now include: (</w:t>
      </w:r>
      <w:proofErr w:type="spellStart"/>
      <w:r w:rsidRPr="006940A3">
        <w:rPr>
          <w:lang w:val="en-CA"/>
        </w:rPr>
        <w:t>i</w:t>
      </w:r>
      <w:proofErr w:type="spellEnd"/>
      <w:r w:rsidRPr="006940A3">
        <w:rPr>
          <w:lang w:val="en-CA"/>
        </w:rPr>
        <w:t xml:space="preserve">) message passing interface (MPI) to support parallel computing architectures, (ii) replacement of </w:t>
      </w:r>
      <w:proofErr w:type="spellStart"/>
      <w:r w:rsidRPr="006940A3">
        <w:rPr>
          <w:i/>
          <w:lang w:val="en-CA"/>
        </w:rPr>
        <w:t>goto</w:t>
      </w:r>
      <w:proofErr w:type="spellEnd"/>
      <w:r w:rsidRPr="006940A3">
        <w:rPr>
          <w:lang w:val="en-CA"/>
        </w:rPr>
        <w:t xml:space="preserve"> looping with </w:t>
      </w:r>
      <w:r w:rsidRPr="006940A3">
        <w:rPr>
          <w:i/>
          <w:lang w:val="en-CA"/>
        </w:rPr>
        <w:t>do</w:t>
      </w:r>
      <w:r w:rsidRPr="006940A3">
        <w:rPr>
          <w:lang w:val="en-CA"/>
        </w:rPr>
        <w:t xml:space="preserve"> and </w:t>
      </w:r>
      <w:r w:rsidRPr="006940A3">
        <w:rPr>
          <w:i/>
          <w:lang w:val="en-CA"/>
        </w:rPr>
        <w:t>endo</w:t>
      </w:r>
      <w:r w:rsidRPr="006940A3">
        <w:rPr>
          <w:lang w:val="en-CA"/>
        </w:rPr>
        <w:t xml:space="preserve"> functionality, enabling more efficient optimization, (iii) significant reworking of the </w:t>
      </w:r>
      <w:proofErr w:type="spellStart"/>
      <w:r w:rsidRPr="006940A3">
        <w:rPr>
          <w:i/>
          <w:lang w:val="en-CA"/>
        </w:rPr>
        <w:t>dljpot</w:t>
      </w:r>
      <w:proofErr w:type="spellEnd"/>
      <w:r w:rsidRPr="006940A3">
        <w:rPr>
          <w:lang w:val="en-CA"/>
        </w:rPr>
        <w:t xml:space="preserve"> and </w:t>
      </w:r>
      <w:r w:rsidRPr="006940A3">
        <w:rPr>
          <w:i/>
          <w:lang w:val="en-CA"/>
        </w:rPr>
        <w:t>mobil2</w:t>
      </w:r>
      <w:r w:rsidRPr="006940A3">
        <w:rPr>
          <w:lang w:val="en-CA"/>
        </w:rPr>
        <w:t xml:space="preserve"> subroutines, including loop reorganization, removal of repetitive calculations of identical arrays and unused variables, (iv) consistent double precision used throughout, and (v) comments and patch notes for future use and debugging purposes. When operating on a single core (i.e., in serial), our re-worked MPI code was found to perform 2.9-fold more efficiently than the serial implementation developed by Lee and coworkers.</w:t>
      </w:r>
      <w:r w:rsidRPr="006940A3">
        <w:rPr>
          <w:lang w:val="en-CA"/>
        </w:rPr>
        <w:fldChar w:fldCharType="begin" w:fldLock="1"/>
      </w:r>
      <w:r w:rsidR="006B4206">
        <w:rPr>
          <w:lang w:val="en-CA"/>
        </w:rPr>
        <w:instrText>ADDIN CSL_CITATION {"citationItems":[{"id":"ITEM-1","itemData":{"DOI":"10.1039/c8an00270c","ISSN":"13645528","PMID":"29561029","abstract":"The investigation of ion structures based on a combination of ion mobility mass spectrometry (IM-MS) experiments and theoretical collision cross section (CCS) calculations has become important to many fields of research. However, the accuracy of current CCS calculations for ions in nitrogen drift gas limits the information content of many experiments. In particular, few studies have evaluated and attempted to improve the theoretical tools for CCS calculation in nitrogen drift gas. In this study, based on high-quality experimental measurements and theoretical modeling, a comprehensive evaluation of various aspects of CCS calculations in nitrogen drift gas is performed. It is shown that the modification of the ion-nitrogen van der Waals (vdW) interaction potential enables accurate CCS predictions of 29 small ions with ca. 3% maximum relative error. The present method exhibits no apparent systematic bias with respect to ion CCS (size) and dipole moment, suggesting that the method adequately describes the long-range interactions between the ions and the buffer gas. However, the method shows limitations in reproducing experimental CCS at low temperatures (&lt;150 K) and for macromolecular ions, and calculations for these cases should be complemented by CCS calculation methods in helium drift gas. This study presents an accurate and well-characterized CCS calculation method for ions in nitrogen drift gas that is expected to become an important tool for ion structural characterization and molecular identification. The experimental values reported here also provide a foundation for future studies aiming at developing more efficient computational tools.","author":[{"dropping-particle":"","family":"Lee","given":"Jong Wha","non-dropping-particle":"","parse-names":false,"suffix":""},{"dropping-particle":"","family":"Lee","given":"Hyun Hee L.","non-dropping-particle":"","parse-names":false,"suffix":""},{"dropping-particle":"","family":"Davidson","given":"Kimberly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I.","non-dropping-particle":"","parse-names":false,"suffix":""}],"container-title":"Analyst","id":"ITEM-1","issue":"8","issued":{"date-parts":[["2018"]]},"page":"1786-1796","publisher":"Royal Society of Chemistry","title":"Structural characterization of small molecular ions by ion mobility mass spectrometry in nitrogen drift gas: Improving the accuracy of trajectory method calculations","type":"article-journal","volume":"143"},"uris":["http://www.mendeley.com/documents/?uuid=14e56e6e-59c2-4b68-9d54-03fdf4dc8514"]}],"mendeley":{"formattedCitation":"&lt;sup&gt;14&lt;/sup&gt;","plainTextFormattedCitation":"14","previouslyFormattedCitation":"&lt;sup&gt;14&lt;/sup&gt;"},"properties":{"noteIndex":0},"schema":"https://github.com/citation-style-language/schema/raw/master/csl-citation.json"}</w:instrText>
      </w:r>
      <w:r w:rsidRPr="006940A3">
        <w:rPr>
          <w:lang w:val="en-CA"/>
        </w:rPr>
        <w:fldChar w:fldCharType="separate"/>
      </w:r>
      <w:r w:rsidR="009E64B1" w:rsidRPr="009E64B1">
        <w:rPr>
          <w:noProof/>
          <w:vertAlign w:val="superscript"/>
          <w:lang w:val="en-CA"/>
        </w:rPr>
        <w:t>14</w:t>
      </w:r>
      <w:r w:rsidRPr="006940A3">
        <w:fldChar w:fldCharType="end"/>
      </w:r>
      <w:r w:rsidRPr="006940A3">
        <w:rPr>
          <w:lang w:val="en-CA"/>
        </w:rPr>
        <w:t xml:space="preserve"> It should be noted that there are miniscule differences in CCSs calculated with the two codes owing to differences created by the pseudo-random number generator RANLUX. </w:t>
      </w:r>
    </w:p>
    <w:p w14:paraId="53343B13" w14:textId="77777777" w:rsidR="006940A3" w:rsidRPr="006940A3" w:rsidRDefault="006940A3" w:rsidP="000356B7">
      <w:pPr>
        <w:jc w:val="both"/>
        <w:rPr>
          <w:lang w:val="en-CA"/>
        </w:rPr>
      </w:pPr>
    </w:p>
    <w:p w14:paraId="15CB268A" w14:textId="71E0F2C9" w:rsidR="006940A3" w:rsidRPr="006940A3" w:rsidRDefault="006940A3" w:rsidP="000356B7">
      <w:pPr>
        <w:jc w:val="both"/>
        <w:rPr>
          <w:lang w:val="en-CA"/>
        </w:rPr>
      </w:pPr>
      <w:r w:rsidRPr="006940A3">
        <w:rPr>
          <w:lang w:val="en-CA"/>
        </w:rPr>
        <w:t>Extensive benchmarking of the new parallelized code has been conducted on species ranging in size from 9 to 7,029 atoms (135 Da to 50 </w:t>
      </w:r>
      <w:proofErr w:type="spellStart"/>
      <w:r w:rsidRPr="006940A3">
        <w:rPr>
          <w:lang w:val="en-CA"/>
        </w:rPr>
        <w:t>kDa</w:t>
      </w:r>
      <w:proofErr w:type="spellEnd"/>
      <w:r w:rsidRPr="006940A3">
        <w:rPr>
          <w:lang w:val="en-CA"/>
        </w:rPr>
        <w:t xml:space="preserve">). Benchmarking was performed on the Graham HPC cluster, which is part of the </w:t>
      </w:r>
      <w:proofErr w:type="spellStart"/>
      <w:r w:rsidRPr="006940A3">
        <w:rPr>
          <w:lang w:val="en-CA"/>
        </w:rPr>
        <w:t>Sharcnet</w:t>
      </w:r>
      <w:proofErr w:type="spellEnd"/>
      <w:r w:rsidRPr="006940A3">
        <w:rPr>
          <w:lang w:val="en-CA"/>
        </w:rPr>
        <w:t xml:space="preserve"> consortium of Compute Canada. Each CPU node is dual socket, equipped with 2 x 16 core Intel E5-2683 v4 chipsets, operating at 2.1 GHz for a total of 32 cores per node. Benchmarking was performed against serial execution of MobCal-MPI and the non-parallelized implementation developed by Lee and coworkers.</w:t>
      </w:r>
      <w:r w:rsidRPr="006940A3">
        <w:rPr>
          <w:lang w:val="en-CA"/>
        </w:rPr>
        <w:fldChar w:fldCharType="begin" w:fldLock="1"/>
      </w:r>
      <w:r w:rsidR="006B4206">
        <w:rPr>
          <w:lang w:val="en-CA"/>
        </w:rPr>
        <w:instrText>ADDIN CSL_CITATION {"citationItems":[{"id":"ITEM-1","itemData":{"DOI":"10.1039/c8an00270c","ISSN":"13645528","PMID":"29561029","abstract":"The investigation of ion structures based on a combination of ion mobility mass spectrometry (IM-MS) experiments and theoretical collision cross section (CCS) calculations has become important to many fields of research. However, the accuracy of current CCS calculations for ions in nitrogen drift gas limits the information content of many experiments. In particular, few studies have evaluated and attempted to improve the theoretical tools for CCS calculation in nitrogen drift gas. In this study, based on high-quality experimental measurements and theoretical modeling, a comprehensive evaluation of various aspects of CCS calculations in nitrogen drift gas is performed. It is shown that the modification of the ion-nitrogen van der Waals (vdW) interaction potential enables accurate CCS predictions of 29 small ions with ca. 3% maximum relative error. The present method exhibits no apparent systematic bias with respect to ion CCS (size) and dipole moment, suggesting that the method adequately describes the long-range interactions between the ions and the buffer gas. However, the method shows limitations in reproducing experimental CCS at low temperatures (&lt;150 K) and for macromolecular ions, and calculations for these cases should be complemented by CCS calculation methods in helium drift gas. This study presents an accurate and well-characterized CCS calculation method for ions in nitrogen drift gas that is expected to become an important tool for ion structural characterization and molecular identification. The experimental values reported here also provide a foundation for future studies aiming at developing more efficient computational tools.","author":[{"dropping-particle":"","family":"Lee","given":"Jong Wha","non-dropping-particle":"","parse-names":false,"suffix":""},{"dropping-particle":"","family":"Lee","given":"Hyun Hee L.","non-dropping-particle":"","parse-names":false,"suffix":""},{"dropping-particle":"","family":"Davidson","given":"Kimberly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I.","non-dropping-particle":"","parse-names":false,"suffix":""}],"container-title":"Analyst","id":"ITEM-1","issue":"8","issued":{"date-parts":[["2018"]]},"page":"1786-1796","publisher":"Royal Society of Chemistry","title":"Structural characterization of small molecular ions by ion mobility mass spectrometry in nitrogen drift gas: Improving the accuracy of trajectory method calculations","type":"article-journal","volume":"143"},"uris":["http://www.mendeley.com/documents/?uuid=14e56e6e-59c2-4b68-9d54-03fdf4dc8514"]}],"mendeley":{"formattedCitation":"&lt;sup&gt;14&lt;/sup&gt;","plainTextFormattedCitation":"14","previouslyFormattedCitation":"&lt;sup&gt;14&lt;/sup&gt;"},"properties":{"noteIndex":0},"schema":"https://github.com/citation-style-language/schema/raw/master/csl-citation.json"}</w:instrText>
      </w:r>
      <w:r w:rsidRPr="006940A3">
        <w:rPr>
          <w:lang w:val="en-CA"/>
        </w:rPr>
        <w:fldChar w:fldCharType="separate"/>
      </w:r>
      <w:r w:rsidR="009E64B1" w:rsidRPr="009E64B1">
        <w:rPr>
          <w:noProof/>
          <w:vertAlign w:val="superscript"/>
          <w:lang w:val="en-CA"/>
        </w:rPr>
        <w:t>14</w:t>
      </w:r>
      <w:r w:rsidRPr="006940A3">
        <w:fldChar w:fldCharType="end"/>
      </w:r>
      <w:r w:rsidRPr="006940A3">
        <w:rPr>
          <w:lang w:val="en-CA"/>
        </w:rPr>
        <w:t xml:space="preserve"> Speedups and overall efficiency are shown in Figure </w:t>
      </w:r>
      <w:r w:rsidR="0045472C">
        <w:rPr>
          <w:lang w:val="en-CA"/>
        </w:rPr>
        <w:t>5</w:t>
      </w:r>
      <w:r w:rsidRPr="006940A3">
        <w:rPr>
          <w:lang w:val="en-CA"/>
        </w:rPr>
        <w:t>. Our updated MPI code substantially reduces average CCS computation time, providing 36- and 64-fold increases in efficiency when deployed on 16 and 32 cores, respectively, relative to the most recent serial version of MobCal.</w:t>
      </w:r>
    </w:p>
    <w:p w14:paraId="65EFCCBA" w14:textId="71E38E0A" w:rsidR="00655344" w:rsidRDefault="00655344" w:rsidP="000356B7">
      <w:pPr>
        <w:jc w:val="both"/>
      </w:pPr>
    </w:p>
    <w:p w14:paraId="4BB6C983" w14:textId="77225A5F" w:rsidR="00655344" w:rsidRDefault="00655344" w:rsidP="006E1E08">
      <w:pPr>
        <w:jc w:val="center"/>
      </w:pPr>
      <w:r>
        <w:rPr>
          <w:b/>
          <w:noProof/>
          <w:lang w:val="en-CA"/>
        </w:rPr>
        <w:drawing>
          <wp:inline distT="0" distB="0" distL="0" distR="0" wp14:anchorId="277046F7" wp14:editId="1A2057C5">
            <wp:extent cx="2733675" cy="2733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4162" cy="2734162"/>
                    </a:xfrm>
                    <a:prstGeom prst="rect">
                      <a:avLst/>
                    </a:prstGeom>
                  </pic:spPr>
                </pic:pic>
              </a:graphicData>
            </a:graphic>
          </wp:inline>
        </w:drawing>
      </w:r>
    </w:p>
    <w:p w14:paraId="7BF1F5D4" w14:textId="6CD2C973" w:rsidR="00655344" w:rsidRDefault="00655344" w:rsidP="000356B7">
      <w:pPr>
        <w:jc w:val="both"/>
      </w:pPr>
    </w:p>
    <w:p w14:paraId="6E572DC9" w14:textId="720AE946" w:rsidR="00473628" w:rsidRDefault="00473628" w:rsidP="000356B7">
      <w:pPr>
        <w:jc w:val="both"/>
        <w:rPr>
          <w:lang w:val="en-CA"/>
        </w:rPr>
      </w:pPr>
      <w:r w:rsidRPr="00473628">
        <w:rPr>
          <w:b/>
          <w:lang w:val="en-CA"/>
        </w:rPr>
        <w:t xml:space="preserve">Figure </w:t>
      </w:r>
      <w:r>
        <w:rPr>
          <w:b/>
          <w:lang w:val="en-CA"/>
        </w:rPr>
        <w:t>5</w:t>
      </w:r>
      <w:r w:rsidRPr="00473628">
        <w:rPr>
          <w:b/>
          <w:lang w:val="en-CA"/>
        </w:rPr>
        <w:t xml:space="preserve">. </w:t>
      </w:r>
      <w:r w:rsidRPr="00473628">
        <w:rPr>
          <w:lang w:val="en-CA"/>
        </w:rPr>
        <w:t>Total execution time in hours for numerous species ranging in size from 9 to 7,029 atoms using the most recent serial MobCal code (black),</w:t>
      </w:r>
      <w:r w:rsidRPr="00473628">
        <w:rPr>
          <w:lang w:val="en-CA"/>
        </w:rPr>
        <w:fldChar w:fldCharType="begin" w:fldLock="1"/>
      </w:r>
      <w:r w:rsidR="006B4206">
        <w:rPr>
          <w:lang w:val="en-CA"/>
        </w:rPr>
        <w:instrText>ADDIN CSL_CITATION {"citationItems":[{"id":"ITEM-1","itemData":{"DOI":"10.1039/c8an00270c","ISSN":"13645528","PMID":"29561029","abstract":"The investigation of ion structures based on a combination of ion mobility mass spectrometry (IM-MS) experiments and theoretical collision cross section (CCS) calculations has become important to many fields of research. However, the accuracy of current CCS calculations for ions in nitrogen drift gas limits the information content of many experiments. In particular, few studies have evaluated and attempted to improve the theoretical tools for CCS calculation in nitrogen drift gas. In this study, based on high-quality experimental measurements and theoretical modeling, a comprehensive evaluation of various aspects of CCS calculations in nitrogen drift gas is performed. It is shown that the modification of the ion-nitrogen van der Waals (vdW) interaction potential enables accurate CCS predictions of 29 small ions with ca. 3% maximum relative error. The present method exhibits no apparent systematic bias with respect to ion CCS (size) and dipole moment, suggesting that the method adequately describes the long-range interactions between the ions and the buffer gas. However, the method shows limitations in reproducing experimental CCS at low temperatures (&lt;150 K) and for macromolecular ions, and calculations for these cases should be complemented by CCS calculation methods in helium drift gas. This study presents an accurate and well-characterized CCS calculation method for ions in nitrogen drift gas that is expected to become an important tool for ion structural characterization and molecular identification. The experimental values reported here also provide a foundation for future studies aiming at developing more efficient computational tools.","author":[{"dropping-particle":"","family":"Lee","given":"Jong Wha","non-dropping-particle":"","parse-names":false,"suffix":""},{"dropping-particle":"","family":"Lee","given":"Hyun Hee L.","non-dropping-particle":"","parse-names":false,"suffix":""},{"dropping-particle":"","family":"Davidson","given":"Kimberly L.","non-dropping-particle":"","parse-names":false,"suffix":""},{"dropping-particle":"","family":"Bush","given":"Matthew F.","non-dropping-particle":"","parse-names":false,"suffix":""},{"dropping-particle":"","family":"Kim","given":"Hugh I.","non-dropping-particle":"","parse-names":false,"suffix":""}],"container-title":"Analyst","id":"ITEM-1","issue":"8","issued":{"date-parts":[["2018"]]},"page":"1786-1796","publisher":"Royal Society of Chemistry","title":"Structural characterization of small molecular ions by ion mobility mass spectrometry in nitrogen drift gas: Improving the accuracy of trajectory method calculations","type":"article-journal","volume":"143"},"uris":["http://www.mendeley.com/documents/?uuid=14e56e6e-59c2-4b68-9d54-03fdf4dc8514"]}],"mendeley":{"formattedCitation":"&lt;sup&gt;14&lt;/sup&gt;","plainTextFormattedCitation":"14","previouslyFormattedCitation":"&lt;sup&gt;14&lt;/sup&gt;"},"properties":{"noteIndex":0},"schema":"https://github.com/citation-style-language/schema/raw/master/csl-citation.json"}</w:instrText>
      </w:r>
      <w:r w:rsidRPr="00473628">
        <w:rPr>
          <w:lang w:val="en-CA"/>
        </w:rPr>
        <w:fldChar w:fldCharType="separate"/>
      </w:r>
      <w:r w:rsidR="009E64B1" w:rsidRPr="009E64B1">
        <w:rPr>
          <w:noProof/>
          <w:vertAlign w:val="superscript"/>
          <w:lang w:val="en-CA"/>
        </w:rPr>
        <w:t>14</w:t>
      </w:r>
      <w:r w:rsidRPr="00473628">
        <w:fldChar w:fldCharType="end"/>
      </w:r>
      <w:r w:rsidRPr="00473628">
        <w:rPr>
          <w:lang w:val="en-CA"/>
        </w:rPr>
        <w:t xml:space="preserve"> and MobCal-MPI using 1 (red, serial), 2 (blue), 4 (green), 8 (purple), 16 (teal), and 32 (maroon) CPU cores for calculation. Open squares indicate extrapolated points. </w:t>
      </w:r>
    </w:p>
    <w:p w14:paraId="4A0D9AAA" w14:textId="06F33DBC" w:rsidR="009E64B1" w:rsidRDefault="009E64B1" w:rsidP="000356B7">
      <w:pPr>
        <w:jc w:val="both"/>
        <w:rPr>
          <w:lang w:val="en-CA"/>
        </w:rPr>
      </w:pPr>
    </w:p>
    <w:p w14:paraId="147DB87C" w14:textId="015EA57D" w:rsidR="009E64B1" w:rsidRDefault="009E64B1" w:rsidP="000356B7">
      <w:pPr>
        <w:pStyle w:val="Heading2"/>
        <w:numPr>
          <w:ilvl w:val="1"/>
          <w:numId w:val="7"/>
        </w:numPr>
        <w:jc w:val="both"/>
      </w:pPr>
      <w:bookmarkStart w:id="13" w:name="_Toc66269163"/>
      <w:r>
        <w:t>Additional Reading</w:t>
      </w:r>
      <w:bookmarkEnd w:id="13"/>
    </w:p>
    <w:p w14:paraId="26FF6608" w14:textId="040B7003" w:rsidR="009E64B1" w:rsidRDefault="009E64B1" w:rsidP="000356B7">
      <w:pPr>
        <w:jc w:val="both"/>
      </w:pPr>
    </w:p>
    <w:p w14:paraId="77F1E617" w14:textId="77777777" w:rsidR="00ED17C0" w:rsidRDefault="006A763B" w:rsidP="000356B7">
      <w:pPr>
        <w:pStyle w:val="ListParagraph"/>
        <w:numPr>
          <w:ilvl w:val="0"/>
          <w:numId w:val="9"/>
        </w:numPr>
        <w:jc w:val="both"/>
      </w:pPr>
      <w:r>
        <w:t>An excellent review</w:t>
      </w:r>
      <w:r w:rsidR="008C6D41">
        <w:t xml:space="preserve"> on prior methods and future directions for ion mobility calculations</w:t>
      </w:r>
      <w:r>
        <w:t xml:space="preserve"> by </w:t>
      </w:r>
      <w:hyperlink r:id="rId16" w:history="1">
        <w:r w:rsidRPr="009159A5">
          <w:rPr>
            <w:rStyle w:val="Hyperlink"/>
          </w:rPr>
          <w:t xml:space="preserve">Prof. Carlos </w:t>
        </w:r>
        <w:proofErr w:type="spellStart"/>
        <w:r w:rsidRPr="009159A5">
          <w:rPr>
            <w:rStyle w:val="Hyperlink"/>
          </w:rPr>
          <w:t>Larriba</w:t>
        </w:r>
        <w:r w:rsidR="009159A5" w:rsidRPr="009159A5">
          <w:rPr>
            <w:rStyle w:val="Hyperlink"/>
          </w:rPr>
          <w:t>-Andaluz</w:t>
        </w:r>
        <w:proofErr w:type="spellEnd"/>
      </w:hyperlink>
      <w:r w:rsidR="009159A5">
        <w:t xml:space="preserve"> and </w:t>
      </w:r>
      <w:hyperlink r:id="rId17" w:history="1">
        <w:r w:rsidR="009159A5" w:rsidRPr="007B3976">
          <w:rPr>
            <w:rStyle w:val="Hyperlink"/>
          </w:rPr>
          <w:t xml:space="preserve">Prof. James S. </w:t>
        </w:r>
        <w:proofErr w:type="spellStart"/>
        <w:r w:rsidR="009159A5" w:rsidRPr="007B3976">
          <w:rPr>
            <w:rStyle w:val="Hyperlink"/>
          </w:rPr>
          <w:t>Prell</w:t>
        </w:r>
        <w:proofErr w:type="spellEnd"/>
      </w:hyperlink>
      <w:r w:rsidR="007B3976">
        <w:t xml:space="preserve"> </w:t>
      </w:r>
      <w:r w:rsidR="009159A5">
        <w:t xml:space="preserve"> </w:t>
      </w:r>
    </w:p>
    <w:p w14:paraId="45D4CCAD" w14:textId="5A8C6958" w:rsidR="00BB7263" w:rsidRDefault="008C6D41" w:rsidP="00ED17C0">
      <w:pPr>
        <w:pStyle w:val="ListParagraph"/>
        <w:jc w:val="both"/>
      </w:pPr>
      <w:r>
        <w:br/>
      </w:r>
      <w:proofErr w:type="spellStart"/>
      <w:r w:rsidR="002662BF">
        <w:t>Larriba</w:t>
      </w:r>
      <w:r w:rsidR="00DC3721">
        <w:t>-Andaluz</w:t>
      </w:r>
      <w:proofErr w:type="spellEnd"/>
      <w:r w:rsidR="00DC3721">
        <w:t xml:space="preserve">, Carlos., </w:t>
      </w:r>
      <w:proofErr w:type="spellStart"/>
      <w:r w:rsidR="00DC3721">
        <w:t>Prell</w:t>
      </w:r>
      <w:proofErr w:type="spellEnd"/>
      <w:r w:rsidR="00DC3721">
        <w:t xml:space="preserve">, James S. </w:t>
      </w:r>
      <w:r w:rsidR="002662BF" w:rsidRPr="002662BF">
        <w:t xml:space="preserve">Fundamentals of ion mobility in the free molecular regime. Interlacing the past, </w:t>
      </w:r>
      <w:proofErr w:type="gramStart"/>
      <w:r w:rsidR="002662BF" w:rsidRPr="002662BF">
        <w:t>present</w:t>
      </w:r>
      <w:proofErr w:type="gramEnd"/>
      <w:r w:rsidR="002662BF" w:rsidRPr="002662BF">
        <w:t xml:space="preserve"> and future of ion mobility calculations</w:t>
      </w:r>
      <w:r w:rsidR="002662BF">
        <w:t xml:space="preserve">. </w:t>
      </w:r>
      <w:r w:rsidR="00DC3721">
        <w:rPr>
          <w:i/>
          <w:iCs/>
        </w:rPr>
        <w:t>Int. Rev. Phys. Chem.</w:t>
      </w:r>
      <w:r w:rsidR="00DC3721">
        <w:t xml:space="preserve"> </w:t>
      </w:r>
      <w:r w:rsidR="0076124F">
        <w:rPr>
          <w:b/>
          <w:bCs/>
        </w:rPr>
        <w:t>2020</w:t>
      </w:r>
      <w:r w:rsidR="0076124F">
        <w:t>, 39 (4)</w:t>
      </w:r>
      <w:r w:rsidR="00C527BD">
        <w:t>, 569-623</w:t>
      </w:r>
      <w:r w:rsidR="00380444">
        <w:t>.</w:t>
      </w:r>
      <w:r w:rsidR="00972C2F">
        <w:t xml:space="preserve"> </w:t>
      </w:r>
      <w:hyperlink r:id="rId18" w:history="1">
        <w:r w:rsidR="002662BF" w:rsidRPr="003E698A">
          <w:rPr>
            <w:rStyle w:val="Hyperlink"/>
          </w:rPr>
          <w:t>https://doi.org/10.1080/0144235X.2020.1826708</w:t>
        </w:r>
      </w:hyperlink>
      <w:r w:rsidR="002662BF">
        <w:t xml:space="preserve"> </w:t>
      </w:r>
    </w:p>
    <w:p w14:paraId="08A18020" w14:textId="77777777" w:rsidR="00380444" w:rsidRDefault="00380444" w:rsidP="000356B7">
      <w:pPr>
        <w:pStyle w:val="ListParagraph"/>
        <w:jc w:val="both"/>
      </w:pPr>
    </w:p>
    <w:p w14:paraId="4FB94F9B" w14:textId="77777777" w:rsidR="00972C2F" w:rsidRDefault="00DC30FF" w:rsidP="000356B7">
      <w:pPr>
        <w:pStyle w:val="ListParagraph"/>
        <w:numPr>
          <w:ilvl w:val="0"/>
          <w:numId w:val="9"/>
        </w:numPr>
        <w:jc w:val="both"/>
      </w:pPr>
      <w:r>
        <w:t xml:space="preserve">Another excellent review by </w:t>
      </w:r>
      <w:hyperlink r:id="rId19" w:history="1">
        <w:r w:rsidRPr="007B3976">
          <w:rPr>
            <w:rStyle w:val="Hyperlink"/>
          </w:rPr>
          <w:t xml:space="preserve">Prof. James S. </w:t>
        </w:r>
        <w:proofErr w:type="spellStart"/>
        <w:r w:rsidRPr="007B3976">
          <w:rPr>
            <w:rStyle w:val="Hyperlink"/>
          </w:rPr>
          <w:t>Prell</w:t>
        </w:r>
        <w:proofErr w:type="spellEnd"/>
      </w:hyperlink>
      <w:r>
        <w:t xml:space="preserve"> on the use of molecular dynamics simulations in tandem with ion mobility calculations to compliment native IMS experiments.</w:t>
      </w:r>
    </w:p>
    <w:p w14:paraId="1DBA7A0A" w14:textId="3F797346" w:rsidR="00BB7263" w:rsidRDefault="00984E12" w:rsidP="00972C2F">
      <w:pPr>
        <w:pStyle w:val="ListParagraph"/>
        <w:jc w:val="both"/>
      </w:pPr>
      <w:r>
        <w:br/>
      </w:r>
      <w:r w:rsidR="00972C2F">
        <w:t xml:space="preserve">Rolland, A. D.; </w:t>
      </w:r>
      <w:proofErr w:type="spellStart"/>
      <w:r w:rsidR="00972C2F">
        <w:t>Prell</w:t>
      </w:r>
      <w:proofErr w:type="spellEnd"/>
      <w:r w:rsidR="00972C2F">
        <w:t xml:space="preserve">, J. S. Computational Insights into Compaction of Gas-Phase Protein and Protein Complex Ions in Native Ion Mobility-Mass Spectrometry. </w:t>
      </w:r>
      <w:proofErr w:type="spellStart"/>
      <w:r w:rsidR="00972C2F">
        <w:rPr>
          <w:i/>
          <w:iCs/>
        </w:rPr>
        <w:t>TrAC</w:t>
      </w:r>
      <w:proofErr w:type="spellEnd"/>
      <w:r w:rsidR="00972C2F">
        <w:rPr>
          <w:i/>
          <w:iCs/>
        </w:rPr>
        <w:t xml:space="preserve"> - Trends Anal. Chem.</w:t>
      </w:r>
      <w:r w:rsidR="00972C2F">
        <w:t xml:space="preserve"> </w:t>
      </w:r>
      <w:r w:rsidR="00972C2F">
        <w:rPr>
          <w:b/>
          <w:bCs/>
        </w:rPr>
        <w:t>2019</w:t>
      </w:r>
      <w:r w:rsidR="00972C2F">
        <w:t xml:space="preserve">, </w:t>
      </w:r>
      <w:r w:rsidR="00972C2F">
        <w:rPr>
          <w:i/>
          <w:iCs/>
        </w:rPr>
        <w:t>116</w:t>
      </w:r>
      <w:r w:rsidR="00972C2F">
        <w:t xml:space="preserve">, 282–291. </w:t>
      </w:r>
      <w:hyperlink r:id="rId20" w:history="1">
        <w:r w:rsidR="00972C2F" w:rsidRPr="009C3086">
          <w:rPr>
            <w:rStyle w:val="Hyperlink"/>
          </w:rPr>
          <w:t>https://doi.org/10.1016/j.trac.2019.04.023</w:t>
        </w:r>
      </w:hyperlink>
      <w:r w:rsidR="00972C2F">
        <w:t>.</w:t>
      </w:r>
    </w:p>
    <w:p w14:paraId="6C3437D2" w14:textId="77777777" w:rsidR="00972C2F" w:rsidRDefault="00972C2F" w:rsidP="00972C2F">
      <w:pPr>
        <w:pStyle w:val="ListParagraph"/>
        <w:jc w:val="both"/>
        <w:sectPr w:rsidR="00972C2F" w:rsidSect="008A3A85">
          <w:footerReference w:type="default" r:id="rId21"/>
          <w:pgSz w:w="12240" w:h="15840"/>
          <w:pgMar w:top="1440" w:right="1440" w:bottom="1440" w:left="1440" w:header="720" w:footer="720" w:gutter="0"/>
          <w:cols w:space="720"/>
          <w:docGrid w:linePitch="360"/>
        </w:sectPr>
      </w:pPr>
    </w:p>
    <w:p w14:paraId="25687C51" w14:textId="451484BD" w:rsidR="00363C22" w:rsidRDefault="009A02AA" w:rsidP="000356B7">
      <w:pPr>
        <w:pStyle w:val="Heading1"/>
        <w:jc w:val="both"/>
      </w:pPr>
      <w:bookmarkStart w:id="14" w:name="_3._Installing_the"/>
      <w:bookmarkStart w:id="15" w:name="_Toc66269164"/>
      <w:bookmarkEnd w:id="14"/>
      <w:r>
        <w:lastRenderedPageBreak/>
        <w:t>3</w:t>
      </w:r>
      <w:r w:rsidR="00DF3F78">
        <w:t>.</w:t>
      </w:r>
      <w:r w:rsidR="00734596">
        <w:t xml:space="preserve"> </w:t>
      </w:r>
      <w:r w:rsidR="00AC769D">
        <w:t xml:space="preserve">Installing the </w:t>
      </w:r>
      <w:r w:rsidR="004F180D">
        <w:t>MobCal-MPI Suite</w:t>
      </w:r>
      <w:r w:rsidR="00363C22">
        <w:t xml:space="preserve"> Graphical User Interface (GUI)</w:t>
      </w:r>
      <w:bookmarkEnd w:id="15"/>
    </w:p>
    <w:p w14:paraId="3475E7B3" w14:textId="77777777" w:rsidR="00363C22" w:rsidRDefault="00363C22" w:rsidP="000356B7">
      <w:pPr>
        <w:jc w:val="both"/>
      </w:pPr>
    </w:p>
    <w:p w14:paraId="5C0A065B" w14:textId="6CA51522" w:rsidR="00DF3F78" w:rsidRDefault="00BB7263" w:rsidP="000356B7">
      <w:pPr>
        <w:jc w:val="both"/>
      </w:pPr>
      <w:r>
        <w:t>MobCal-MPI</w:t>
      </w:r>
      <w:r w:rsidR="008944E8">
        <w:t xml:space="preserve"> is equipped with a Graphical User Interface (GUI) to enhance functionality without use of the command prompt or Python environments (IDLE, etc.). The GUI is equipped with </w:t>
      </w:r>
      <w:r w:rsidR="00887BC0">
        <w:t>subroutines that enable:</w:t>
      </w:r>
    </w:p>
    <w:p w14:paraId="14289956" w14:textId="08117E14" w:rsidR="00887BC0" w:rsidRDefault="00887BC0" w:rsidP="000356B7">
      <w:pPr>
        <w:jc w:val="both"/>
      </w:pPr>
    </w:p>
    <w:p w14:paraId="221E7D2A" w14:textId="31A971E5" w:rsidR="00887BC0" w:rsidRDefault="00887BC0" w:rsidP="000356B7">
      <w:pPr>
        <w:pStyle w:val="ListParagraph"/>
        <w:numPr>
          <w:ilvl w:val="0"/>
          <w:numId w:val="8"/>
        </w:numPr>
        <w:jc w:val="both"/>
      </w:pPr>
      <w:r>
        <w:t xml:space="preserve">Generation of </w:t>
      </w:r>
      <w:r w:rsidR="00276324">
        <w:t>MobCal-MPI input files (.</w:t>
      </w:r>
      <w:proofErr w:type="spellStart"/>
      <w:r w:rsidR="00276324">
        <w:t>mfj</w:t>
      </w:r>
      <w:proofErr w:type="spellEnd"/>
      <w:r w:rsidR="00276324">
        <w:t>) from Gaussian output files (.log)</w:t>
      </w:r>
    </w:p>
    <w:p w14:paraId="4C833808" w14:textId="6B97967B" w:rsidR="00897A4A" w:rsidRDefault="00897A4A" w:rsidP="000356B7">
      <w:pPr>
        <w:pStyle w:val="ListParagraph"/>
        <w:numPr>
          <w:ilvl w:val="0"/>
          <w:numId w:val="8"/>
        </w:numPr>
        <w:jc w:val="both"/>
      </w:pPr>
      <w:r>
        <w:t>Automated Boltzmann-weighting for calculation of Boltzmann-weighted CCSs</w:t>
      </w:r>
    </w:p>
    <w:p w14:paraId="6B73C91D" w14:textId="1AFCDB8C" w:rsidR="00897A4A" w:rsidRDefault="00897A4A" w:rsidP="000356B7">
      <w:pPr>
        <w:pStyle w:val="ListParagraph"/>
        <w:numPr>
          <w:ilvl w:val="0"/>
          <w:numId w:val="8"/>
        </w:numPr>
        <w:jc w:val="both"/>
      </w:pPr>
      <w:r>
        <w:t xml:space="preserve">Extraction of </w:t>
      </w:r>
      <w:r w:rsidR="00B306C6">
        <w:t>CCSs from MobCal-MPI output files (.</w:t>
      </w:r>
      <w:proofErr w:type="spellStart"/>
      <w:r w:rsidR="00B306C6">
        <w:t>mout</w:t>
      </w:r>
      <w:proofErr w:type="spellEnd"/>
      <w:r w:rsidR="00B306C6">
        <w:t>)</w:t>
      </w:r>
    </w:p>
    <w:p w14:paraId="68A16B0C" w14:textId="1394A02D" w:rsidR="000D1462" w:rsidRDefault="000D1462" w:rsidP="000356B7">
      <w:pPr>
        <w:jc w:val="both"/>
      </w:pPr>
    </w:p>
    <w:p w14:paraId="6DDBB83F" w14:textId="741B60F2" w:rsidR="00363C22" w:rsidRPr="00DF3F78" w:rsidRDefault="009A02AA" w:rsidP="000356B7">
      <w:pPr>
        <w:pStyle w:val="Heading2"/>
        <w:jc w:val="both"/>
      </w:pPr>
      <w:bookmarkStart w:id="16" w:name="_Toc66269165"/>
      <w:r>
        <w:t>3</w:t>
      </w:r>
      <w:r w:rsidR="00DF3F78">
        <w:t xml:space="preserve">.1 Installing prerequisite </w:t>
      </w:r>
      <w:proofErr w:type="gramStart"/>
      <w:r w:rsidR="00DF3F78">
        <w:t>packages</w:t>
      </w:r>
      <w:bookmarkEnd w:id="16"/>
      <w:proofErr w:type="gramEnd"/>
      <w:r w:rsidR="00DF3F78">
        <w:t xml:space="preserve"> </w:t>
      </w:r>
    </w:p>
    <w:p w14:paraId="4FA5C44C" w14:textId="15E8972B" w:rsidR="00363C22" w:rsidRDefault="00363C22" w:rsidP="000356B7">
      <w:pPr>
        <w:jc w:val="both"/>
      </w:pPr>
    </w:p>
    <w:p w14:paraId="16FC15AE" w14:textId="2B381D6B" w:rsidR="00BB7263" w:rsidRDefault="006A5E8C" w:rsidP="000356B7">
      <w:pPr>
        <w:jc w:val="both"/>
      </w:pPr>
      <w:r>
        <w:t xml:space="preserve">The </w:t>
      </w:r>
      <w:r w:rsidR="00BB7263">
        <w:t xml:space="preserve">MobCal-MPI </w:t>
      </w:r>
      <w:r>
        <w:t xml:space="preserve">GUI </w:t>
      </w:r>
      <w:r w:rsidR="00BB7263">
        <w:t xml:space="preserve">requires </w:t>
      </w:r>
      <w:r>
        <w:t xml:space="preserve">the </w:t>
      </w:r>
      <w:proofErr w:type="spellStart"/>
      <w:r w:rsidR="00BB7263">
        <w:t>OpenBabel</w:t>
      </w:r>
      <w:proofErr w:type="spellEnd"/>
      <w:r w:rsidR="00BB7263">
        <w:t xml:space="preserve"> 2.4</w:t>
      </w:r>
      <w:r>
        <w:t>.1</w:t>
      </w:r>
      <w:r w:rsidR="00BB7263">
        <w:t xml:space="preserve"> and SDF2XYZ2SDF </w:t>
      </w:r>
      <w:r>
        <w:t xml:space="preserve">programs </w:t>
      </w:r>
      <w:proofErr w:type="gramStart"/>
      <w:r>
        <w:t>in order to</w:t>
      </w:r>
      <w:proofErr w:type="gramEnd"/>
      <w:r>
        <w:t xml:space="preserve"> function. Installation of these packages is detailed below. </w:t>
      </w:r>
    </w:p>
    <w:p w14:paraId="23DF16CB" w14:textId="77777777" w:rsidR="006A5E8C" w:rsidRDefault="006A5E8C" w:rsidP="000356B7">
      <w:pPr>
        <w:jc w:val="both"/>
      </w:pPr>
    </w:p>
    <w:p w14:paraId="2D08ABDA" w14:textId="24502ECF" w:rsidR="00DF3F78" w:rsidRDefault="00DF3F78" w:rsidP="000356B7">
      <w:pPr>
        <w:pStyle w:val="Heading3"/>
        <w:jc w:val="both"/>
      </w:pPr>
      <w:bookmarkStart w:id="17" w:name="_Toc66269166"/>
      <w:r>
        <w:t>Babel 2.4.1</w:t>
      </w:r>
      <w:bookmarkEnd w:id="17"/>
    </w:p>
    <w:p w14:paraId="332077AB" w14:textId="0CA32564" w:rsidR="00DF3F78" w:rsidRDefault="00DF3F78" w:rsidP="000356B7">
      <w:pPr>
        <w:jc w:val="both"/>
      </w:pPr>
    </w:p>
    <w:p w14:paraId="0C0B0D22" w14:textId="77777777" w:rsidR="00136788" w:rsidRPr="00136788" w:rsidRDefault="00DF3F78" w:rsidP="000356B7">
      <w:pPr>
        <w:jc w:val="both"/>
      </w:pPr>
      <w:r w:rsidRPr="00136788">
        <w:t xml:space="preserve">The GUI is compatible has been tested with </w:t>
      </w:r>
      <w:proofErr w:type="spellStart"/>
      <w:r w:rsidRPr="00136788">
        <w:t>OpenBabel</w:t>
      </w:r>
      <w:proofErr w:type="spellEnd"/>
      <w:r w:rsidRPr="00136788">
        <w:t xml:space="preserve"> 2.4.1</w:t>
      </w:r>
    </w:p>
    <w:p w14:paraId="6630BD7F" w14:textId="77777777" w:rsidR="00136788" w:rsidRPr="00136788" w:rsidRDefault="00136788" w:rsidP="000356B7">
      <w:pPr>
        <w:jc w:val="both"/>
      </w:pPr>
    </w:p>
    <w:p w14:paraId="69DE1916" w14:textId="6C28686C" w:rsidR="00DF3F78" w:rsidRPr="00136788" w:rsidRDefault="00DF3F78" w:rsidP="000356B7">
      <w:pPr>
        <w:jc w:val="both"/>
      </w:pPr>
      <w:r w:rsidRPr="00136788">
        <w:rPr>
          <w:rFonts w:cs="Courier New"/>
          <w:color w:val="000000"/>
          <w:sz w:val="22"/>
          <w:szCs w:val="22"/>
        </w:rPr>
        <w:t>N</w:t>
      </w:r>
      <w:r w:rsidR="005B75BB" w:rsidRPr="00136788">
        <w:rPr>
          <w:rFonts w:cs="Courier New"/>
          <w:color w:val="000000"/>
          <w:sz w:val="22"/>
          <w:szCs w:val="22"/>
        </w:rPr>
        <w:t>.</w:t>
      </w:r>
      <w:r w:rsidRPr="00136788">
        <w:rPr>
          <w:rFonts w:cs="Courier New"/>
          <w:color w:val="000000"/>
          <w:sz w:val="22"/>
          <w:szCs w:val="22"/>
        </w:rPr>
        <w:t xml:space="preserve"> M</w:t>
      </w:r>
      <w:r w:rsidR="005B75BB" w:rsidRPr="00136788">
        <w:rPr>
          <w:rFonts w:cs="Courier New"/>
          <w:color w:val="000000"/>
          <w:sz w:val="22"/>
          <w:szCs w:val="22"/>
        </w:rPr>
        <w:t>.</w:t>
      </w:r>
      <w:r w:rsidRPr="00136788">
        <w:rPr>
          <w:rFonts w:cs="Courier New"/>
          <w:color w:val="000000"/>
          <w:sz w:val="22"/>
          <w:szCs w:val="22"/>
        </w:rPr>
        <w:t xml:space="preserve"> O'Boyle, M</w:t>
      </w:r>
      <w:r w:rsidR="005B75BB" w:rsidRPr="00136788">
        <w:rPr>
          <w:rFonts w:cs="Courier New"/>
          <w:color w:val="000000"/>
          <w:sz w:val="22"/>
          <w:szCs w:val="22"/>
        </w:rPr>
        <w:t>.</w:t>
      </w:r>
      <w:r w:rsidRPr="00136788">
        <w:rPr>
          <w:rFonts w:cs="Courier New"/>
          <w:color w:val="000000"/>
          <w:sz w:val="22"/>
          <w:szCs w:val="22"/>
        </w:rPr>
        <w:t xml:space="preserve"> </w:t>
      </w:r>
      <w:proofErr w:type="spellStart"/>
      <w:r w:rsidRPr="00136788">
        <w:rPr>
          <w:rFonts w:cs="Courier New"/>
          <w:color w:val="000000"/>
          <w:sz w:val="22"/>
          <w:szCs w:val="22"/>
        </w:rPr>
        <w:t>Banck</w:t>
      </w:r>
      <w:proofErr w:type="spellEnd"/>
      <w:r w:rsidRPr="00136788">
        <w:rPr>
          <w:rFonts w:cs="Courier New"/>
          <w:color w:val="000000"/>
          <w:sz w:val="22"/>
          <w:szCs w:val="22"/>
        </w:rPr>
        <w:t>, C</w:t>
      </w:r>
      <w:r w:rsidR="005B75BB" w:rsidRPr="00136788">
        <w:rPr>
          <w:rFonts w:cs="Courier New"/>
          <w:color w:val="000000"/>
          <w:sz w:val="22"/>
          <w:szCs w:val="22"/>
        </w:rPr>
        <w:t>.</w:t>
      </w:r>
      <w:r w:rsidRPr="00136788">
        <w:rPr>
          <w:rFonts w:cs="Courier New"/>
          <w:color w:val="000000"/>
          <w:sz w:val="22"/>
          <w:szCs w:val="22"/>
        </w:rPr>
        <w:t xml:space="preserve"> A</w:t>
      </w:r>
      <w:r w:rsidR="005B75BB" w:rsidRPr="00136788">
        <w:rPr>
          <w:rFonts w:cs="Courier New"/>
          <w:color w:val="000000"/>
          <w:sz w:val="22"/>
          <w:szCs w:val="22"/>
        </w:rPr>
        <w:t>.</w:t>
      </w:r>
      <w:r w:rsidRPr="00136788">
        <w:rPr>
          <w:rFonts w:cs="Courier New"/>
          <w:color w:val="000000"/>
          <w:sz w:val="22"/>
          <w:szCs w:val="22"/>
        </w:rPr>
        <w:t xml:space="preserve"> James, C</w:t>
      </w:r>
      <w:r w:rsidR="005B75BB" w:rsidRPr="00136788">
        <w:rPr>
          <w:rFonts w:cs="Courier New"/>
          <w:color w:val="000000"/>
          <w:sz w:val="22"/>
          <w:szCs w:val="22"/>
        </w:rPr>
        <w:t>.</w:t>
      </w:r>
      <w:r w:rsidRPr="00136788">
        <w:rPr>
          <w:rFonts w:cs="Courier New"/>
          <w:color w:val="000000"/>
          <w:sz w:val="22"/>
          <w:szCs w:val="22"/>
        </w:rPr>
        <w:t xml:space="preserve"> Morley, T</w:t>
      </w:r>
      <w:r w:rsidR="005B75BB" w:rsidRPr="00136788">
        <w:rPr>
          <w:rFonts w:cs="Courier New"/>
          <w:color w:val="000000"/>
          <w:sz w:val="22"/>
          <w:szCs w:val="22"/>
        </w:rPr>
        <w:t>.</w:t>
      </w:r>
      <w:r w:rsidRPr="00136788">
        <w:rPr>
          <w:rFonts w:cs="Courier New"/>
          <w:color w:val="000000"/>
          <w:sz w:val="22"/>
          <w:szCs w:val="22"/>
        </w:rPr>
        <w:t xml:space="preserve"> </w:t>
      </w:r>
      <w:proofErr w:type="spellStart"/>
      <w:r w:rsidRPr="00136788">
        <w:rPr>
          <w:rFonts w:cs="Courier New"/>
          <w:color w:val="000000"/>
          <w:sz w:val="22"/>
          <w:szCs w:val="22"/>
        </w:rPr>
        <w:t>Vandermeersch</w:t>
      </w:r>
      <w:proofErr w:type="spellEnd"/>
      <w:r w:rsidRPr="00136788">
        <w:rPr>
          <w:rFonts w:cs="Courier New"/>
          <w:color w:val="000000"/>
          <w:sz w:val="22"/>
          <w:szCs w:val="22"/>
        </w:rPr>
        <w:t>, and G</w:t>
      </w:r>
      <w:r w:rsidR="005B75BB" w:rsidRPr="00136788">
        <w:rPr>
          <w:rFonts w:cs="Courier New"/>
          <w:color w:val="000000"/>
          <w:sz w:val="22"/>
          <w:szCs w:val="22"/>
        </w:rPr>
        <w:t>.</w:t>
      </w:r>
      <w:r w:rsidRPr="00136788">
        <w:rPr>
          <w:rFonts w:cs="Courier New"/>
          <w:color w:val="000000"/>
          <w:sz w:val="22"/>
          <w:szCs w:val="22"/>
        </w:rPr>
        <w:t xml:space="preserve"> R</w:t>
      </w:r>
      <w:r w:rsidR="005B75BB" w:rsidRPr="00136788">
        <w:rPr>
          <w:rFonts w:cs="Courier New"/>
          <w:color w:val="000000"/>
          <w:sz w:val="22"/>
          <w:szCs w:val="22"/>
        </w:rPr>
        <w:t>.</w:t>
      </w:r>
      <w:r w:rsidRPr="00136788">
        <w:rPr>
          <w:rFonts w:cs="Courier New"/>
          <w:color w:val="000000"/>
          <w:sz w:val="22"/>
          <w:szCs w:val="22"/>
        </w:rPr>
        <w:t xml:space="preserve"> Hutchison. Open Babel: An open chemical toolbox. </w:t>
      </w:r>
      <w:r w:rsidRPr="00136788">
        <w:rPr>
          <w:rFonts w:cs="Courier New"/>
          <w:i/>
          <w:iCs/>
          <w:color w:val="000000"/>
          <w:sz w:val="22"/>
          <w:szCs w:val="22"/>
        </w:rPr>
        <w:t xml:space="preserve">J. </w:t>
      </w:r>
      <w:proofErr w:type="spellStart"/>
      <w:r w:rsidRPr="00136788">
        <w:rPr>
          <w:rFonts w:cs="Courier New"/>
          <w:i/>
          <w:iCs/>
          <w:color w:val="000000"/>
          <w:sz w:val="22"/>
          <w:szCs w:val="22"/>
        </w:rPr>
        <w:t>Cheminf</w:t>
      </w:r>
      <w:proofErr w:type="spellEnd"/>
      <w:r w:rsidRPr="00136788">
        <w:rPr>
          <w:rFonts w:cs="Courier New"/>
          <w:i/>
          <w:iCs/>
          <w:color w:val="000000"/>
          <w:sz w:val="22"/>
          <w:szCs w:val="22"/>
        </w:rPr>
        <w:t>.</w:t>
      </w:r>
      <w:r w:rsidRPr="00136788">
        <w:rPr>
          <w:rFonts w:cs="Courier New"/>
          <w:color w:val="000000"/>
          <w:sz w:val="22"/>
          <w:szCs w:val="22"/>
        </w:rPr>
        <w:t xml:space="preserve"> (2011), 3, 33</w:t>
      </w:r>
      <w:r w:rsidRPr="00136788">
        <w:t>.</w:t>
      </w:r>
    </w:p>
    <w:p w14:paraId="725EF20B" w14:textId="3F78967E" w:rsidR="00DF3F78" w:rsidRPr="00136788" w:rsidRDefault="00DF3F78" w:rsidP="000356B7">
      <w:pPr>
        <w:jc w:val="both"/>
      </w:pPr>
    </w:p>
    <w:p w14:paraId="1E06058C" w14:textId="77777777" w:rsidR="00136788" w:rsidRPr="00136788" w:rsidRDefault="00DF3F78" w:rsidP="000356B7">
      <w:pPr>
        <w:jc w:val="both"/>
      </w:pPr>
      <w:proofErr w:type="spellStart"/>
      <w:r w:rsidRPr="00136788">
        <w:t>OpenBabel</w:t>
      </w:r>
      <w:proofErr w:type="spellEnd"/>
      <w:r w:rsidRPr="00136788">
        <w:t xml:space="preserve"> 2.4.1 can be downloaded from: </w:t>
      </w:r>
    </w:p>
    <w:p w14:paraId="36556F40" w14:textId="77777777" w:rsidR="00136788" w:rsidRDefault="00136788" w:rsidP="000356B7">
      <w:pPr>
        <w:jc w:val="both"/>
      </w:pPr>
    </w:p>
    <w:p w14:paraId="10323B6A" w14:textId="7310A09F" w:rsidR="00DF3F78" w:rsidRDefault="00B22392" w:rsidP="000356B7">
      <w:pPr>
        <w:jc w:val="both"/>
      </w:pPr>
      <w:hyperlink r:id="rId22" w:history="1">
        <w:r w:rsidR="00136788" w:rsidRPr="00B32735">
          <w:rPr>
            <w:rStyle w:val="Hyperlink"/>
          </w:rPr>
          <w:t>https://sourceforge.net/projects/openbabel/files/openbabel/2.4.1/</w:t>
        </w:r>
      </w:hyperlink>
      <w:r w:rsidR="00DF3F78">
        <w:t xml:space="preserve"> </w:t>
      </w:r>
    </w:p>
    <w:p w14:paraId="07414369" w14:textId="6DC3CDE3" w:rsidR="00DF3F78" w:rsidRDefault="00DF3F78" w:rsidP="000356B7">
      <w:pPr>
        <w:jc w:val="both"/>
      </w:pPr>
    </w:p>
    <w:p w14:paraId="0BBE66E4" w14:textId="422BD11F" w:rsidR="00DF3F78" w:rsidRDefault="00DF3F78" w:rsidP="000356B7">
      <w:pPr>
        <w:jc w:val="both"/>
      </w:pPr>
      <w:r>
        <w:t xml:space="preserve">Follow the on-screen instructions and install in the default directory. </w:t>
      </w:r>
    </w:p>
    <w:p w14:paraId="26025CAB" w14:textId="43A9CDC2" w:rsidR="00DF3F78" w:rsidRDefault="00DF3F78" w:rsidP="000356B7">
      <w:pPr>
        <w:jc w:val="both"/>
      </w:pPr>
    </w:p>
    <w:p w14:paraId="4C9FB7E9" w14:textId="43C985FC" w:rsidR="00DF3F78" w:rsidRDefault="00DF3F78" w:rsidP="000356B7">
      <w:pPr>
        <w:jc w:val="both"/>
        <w:rPr>
          <w:rFonts w:ascii="Arial Black" w:eastAsiaTheme="majorEastAsia" w:hAnsi="Arial Black" w:cstheme="majorBidi"/>
          <w:color w:val="767171" w:themeColor="background2" w:themeShade="80"/>
          <w:sz w:val="28"/>
          <w:szCs w:val="24"/>
        </w:rPr>
      </w:pPr>
      <w:r w:rsidRPr="00DF3F78">
        <w:rPr>
          <w:rFonts w:ascii="Arial Black" w:eastAsiaTheme="majorEastAsia" w:hAnsi="Arial Black" w:cstheme="majorBidi"/>
          <w:color w:val="767171" w:themeColor="background2" w:themeShade="80"/>
          <w:sz w:val="28"/>
          <w:szCs w:val="24"/>
        </w:rPr>
        <w:t>SDF2XYZ2SDF</w:t>
      </w:r>
    </w:p>
    <w:p w14:paraId="2525EAF1" w14:textId="77777777" w:rsidR="00DF3F78" w:rsidRDefault="00DF3F78" w:rsidP="000356B7">
      <w:pPr>
        <w:jc w:val="both"/>
      </w:pPr>
    </w:p>
    <w:p w14:paraId="265F4A5A" w14:textId="4498B535" w:rsidR="00DF3F78" w:rsidRDefault="00DF3F78" w:rsidP="000356B7">
      <w:pPr>
        <w:jc w:val="both"/>
      </w:pPr>
      <w:r>
        <w:t>The GUI requires</w:t>
      </w:r>
      <w:r w:rsidR="00A951D7">
        <w:t xml:space="preserve"> the SDF2XYZ2SDF </w:t>
      </w:r>
      <w:r w:rsidR="001D34E4">
        <w:t>program</w:t>
      </w:r>
      <w:r w:rsidR="00A951D7">
        <w:t xml:space="preserve">. For details on the functionality of this </w:t>
      </w:r>
      <w:r w:rsidR="001D34E4">
        <w:t>program</w:t>
      </w:r>
      <w:r w:rsidR="00A951D7">
        <w:t xml:space="preserve">, please see </w:t>
      </w:r>
      <w:r w:rsidR="00A951D7" w:rsidRPr="00423A86">
        <w:t>P</w:t>
      </w:r>
      <w:r w:rsidR="001D34E4">
        <w:t>.</w:t>
      </w:r>
      <w:r w:rsidR="00A951D7" w:rsidRPr="00423A86">
        <w:t xml:space="preserve"> Tosco and T</w:t>
      </w:r>
      <w:r w:rsidR="001D34E4">
        <w:t>.</w:t>
      </w:r>
      <w:r w:rsidR="00A951D7" w:rsidRPr="00423A86">
        <w:t xml:space="preserve"> </w:t>
      </w:r>
      <w:proofErr w:type="spellStart"/>
      <w:r w:rsidR="00A951D7" w:rsidRPr="00423A86">
        <w:t>Balle</w:t>
      </w:r>
      <w:proofErr w:type="spellEnd"/>
      <w:r w:rsidR="00A951D7">
        <w:t>,</w:t>
      </w:r>
      <w:r w:rsidR="00A951D7" w:rsidRPr="00423A86">
        <w:t xml:space="preserve"> </w:t>
      </w:r>
      <w:r w:rsidR="00A951D7" w:rsidRPr="00423A86">
        <w:rPr>
          <w:i/>
          <w:iCs/>
        </w:rPr>
        <w:t>Journal of Molecular Modeling</w:t>
      </w:r>
      <w:r w:rsidR="00A951D7" w:rsidRPr="00423A86">
        <w:t>, 2011, 17, 3021-3023.</w:t>
      </w:r>
    </w:p>
    <w:p w14:paraId="0E4BE568" w14:textId="10AC7B89" w:rsidR="00A951D7" w:rsidRDefault="00A951D7" w:rsidP="000356B7">
      <w:pPr>
        <w:jc w:val="both"/>
      </w:pPr>
    </w:p>
    <w:p w14:paraId="2E63AE14" w14:textId="77777777" w:rsidR="001D34E4" w:rsidRDefault="00A951D7" w:rsidP="00035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SDF2XYZ2SDF can be downloaded from: </w:t>
      </w:r>
    </w:p>
    <w:p w14:paraId="1E919E31" w14:textId="77777777" w:rsidR="001D34E4" w:rsidRDefault="001D34E4" w:rsidP="00035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F21BF81" w14:textId="62CC8DF1" w:rsidR="00A951D7" w:rsidRPr="00423A86" w:rsidRDefault="00B22392" w:rsidP="00035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no pro" w:hAnsi="Arno pro" w:cs="Courier New"/>
          <w:color w:val="000000"/>
          <w:sz w:val="22"/>
          <w:szCs w:val="22"/>
        </w:rPr>
      </w:pPr>
      <w:hyperlink r:id="rId23" w:history="1">
        <w:r w:rsidR="001D34E4" w:rsidRPr="00B32735">
          <w:rPr>
            <w:rStyle w:val="Hyperlink"/>
            <w:rFonts w:ascii="Arno pro" w:hAnsi="Arno pro" w:cs="Courier New"/>
            <w:sz w:val="22"/>
            <w:szCs w:val="22"/>
          </w:rPr>
          <w:t>https://sourceforge.net/projects/sdf2xyz2sdf/files/binaries/windows/</w:t>
        </w:r>
      </w:hyperlink>
      <w:r w:rsidR="00A951D7">
        <w:rPr>
          <w:rFonts w:ascii="Arno pro" w:hAnsi="Arno pro" w:cs="Courier New"/>
          <w:color w:val="000000"/>
          <w:sz w:val="22"/>
          <w:szCs w:val="22"/>
        </w:rPr>
        <w:t xml:space="preserve"> </w:t>
      </w:r>
    </w:p>
    <w:p w14:paraId="440BE573" w14:textId="0CBC918E" w:rsidR="00A951D7" w:rsidRDefault="00A951D7" w:rsidP="000356B7">
      <w:pPr>
        <w:jc w:val="both"/>
      </w:pPr>
    </w:p>
    <w:p w14:paraId="6E6AD8CA" w14:textId="3708A1DB" w:rsidR="00A951D7" w:rsidRDefault="00A951D7" w:rsidP="000356B7">
      <w:pPr>
        <w:jc w:val="both"/>
      </w:pPr>
      <w:r>
        <w:t xml:space="preserve">Follow the on-screen instructions and install in the default directory. </w:t>
      </w:r>
    </w:p>
    <w:p w14:paraId="613625A0" w14:textId="25D61E18" w:rsidR="00551EF1" w:rsidRDefault="00551EF1" w:rsidP="000356B7">
      <w:pPr>
        <w:jc w:val="both"/>
      </w:pPr>
    </w:p>
    <w:p w14:paraId="224D3352" w14:textId="77777777" w:rsidR="00551EF1" w:rsidRDefault="00551EF1" w:rsidP="000356B7">
      <w:pPr>
        <w:jc w:val="both"/>
      </w:pPr>
    </w:p>
    <w:p w14:paraId="644769CF" w14:textId="140BB51F" w:rsidR="00DF3F78" w:rsidRDefault="00DF3F78" w:rsidP="000356B7">
      <w:pPr>
        <w:jc w:val="both"/>
      </w:pPr>
    </w:p>
    <w:p w14:paraId="604851D2" w14:textId="5618CF90" w:rsidR="00A951D7" w:rsidRDefault="00A951D7" w:rsidP="000356B7">
      <w:pPr>
        <w:jc w:val="both"/>
        <w:rPr>
          <w:rFonts w:ascii="Arial Black" w:eastAsiaTheme="majorEastAsia" w:hAnsi="Arial Black" w:cstheme="majorBidi"/>
          <w:color w:val="767171" w:themeColor="background2" w:themeShade="80"/>
          <w:sz w:val="28"/>
          <w:szCs w:val="24"/>
        </w:rPr>
      </w:pPr>
      <w:r>
        <w:rPr>
          <w:rFonts w:ascii="Arial Black" w:eastAsiaTheme="majorEastAsia" w:hAnsi="Arial Black" w:cstheme="majorBidi"/>
          <w:color w:val="767171" w:themeColor="background2" w:themeShade="80"/>
          <w:sz w:val="28"/>
          <w:szCs w:val="24"/>
        </w:rPr>
        <w:lastRenderedPageBreak/>
        <w:t>Adding Babel and SDF2XYZ2SDF directories to PATH</w:t>
      </w:r>
    </w:p>
    <w:p w14:paraId="3B8B2742" w14:textId="77777777" w:rsidR="00A951D7" w:rsidRDefault="00A951D7" w:rsidP="000356B7">
      <w:pPr>
        <w:jc w:val="both"/>
      </w:pPr>
      <w:r w:rsidRPr="00A951D7">
        <w:t xml:space="preserve">If you specified the default install directories for both packages, these need to be added to PATH. </w:t>
      </w:r>
    </w:p>
    <w:p w14:paraId="6972159C" w14:textId="77777777" w:rsidR="00A951D7" w:rsidRDefault="00A951D7" w:rsidP="000356B7">
      <w:pPr>
        <w:jc w:val="both"/>
      </w:pPr>
    </w:p>
    <w:p w14:paraId="7D9F5E6F" w14:textId="6DA0B3D3" w:rsidR="00A951D7" w:rsidRDefault="00A951D7" w:rsidP="000356B7">
      <w:pPr>
        <w:jc w:val="both"/>
      </w:pPr>
      <w:r>
        <w:t>To add the directories to the PATH:</w:t>
      </w:r>
    </w:p>
    <w:p w14:paraId="491F89C2" w14:textId="310A7CD2" w:rsidR="00A951D7" w:rsidRDefault="00A951D7" w:rsidP="000356B7">
      <w:pPr>
        <w:pStyle w:val="ListParagraph"/>
        <w:numPr>
          <w:ilvl w:val="0"/>
          <w:numId w:val="2"/>
        </w:numPr>
        <w:jc w:val="both"/>
      </w:pPr>
      <w:r w:rsidRPr="00A951D7">
        <w:t>Enter ‘Environment Variables’ in the W</w:t>
      </w:r>
      <w:r>
        <w:t>indows Search bar</w:t>
      </w:r>
    </w:p>
    <w:p w14:paraId="7A634DB7" w14:textId="253167EE" w:rsidR="00A951D7" w:rsidRDefault="00A951D7" w:rsidP="000356B7">
      <w:pPr>
        <w:pStyle w:val="ListParagraph"/>
        <w:numPr>
          <w:ilvl w:val="0"/>
          <w:numId w:val="2"/>
        </w:numPr>
        <w:jc w:val="both"/>
      </w:pPr>
      <w:r>
        <w:t xml:space="preserve">Select ‘Edit the system environment </w:t>
      </w:r>
      <w:proofErr w:type="gramStart"/>
      <w:r>
        <w:t>variables’</w:t>
      </w:r>
      <w:proofErr w:type="gramEnd"/>
    </w:p>
    <w:p w14:paraId="62EB1328" w14:textId="28DBD90F" w:rsidR="00A951D7" w:rsidRDefault="00A951D7" w:rsidP="000356B7">
      <w:pPr>
        <w:pStyle w:val="ListParagraph"/>
        <w:numPr>
          <w:ilvl w:val="0"/>
          <w:numId w:val="2"/>
        </w:numPr>
        <w:jc w:val="both"/>
      </w:pPr>
      <w:r>
        <w:t xml:space="preserve">Select the ‘Environment Variables…’ radio button at the bottom of the screen. </w:t>
      </w:r>
    </w:p>
    <w:p w14:paraId="1522EF91" w14:textId="192C6206" w:rsidR="00A951D7" w:rsidRDefault="00143EAC" w:rsidP="000356B7">
      <w:pPr>
        <w:pStyle w:val="ListParagraph"/>
        <w:numPr>
          <w:ilvl w:val="0"/>
          <w:numId w:val="2"/>
        </w:numPr>
        <w:jc w:val="both"/>
      </w:pPr>
      <w:r>
        <w:t xml:space="preserve">Highlight the Path variable in the top box and select the ‘Edit…’ radio button. </w:t>
      </w:r>
    </w:p>
    <w:p w14:paraId="56B93E5E" w14:textId="3395DAB6" w:rsidR="00143EAC" w:rsidRDefault="00143EAC" w:rsidP="000356B7">
      <w:pPr>
        <w:pStyle w:val="ListParagraph"/>
        <w:numPr>
          <w:ilvl w:val="0"/>
          <w:numId w:val="2"/>
        </w:numPr>
        <w:jc w:val="both"/>
      </w:pPr>
      <w:r>
        <w:t xml:space="preserve">Select the ‘New’ radio button and add the following two entries: </w:t>
      </w:r>
    </w:p>
    <w:p w14:paraId="16F4593A" w14:textId="2DB38377" w:rsidR="00143EAC" w:rsidRDefault="00143EAC" w:rsidP="000356B7">
      <w:pPr>
        <w:pStyle w:val="ListParagraph"/>
        <w:numPr>
          <w:ilvl w:val="1"/>
          <w:numId w:val="2"/>
        </w:numPr>
        <w:jc w:val="both"/>
      </w:pPr>
      <w:r w:rsidRPr="00143EAC">
        <w:t>C:\Program Files\OpenBabel-2.4.1</w:t>
      </w:r>
    </w:p>
    <w:p w14:paraId="5AC73F79" w14:textId="11BDF1A2" w:rsidR="00143EAC" w:rsidRPr="00A951D7" w:rsidRDefault="00143EAC" w:rsidP="000356B7">
      <w:pPr>
        <w:pStyle w:val="ListParagraph"/>
        <w:numPr>
          <w:ilvl w:val="1"/>
          <w:numId w:val="2"/>
        </w:numPr>
        <w:jc w:val="both"/>
      </w:pPr>
      <w:r w:rsidRPr="00143EAC">
        <w:t>C:\open3dtools\bin</w:t>
      </w:r>
    </w:p>
    <w:p w14:paraId="76A045B6" w14:textId="77777777" w:rsidR="00A951D7" w:rsidRPr="00A951D7" w:rsidRDefault="00A951D7" w:rsidP="000356B7">
      <w:pPr>
        <w:jc w:val="both"/>
      </w:pPr>
    </w:p>
    <w:p w14:paraId="60B6ECCD" w14:textId="4950FCF5" w:rsidR="004D724C" w:rsidRDefault="009A02AA" w:rsidP="000356B7">
      <w:pPr>
        <w:pStyle w:val="Heading2"/>
        <w:jc w:val="both"/>
      </w:pPr>
      <w:bookmarkStart w:id="18" w:name="_Toc66269167"/>
      <w:r>
        <w:t>3</w:t>
      </w:r>
      <w:r w:rsidR="004D724C">
        <w:t xml:space="preserve">.2 Installing </w:t>
      </w:r>
      <w:r w:rsidR="00DC2A80">
        <w:t>Python and Python libraries</w:t>
      </w:r>
      <w:bookmarkEnd w:id="18"/>
      <w:r w:rsidR="00DC2A80">
        <w:t xml:space="preserve"> </w:t>
      </w:r>
      <w:r w:rsidR="004D724C">
        <w:t xml:space="preserve"> </w:t>
      </w:r>
    </w:p>
    <w:p w14:paraId="63AC4AEE" w14:textId="77777777" w:rsidR="00DC2A80" w:rsidRPr="00DC2A80" w:rsidRDefault="00DC2A80" w:rsidP="000356B7">
      <w:pPr>
        <w:jc w:val="both"/>
      </w:pPr>
    </w:p>
    <w:p w14:paraId="22E60743" w14:textId="3298B893" w:rsidR="00DC2A80" w:rsidRDefault="00DC2A80" w:rsidP="000356B7">
      <w:pPr>
        <w:pStyle w:val="Heading3"/>
        <w:jc w:val="both"/>
      </w:pPr>
      <w:bookmarkStart w:id="19" w:name="_Toc66269168"/>
      <w:r>
        <w:t>Python 3.7 or 3.8</w:t>
      </w:r>
      <w:bookmarkEnd w:id="19"/>
    </w:p>
    <w:p w14:paraId="6DB14AB0" w14:textId="77777777" w:rsidR="00DC2A80" w:rsidRDefault="00DC2A80" w:rsidP="000356B7">
      <w:pPr>
        <w:jc w:val="both"/>
      </w:pPr>
    </w:p>
    <w:p w14:paraId="203023EE" w14:textId="1ED76F75" w:rsidR="00A951D7" w:rsidRDefault="00E12D1D" w:rsidP="000356B7">
      <w:pPr>
        <w:jc w:val="both"/>
      </w:pPr>
      <w:r>
        <w:t xml:space="preserve">The GUI is compatible with all Python 3.7 and 3.8 releases. </w:t>
      </w:r>
      <w:r w:rsidR="005B091F">
        <w:t>Download the version to suite your OS</w:t>
      </w:r>
      <w:r w:rsidR="00027642">
        <w:t xml:space="preserve"> from </w:t>
      </w:r>
      <w:hyperlink r:id="rId24" w:history="1">
        <w:r w:rsidR="00027642" w:rsidRPr="00B563B5">
          <w:rPr>
            <w:rStyle w:val="Hyperlink"/>
          </w:rPr>
          <w:t>https://www.python.org/downloads/</w:t>
        </w:r>
      </w:hyperlink>
      <w:r w:rsidR="000764C7">
        <w:t xml:space="preserve">. When installing, ensure that the radio button to </w:t>
      </w:r>
      <w:r w:rsidR="00823D0E">
        <w:t>‘A</w:t>
      </w:r>
      <w:r w:rsidR="000764C7">
        <w:t>dd Python</w:t>
      </w:r>
      <w:r w:rsidR="00823D0E">
        <w:t xml:space="preserve"> 3.</w:t>
      </w:r>
      <w:r w:rsidR="00BD73A8">
        <w:t>X</w:t>
      </w:r>
      <w:r w:rsidR="000764C7">
        <w:t xml:space="preserve"> to </w:t>
      </w:r>
      <w:r w:rsidR="00BD73A8">
        <w:t>PATH’</w:t>
      </w:r>
      <w:r w:rsidR="000764C7">
        <w:t xml:space="preserve"> is selected</w:t>
      </w:r>
      <w:r w:rsidR="00BD73A8">
        <w:t xml:space="preserve">; it should be located at the bottom of the installer window. </w:t>
      </w:r>
    </w:p>
    <w:p w14:paraId="49DB975F" w14:textId="084AF660" w:rsidR="0019453B" w:rsidRDefault="0019453B" w:rsidP="000356B7">
      <w:pPr>
        <w:jc w:val="both"/>
      </w:pPr>
    </w:p>
    <w:p w14:paraId="3EDA72B4" w14:textId="612E73C3" w:rsidR="0019453B" w:rsidRDefault="0019453B" w:rsidP="000356B7">
      <w:pPr>
        <w:jc w:val="both"/>
      </w:pPr>
      <w:r>
        <w:t xml:space="preserve">It is also beneficial to install do a custom installation of Python such that you can modify the install directory. </w:t>
      </w:r>
      <w:r w:rsidR="009B6F87">
        <w:t>A convenient location is C:/Python37 (for Python 3.7) or C:/Python38 (for Python 3.8)</w:t>
      </w:r>
    </w:p>
    <w:p w14:paraId="4E1BE4C5" w14:textId="1F2426BF" w:rsidR="0039398F" w:rsidRDefault="0039398F" w:rsidP="000356B7">
      <w:pPr>
        <w:jc w:val="both"/>
      </w:pPr>
    </w:p>
    <w:p w14:paraId="48EF244F" w14:textId="2D5DA3A3" w:rsidR="0039398F" w:rsidRDefault="0039398F" w:rsidP="000356B7">
      <w:pPr>
        <w:pStyle w:val="Heading3"/>
        <w:jc w:val="both"/>
      </w:pPr>
      <w:bookmarkStart w:id="20" w:name="_Toc66269169"/>
      <w:proofErr w:type="spellStart"/>
      <w:r>
        <w:t>Numpy</w:t>
      </w:r>
      <w:proofErr w:type="spellEnd"/>
      <w:r>
        <w:t xml:space="preserve"> and</w:t>
      </w:r>
      <w:r w:rsidR="007413DA">
        <w:t xml:space="preserve"> PyQt5</w:t>
      </w:r>
      <w:bookmarkEnd w:id="20"/>
    </w:p>
    <w:p w14:paraId="7C5B6566" w14:textId="594DFB4E" w:rsidR="007413DA" w:rsidRDefault="007413DA" w:rsidP="000356B7">
      <w:pPr>
        <w:jc w:val="both"/>
      </w:pPr>
    </w:p>
    <w:p w14:paraId="1FAEC5EA" w14:textId="10CDEAC6" w:rsidR="007413DA" w:rsidRDefault="00052569" w:rsidP="000356B7">
      <w:pPr>
        <w:jc w:val="both"/>
      </w:pPr>
      <w:r>
        <w:t xml:space="preserve">The MobCal-MPI Suite GUI requires the </w:t>
      </w:r>
      <w:proofErr w:type="spellStart"/>
      <w:r>
        <w:t>numpy</w:t>
      </w:r>
      <w:proofErr w:type="spellEnd"/>
      <w:r>
        <w:t xml:space="preserve"> and PyQt5 libraries. To install these: </w:t>
      </w:r>
    </w:p>
    <w:p w14:paraId="51A34C0B" w14:textId="65627F70" w:rsidR="00052569" w:rsidRDefault="00052569" w:rsidP="000356B7">
      <w:pPr>
        <w:jc w:val="both"/>
      </w:pPr>
    </w:p>
    <w:p w14:paraId="0EBFD377" w14:textId="3A67194D" w:rsidR="00052569" w:rsidRDefault="00052569" w:rsidP="000356B7">
      <w:pPr>
        <w:pStyle w:val="ListParagraph"/>
        <w:numPr>
          <w:ilvl w:val="0"/>
          <w:numId w:val="3"/>
        </w:numPr>
        <w:jc w:val="both"/>
      </w:pPr>
      <w:proofErr w:type="gramStart"/>
      <w:r>
        <w:t>Open up</w:t>
      </w:r>
      <w:proofErr w:type="gramEnd"/>
      <w:r>
        <w:t xml:space="preserve"> the command prompt (or equivalent for Mac/Linux).</w:t>
      </w:r>
      <w:r w:rsidR="008730FA">
        <w:t xml:space="preserve"> For Windows users, type </w:t>
      </w:r>
      <w:proofErr w:type="spellStart"/>
      <w:r w:rsidR="008730FA">
        <w:rPr>
          <w:i/>
          <w:iCs/>
        </w:rPr>
        <w:t>cmd</w:t>
      </w:r>
      <w:proofErr w:type="spellEnd"/>
      <w:r w:rsidR="008730FA">
        <w:t xml:space="preserve"> into the search bar. </w:t>
      </w:r>
    </w:p>
    <w:p w14:paraId="25EE147E" w14:textId="77777777" w:rsidR="00551EF1" w:rsidRDefault="009179EC" w:rsidP="000356B7">
      <w:pPr>
        <w:pStyle w:val="ListParagraph"/>
        <w:numPr>
          <w:ilvl w:val="0"/>
          <w:numId w:val="3"/>
        </w:numPr>
        <w:jc w:val="both"/>
      </w:pPr>
      <w:r>
        <w:t xml:space="preserve">Type the following commands: </w:t>
      </w:r>
    </w:p>
    <w:p w14:paraId="20427DE9" w14:textId="3994F99E" w:rsidR="008730FA" w:rsidRDefault="008730FA" w:rsidP="00551EF1">
      <w:pPr>
        <w:pStyle w:val="ListParagraph"/>
        <w:jc w:val="both"/>
      </w:pPr>
    </w:p>
    <w:p w14:paraId="6D051899" w14:textId="4995224A" w:rsidR="009179EC" w:rsidRDefault="009179EC" w:rsidP="000356B7">
      <w:pPr>
        <w:pStyle w:val="ListParagraph"/>
        <w:jc w:val="both"/>
      </w:pPr>
      <w:r>
        <w:t xml:space="preserve">pip install </w:t>
      </w:r>
      <w:proofErr w:type="spellStart"/>
      <w:proofErr w:type="gramStart"/>
      <w:r>
        <w:t>numpy</w:t>
      </w:r>
      <w:proofErr w:type="spellEnd"/>
      <w:proofErr w:type="gramEnd"/>
    </w:p>
    <w:p w14:paraId="7951495F" w14:textId="04D07473" w:rsidR="009179EC" w:rsidRDefault="009179EC" w:rsidP="000356B7">
      <w:pPr>
        <w:pStyle w:val="ListParagraph"/>
        <w:jc w:val="both"/>
      </w:pPr>
      <w:r>
        <w:t xml:space="preserve">pip install </w:t>
      </w:r>
      <w:proofErr w:type="gramStart"/>
      <w:r>
        <w:t>pyqt5</w:t>
      </w:r>
      <w:proofErr w:type="gramEnd"/>
    </w:p>
    <w:p w14:paraId="7BC767F2" w14:textId="704F7B41" w:rsidR="009179EC" w:rsidRDefault="009179EC" w:rsidP="000356B7">
      <w:pPr>
        <w:pStyle w:val="ListParagraph"/>
        <w:jc w:val="both"/>
      </w:pPr>
    </w:p>
    <w:p w14:paraId="343862DA" w14:textId="339D11C9" w:rsidR="005E6239" w:rsidRPr="00DA459F" w:rsidRDefault="005E6239" w:rsidP="000356B7">
      <w:pPr>
        <w:pStyle w:val="ListParagraph"/>
        <w:jc w:val="both"/>
        <w:rPr>
          <w:lang w:val="en-CA"/>
        </w:rPr>
      </w:pPr>
      <w:r>
        <w:t xml:space="preserve">Note that </w:t>
      </w:r>
      <w:r w:rsidR="00DA459F">
        <w:t xml:space="preserve">by running either of these commands, you may be prompted to update pip. </w:t>
      </w:r>
      <w:r w:rsidR="00DA459F">
        <w:rPr>
          <w:lang w:val="en-CA"/>
        </w:rPr>
        <w:t xml:space="preserve">This is normal behaviour. </w:t>
      </w:r>
    </w:p>
    <w:p w14:paraId="0FB54A00" w14:textId="37BF7308" w:rsidR="009179EC" w:rsidRPr="007413DA" w:rsidRDefault="009179EC" w:rsidP="000356B7">
      <w:pPr>
        <w:jc w:val="both"/>
      </w:pPr>
    </w:p>
    <w:p w14:paraId="7AE0F083" w14:textId="3849E3F5" w:rsidR="008773B0" w:rsidRDefault="009A02AA" w:rsidP="000356B7">
      <w:pPr>
        <w:pStyle w:val="Heading2"/>
        <w:jc w:val="both"/>
      </w:pPr>
      <w:bookmarkStart w:id="21" w:name="_Toc66269170"/>
      <w:r>
        <w:t>3</w:t>
      </w:r>
      <w:r w:rsidR="008773B0">
        <w:t xml:space="preserve">.3 Verifying </w:t>
      </w:r>
      <w:proofErr w:type="gramStart"/>
      <w:r w:rsidR="008773B0">
        <w:t>installation</w:t>
      </w:r>
      <w:bookmarkEnd w:id="21"/>
      <w:proofErr w:type="gramEnd"/>
      <w:r w:rsidR="008773B0">
        <w:t xml:space="preserve"> </w:t>
      </w:r>
    </w:p>
    <w:p w14:paraId="65BD9A0A" w14:textId="77777777" w:rsidR="00E07DCD" w:rsidRPr="00E07DCD" w:rsidRDefault="00E07DCD" w:rsidP="000356B7">
      <w:pPr>
        <w:jc w:val="both"/>
      </w:pPr>
    </w:p>
    <w:p w14:paraId="3158EF68" w14:textId="77777777" w:rsidR="00972C2F" w:rsidRDefault="00512A09" w:rsidP="00972C2F">
      <w:pPr>
        <w:jc w:val="both"/>
      </w:pPr>
      <w:r>
        <w:t>From the GUI folder, launch the Launcher.py</w:t>
      </w:r>
      <w:r w:rsidR="00A115FC">
        <w:t xml:space="preserve"> module. If any libraries are missing upon execution, </w:t>
      </w:r>
      <w:r w:rsidR="004F2826">
        <w:t xml:space="preserve">the user will be prompted to install these. </w:t>
      </w:r>
      <w:r w:rsidR="00972C2F">
        <w:t xml:space="preserve">Any bugs or suggestions to the GUI should be reported to Issues via GitHub or to </w:t>
      </w:r>
      <w:hyperlink r:id="rId25" w:history="1">
        <w:r w:rsidR="00972C2F" w:rsidRPr="00F47340">
          <w:rPr>
            <w:rStyle w:val="Hyperlink"/>
          </w:rPr>
          <w:t>cieritano@uwaterloo.ca</w:t>
        </w:r>
      </w:hyperlink>
      <w:r w:rsidR="00972C2F">
        <w:t xml:space="preserve"> </w:t>
      </w:r>
    </w:p>
    <w:p w14:paraId="07D5AFE3" w14:textId="2BC943E6" w:rsidR="004F2826" w:rsidRDefault="004F2826" w:rsidP="000356B7">
      <w:pPr>
        <w:jc w:val="both"/>
      </w:pPr>
    </w:p>
    <w:p w14:paraId="633E9D61" w14:textId="405B7466" w:rsidR="004F2826" w:rsidRDefault="004F2826" w:rsidP="000356B7">
      <w:pPr>
        <w:jc w:val="both"/>
      </w:pPr>
      <w:r>
        <w:t>Successful installation will be met with the following interface:</w:t>
      </w:r>
    </w:p>
    <w:p w14:paraId="0F8D4998" w14:textId="3A4D0C35" w:rsidR="00152F17" w:rsidRDefault="00152F17" w:rsidP="000356B7">
      <w:pPr>
        <w:jc w:val="both"/>
      </w:pPr>
    </w:p>
    <w:p w14:paraId="38DA2BBD" w14:textId="78905C34" w:rsidR="00152F17" w:rsidRDefault="00A62A5A" w:rsidP="000356B7">
      <w:pPr>
        <w:jc w:val="both"/>
      </w:pPr>
      <w:r>
        <w:rPr>
          <w:noProof/>
        </w:rPr>
        <w:drawing>
          <wp:inline distT="0" distB="0" distL="0" distR="0" wp14:anchorId="552E1D3E" wp14:editId="7B677A1C">
            <wp:extent cx="5943600" cy="4018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18915"/>
                    </a:xfrm>
                    <a:prstGeom prst="rect">
                      <a:avLst/>
                    </a:prstGeom>
                  </pic:spPr>
                </pic:pic>
              </a:graphicData>
            </a:graphic>
          </wp:inline>
        </w:drawing>
      </w:r>
    </w:p>
    <w:p w14:paraId="6D26ECBE" w14:textId="4203F5A0" w:rsidR="00152F17" w:rsidRDefault="00152F17" w:rsidP="000356B7">
      <w:pPr>
        <w:jc w:val="both"/>
      </w:pPr>
    </w:p>
    <w:p w14:paraId="3766BD5E" w14:textId="3C8A1F8A" w:rsidR="00AC769D" w:rsidRDefault="000D1462" w:rsidP="00972C2F">
      <w:pPr>
        <w:pStyle w:val="Heading2"/>
      </w:pPr>
      <w:bookmarkStart w:id="22" w:name="_Toc66269171"/>
      <w:r>
        <w:t>3.</w:t>
      </w:r>
      <w:r w:rsidR="009A02AA">
        <w:t>4</w:t>
      </w:r>
      <w:r w:rsidR="00AC769D">
        <w:t xml:space="preserve"> Using the MobCal-MPI Suite </w:t>
      </w:r>
      <w:r w:rsidR="00552350">
        <w:t>GUI</w:t>
      </w:r>
      <w:bookmarkEnd w:id="22"/>
    </w:p>
    <w:p w14:paraId="08AE34CF" w14:textId="1E2C93B0" w:rsidR="00552350" w:rsidRDefault="00552350" w:rsidP="000356B7">
      <w:pPr>
        <w:jc w:val="both"/>
      </w:pPr>
    </w:p>
    <w:p w14:paraId="2F2A7A0A" w14:textId="16C9A11C" w:rsidR="00552350" w:rsidRDefault="000D1462" w:rsidP="000356B7">
      <w:pPr>
        <w:pStyle w:val="Heading3"/>
        <w:jc w:val="both"/>
      </w:pPr>
      <w:bookmarkStart w:id="23" w:name="_3.4.1_mfj_Creator"/>
      <w:bookmarkStart w:id="24" w:name="_Toc66269172"/>
      <w:bookmarkEnd w:id="23"/>
      <w:r>
        <w:t>3.4.1</w:t>
      </w:r>
      <w:r w:rsidR="00552350">
        <w:t xml:space="preserve"> </w:t>
      </w:r>
      <w:proofErr w:type="spellStart"/>
      <w:r w:rsidR="00552350">
        <w:t>mfj</w:t>
      </w:r>
      <w:proofErr w:type="spellEnd"/>
      <w:r w:rsidR="00552350">
        <w:t xml:space="preserve"> Creator</w:t>
      </w:r>
      <w:bookmarkEnd w:id="24"/>
      <w:r w:rsidR="00552350">
        <w:t xml:space="preserve"> </w:t>
      </w:r>
    </w:p>
    <w:p w14:paraId="5982B97C" w14:textId="6FBD8CAF" w:rsidR="00552350" w:rsidRDefault="00552350" w:rsidP="000356B7">
      <w:pPr>
        <w:jc w:val="both"/>
      </w:pPr>
    </w:p>
    <w:p w14:paraId="55CAFC3A" w14:textId="4B354371" w:rsidR="00BE4536" w:rsidRDefault="00B74E84" w:rsidP="000356B7">
      <w:pPr>
        <w:jc w:val="both"/>
      </w:pPr>
      <w:r>
        <w:t>Th</w:t>
      </w:r>
      <w:r w:rsidR="00460195">
        <w:t xml:space="preserve">e </w:t>
      </w:r>
      <w:proofErr w:type="spellStart"/>
      <w:r w:rsidR="00460195">
        <w:t>mfj</w:t>
      </w:r>
      <w:proofErr w:type="spellEnd"/>
      <w:r w:rsidR="00460195">
        <w:t xml:space="preserve"> Creator</w:t>
      </w:r>
      <w:r>
        <w:t xml:space="preserve"> automates the generation of MobCal-MPI input files (.</w:t>
      </w:r>
      <w:proofErr w:type="spellStart"/>
      <w:r>
        <w:t>mfj</w:t>
      </w:r>
      <w:proofErr w:type="spellEnd"/>
      <w:r>
        <w:t xml:space="preserve">) from Gaussian output files. </w:t>
      </w:r>
      <w:r w:rsidR="003A272A">
        <w:t xml:space="preserve">For specifics on how to set up Gaussian calculations to produce output files </w:t>
      </w:r>
      <w:r w:rsidR="00506854">
        <w:t xml:space="preserve">compatible with MobCal-MPI, please </w:t>
      </w:r>
      <w:r w:rsidR="00913D19">
        <w:t xml:space="preserve">see </w:t>
      </w:r>
      <w:hyperlink w:anchor="_Appendix_A_–" w:history="1">
        <w:r w:rsidR="00913D19" w:rsidRPr="00913D19">
          <w:rPr>
            <w:rStyle w:val="Hyperlink"/>
          </w:rPr>
          <w:t>Appendix A</w:t>
        </w:r>
      </w:hyperlink>
      <w:r w:rsidR="00913D19">
        <w:t xml:space="preserve">. </w:t>
      </w:r>
    </w:p>
    <w:p w14:paraId="72B31A8A" w14:textId="5C0E1458" w:rsidR="00460195" w:rsidRDefault="00460195" w:rsidP="000356B7">
      <w:pPr>
        <w:jc w:val="both"/>
      </w:pPr>
    </w:p>
    <w:p w14:paraId="232F69AF" w14:textId="3A6CCA53" w:rsidR="00460195" w:rsidRDefault="00460195" w:rsidP="000356B7">
      <w:pPr>
        <w:jc w:val="both"/>
      </w:pPr>
      <w:r>
        <w:t xml:space="preserve">Within the </w:t>
      </w:r>
      <w:proofErr w:type="spellStart"/>
      <w:r>
        <w:t>mfj</w:t>
      </w:r>
      <w:proofErr w:type="spellEnd"/>
      <w:r>
        <w:t xml:space="preserve"> creator, all fields are editable. The functionality </w:t>
      </w:r>
      <w:r w:rsidR="002F2F38">
        <w:t xml:space="preserve">of each field </w:t>
      </w:r>
      <w:r>
        <w:t xml:space="preserve">is described below: </w:t>
      </w:r>
    </w:p>
    <w:p w14:paraId="53B687A1" w14:textId="1C7E1BCF" w:rsidR="00460195" w:rsidRDefault="00460195" w:rsidP="000356B7">
      <w:pPr>
        <w:jc w:val="both"/>
      </w:pPr>
    </w:p>
    <w:p w14:paraId="2CFD9264" w14:textId="7F1F4780" w:rsidR="00460195" w:rsidRDefault="005714DE" w:rsidP="000356B7">
      <w:pPr>
        <w:jc w:val="both"/>
      </w:pPr>
      <w:r>
        <w:rPr>
          <w:b/>
          <w:bCs/>
        </w:rPr>
        <w:t xml:space="preserve">Log Directory: </w:t>
      </w:r>
      <w:r>
        <w:t xml:space="preserve">The directory that contains </w:t>
      </w:r>
      <w:r w:rsidR="00F96DF3">
        <w:t xml:space="preserve">the .log files for </w:t>
      </w:r>
      <w:proofErr w:type="gramStart"/>
      <w:r w:rsidR="00F96DF3">
        <w:t>conversion</w:t>
      </w:r>
      <w:proofErr w:type="gramEnd"/>
      <w:r w:rsidR="00F96DF3">
        <w:t xml:space="preserve"> </w:t>
      </w:r>
    </w:p>
    <w:p w14:paraId="6E0707F0" w14:textId="1EC86791" w:rsidR="00F96DF3" w:rsidRDefault="00F96DF3" w:rsidP="000356B7">
      <w:pPr>
        <w:jc w:val="both"/>
      </w:pPr>
    </w:p>
    <w:p w14:paraId="0939F661" w14:textId="300B946D" w:rsidR="00F96DF3" w:rsidRDefault="00F96DF3" w:rsidP="000356B7">
      <w:pPr>
        <w:jc w:val="both"/>
      </w:pPr>
      <w:r>
        <w:rPr>
          <w:b/>
          <w:bCs/>
        </w:rPr>
        <w:t xml:space="preserve">Log List (.csv): </w:t>
      </w:r>
      <w:r>
        <w:t xml:space="preserve">An optional entry </w:t>
      </w:r>
      <w:r w:rsidR="001C1F64">
        <w:t>specifying the file directory and filename of a .csv containing a list of .log files</w:t>
      </w:r>
      <w:r w:rsidR="00264165">
        <w:t xml:space="preserve"> for conversion </w:t>
      </w:r>
      <w:proofErr w:type="gramStart"/>
      <w:r w:rsidR="00264165">
        <w:t>to .</w:t>
      </w:r>
      <w:proofErr w:type="spellStart"/>
      <w:r w:rsidR="00264165">
        <w:t>mfj</w:t>
      </w:r>
      <w:proofErr w:type="spellEnd"/>
      <w:proofErr w:type="gramEnd"/>
      <w:r w:rsidR="00264165">
        <w:t>. This is often useful for excluding</w:t>
      </w:r>
      <w:r w:rsidR="0083336E">
        <w:t xml:space="preserve"> CCS calculations of</w:t>
      </w:r>
      <w:r w:rsidR="00264165">
        <w:t xml:space="preserve"> high-energy isomers</w:t>
      </w:r>
      <w:r w:rsidR="0083336E">
        <w:t xml:space="preserve"> without having to move files around. A sample .csv is provided in the </w:t>
      </w:r>
      <w:proofErr w:type="spellStart"/>
      <w:r w:rsidR="005C1EBF">
        <w:t>GUI_Samples_</w:t>
      </w:r>
      <w:proofErr w:type="gramStart"/>
      <w:r w:rsidR="005C1EBF">
        <w:t>Files</w:t>
      </w:r>
      <w:proofErr w:type="spellEnd"/>
      <w:proofErr w:type="gramEnd"/>
      <w:r w:rsidR="0083336E">
        <w:t xml:space="preserve"> folder of the MobCal-MPI release</w:t>
      </w:r>
      <w:r w:rsidR="005C1EBF">
        <w:t xml:space="preserve"> (</w:t>
      </w:r>
      <w:r w:rsidR="005C1EBF" w:rsidRPr="005C1EBF">
        <w:rPr>
          <w:b/>
          <w:bCs/>
        </w:rPr>
        <w:t>Test_CSV_List.csv</w:t>
      </w:r>
      <w:r w:rsidR="005C1EBF">
        <w:t>).</w:t>
      </w:r>
    </w:p>
    <w:p w14:paraId="2EDF1B3A" w14:textId="77777777" w:rsidR="005C1EBF" w:rsidRDefault="005C1EBF" w:rsidP="000356B7">
      <w:pPr>
        <w:jc w:val="both"/>
      </w:pPr>
    </w:p>
    <w:p w14:paraId="42DB2C9F" w14:textId="77777777" w:rsidR="00F4596A" w:rsidRDefault="00E96DC8" w:rsidP="000356B7">
      <w:pPr>
        <w:jc w:val="both"/>
      </w:pPr>
      <w:r>
        <w:rPr>
          <w:b/>
          <w:bCs/>
        </w:rPr>
        <w:t xml:space="preserve">sdf2xyz2sdf Directory: </w:t>
      </w:r>
      <w:r w:rsidR="005F07C0" w:rsidRPr="005F07C0">
        <w:t xml:space="preserve">If sdf2xyz2sdf was not installed in the default directory, you can specify the location of it </w:t>
      </w:r>
      <w:r w:rsidR="005F07C0">
        <w:t>here</w:t>
      </w:r>
      <w:r w:rsidR="005F07C0" w:rsidRPr="005F07C0">
        <w:t>.</w:t>
      </w:r>
      <w:r w:rsidR="005F07C0">
        <w:t xml:space="preserve"> By default, </w:t>
      </w:r>
      <w:r w:rsidR="00F4596A">
        <w:t>the default install location is filled in. If the</w:t>
      </w:r>
      <w:r w:rsidR="00F4596A" w:rsidRPr="00F4596A">
        <w:t xml:space="preserve"> sdf2tinkerxyz.exe</w:t>
      </w:r>
      <w:r w:rsidR="00F4596A">
        <w:t xml:space="preserve"> is not found in this location, specify it here. </w:t>
      </w:r>
    </w:p>
    <w:p w14:paraId="31B6075A" w14:textId="55841B46" w:rsidR="0083336E" w:rsidRDefault="005F07C0" w:rsidP="000356B7">
      <w:pPr>
        <w:jc w:val="both"/>
      </w:pPr>
      <w:r w:rsidRPr="005F07C0">
        <w:lastRenderedPageBreak/>
        <w:t xml:space="preserve">If you installed in the default directory, </w:t>
      </w:r>
      <w:r w:rsidR="00F4596A">
        <w:t>nothing needs to be changed here.</w:t>
      </w:r>
    </w:p>
    <w:p w14:paraId="48172C90" w14:textId="3C156BE0" w:rsidR="00F4596A" w:rsidRDefault="00F4596A" w:rsidP="000356B7">
      <w:pPr>
        <w:jc w:val="both"/>
      </w:pPr>
    </w:p>
    <w:p w14:paraId="1CD848DE" w14:textId="44B12530" w:rsidR="00F4596A" w:rsidRDefault="005845D5" w:rsidP="000356B7">
      <w:pPr>
        <w:jc w:val="both"/>
      </w:pPr>
      <w:r>
        <w:rPr>
          <w:b/>
          <w:bCs/>
        </w:rPr>
        <w:t xml:space="preserve">Charge: </w:t>
      </w:r>
      <w:r>
        <w:t>This variable allows for specification of the partial charge assignment scheme. The options available are Calc, Equal, and None</w:t>
      </w:r>
    </w:p>
    <w:p w14:paraId="5AEC6978" w14:textId="3A9701ED" w:rsidR="005845D5" w:rsidRDefault="005845D5" w:rsidP="000356B7">
      <w:pPr>
        <w:jc w:val="both"/>
      </w:pPr>
    </w:p>
    <w:p w14:paraId="5E0A65AD" w14:textId="77777777" w:rsidR="0067568B" w:rsidRDefault="0067568B" w:rsidP="000356B7">
      <w:pPr>
        <w:jc w:val="both"/>
      </w:pPr>
      <w:r>
        <w:t xml:space="preserve">charge = 'calc' </w:t>
      </w:r>
    </w:p>
    <w:p w14:paraId="4FEB8BEB" w14:textId="2E4B9DCF" w:rsidR="0067568B" w:rsidRDefault="0067568B" w:rsidP="000356B7">
      <w:pPr>
        <w:jc w:val="both"/>
      </w:pPr>
      <w:r>
        <w:t>This specifies that a unique partial charge scheme is going to be read. Currently this MFJ creator can read charges predicted by electrostatic potential mapping methods (</w:t>
      </w:r>
      <w:proofErr w:type="spellStart"/>
      <w:r>
        <w:t>eg.</w:t>
      </w:r>
      <w:proofErr w:type="spellEnd"/>
      <w:r>
        <w:t xml:space="preserve"> </w:t>
      </w:r>
      <w:proofErr w:type="spellStart"/>
      <w:r>
        <w:t>ChelpG</w:t>
      </w:r>
      <w:proofErr w:type="spellEnd"/>
      <w:r>
        <w:t>, MK) by Gaussian directly from the .log output file. For more details on this, see Appendix A.</w:t>
      </w:r>
    </w:p>
    <w:p w14:paraId="1A6389B2" w14:textId="77777777" w:rsidR="0067568B" w:rsidRDefault="0067568B" w:rsidP="000356B7">
      <w:pPr>
        <w:jc w:val="both"/>
      </w:pPr>
      <w:r>
        <w:t xml:space="preserve">Recommended. </w:t>
      </w:r>
    </w:p>
    <w:p w14:paraId="77A6248A" w14:textId="77777777" w:rsidR="0067568B" w:rsidRDefault="0067568B" w:rsidP="000356B7">
      <w:pPr>
        <w:jc w:val="both"/>
      </w:pPr>
    </w:p>
    <w:p w14:paraId="3BD4A8C9" w14:textId="77777777" w:rsidR="0067568B" w:rsidRDefault="0067568B" w:rsidP="000356B7">
      <w:pPr>
        <w:jc w:val="both"/>
      </w:pPr>
      <w:r>
        <w:t xml:space="preserve">charge = 'equal' </w:t>
      </w:r>
    </w:p>
    <w:p w14:paraId="685BFB29" w14:textId="77777777" w:rsidR="0067568B" w:rsidRDefault="0067568B" w:rsidP="000356B7">
      <w:pPr>
        <w:jc w:val="both"/>
      </w:pPr>
      <w:r>
        <w:t>This specifies that equivalent partial charges are assigned to each atom by the relationship partial charge = (ion charge) / (number of atoms)</w:t>
      </w:r>
    </w:p>
    <w:p w14:paraId="2BBF536D" w14:textId="77777777" w:rsidR="0067568B" w:rsidRDefault="0067568B" w:rsidP="000356B7">
      <w:pPr>
        <w:jc w:val="both"/>
      </w:pPr>
      <w:r>
        <w:t xml:space="preserve">Not recommended. </w:t>
      </w:r>
    </w:p>
    <w:p w14:paraId="65F035EA" w14:textId="77777777" w:rsidR="0067568B" w:rsidRDefault="0067568B" w:rsidP="000356B7">
      <w:pPr>
        <w:jc w:val="both"/>
      </w:pPr>
    </w:p>
    <w:p w14:paraId="4B51507D" w14:textId="77777777" w:rsidR="0067568B" w:rsidRDefault="0067568B" w:rsidP="000356B7">
      <w:pPr>
        <w:jc w:val="both"/>
      </w:pPr>
      <w:r>
        <w:t xml:space="preserve">charge = 'none' </w:t>
      </w:r>
    </w:p>
    <w:p w14:paraId="09899644" w14:textId="77777777" w:rsidR="0067568B" w:rsidRDefault="0067568B" w:rsidP="000356B7">
      <w:pPr>
        <w:jc w:val="both"/>
      </w:pPr>
      <w:r>
        <w:t xml:space="preserve">Assign all atomic charges as zero, which effectively removes the ion-induced dipole and ion-quadrupole terms for the ion-gas potential. </w:t>
      </w:r>
    </w:p>
    <w:p w14:paraId="4E31B910" w14:textId="7E5673C9" w:rsidR="005845D5" w:rsidRPr="005845D5" w:rsidRDefault="0067568B" w:rsidP="000356B7">
      <w:pPr>
        <w:jc w:val="both"/>
      </w:pPr>
      <w:r>
        <w:t>Not recommended.</w:t>
      </w:r>
    </w:p>
    <w:p w14:paraId="406FCD82" w14:textId="41A5CBAE" w:rsidR="00506854" w:rsidRDefault="00506854" w:rsidP="000356B7">
      <w:pPr>
        <w:jc w:val="both"/>
      </w:pPr>
    </w:p>
    <w:p w14:paraId="36F81B73" w14:textId="7EE7F432" w:rsidR="00703D31" w:rsidRDefault="00703D31" w:rsidP="000356B7">
      <w:pPr>
        <w:jc w:val="both"/>
      </w:pPr>
      <w:r>
        <w:t xml:space="preserve">Note that regardless of charge schemes, this script was built in such a way such that Gaussian .log files must contain partial charges calculated by </w:t>
      </w:r>
      <w:proofErr w:type="gramStart"/>
      <w:r>
        <w:t>either the</w:t>
      </w:r>
      <w:proofErr w:type="gramEnd"/>
      <w:r>
        <w:t xml:space="preserve"> MK/</w:t>
      </w:r>
      <w:proofErr w:type="spellStart"/>
      <w:r>
        <w:t>ChelpG</w:t>
      </w:r>
      <w:proofErr w:type="spellEnd"/>
      <w:r>
        <w:t xml:space="preserve"> schemes. </w:t>
      </w:r>
      <w:r w:rsidR="007E438E">
        <w:t xml:space="preserve">If a .log file is missing partial charges, </w:t>
      </w:r>
      <w:proofErr w:type="gramStart"/>
      <w:r w:rsidR="007E438E">
        <w:t>the .</w:t>
      </w:r>
      <w:proofErr w:type="spellStart"/>
      <w:r w:rsidR="007E438E">
        <w:t>mfj</w:t>
      </w:r>
      <w:proofErr w:type="spellEnd"/>
      <w:proofErr w:type="gramEnd"/>
      <w:r w:rsidR="007E438E">
        <w:t xml:space="preserve"> creator will not execute regardless of the charge scheme selected. </w:t>
      </w:r>
    </w:p>
    <w:p w14:paraId="54F251DA" w14:textId="5CB6920C" w:rsidR="00506854" w:rsidRDefault="00506854" w:rsidP="000356B7">
      <w:pPr>
        <w:jc w:val="both"/>
      </w:pPr>
    </w:p>
    <w:p w14:paraId="630DBAFC" w14:textId="75644477" w:rsidR="007E438E" w:rsidRDefault="009C4BD2" w:rsidP="000356B7">
      <w:pPr>
        <w:jc w:val="both"/>
        <w:rPr>
          <w:lang w:val="en-CA"/>
        </w:rPr>
      </w:pPr>
      <w:r>
        <w:rPr>
          <w:b/>
          <w:bCs/>
        </w:rPr>
        <w:t xml:space="preserve">Buffer Gas: </w:t>
      </w:r>
      <w:r>
        <w:rPr>
          <w:lang w:val="en-CA"/>
        </w:rPr>
        <w:t>MobCal-MPI is parameterized for CCS calculations in N</w:t>
      </w:r>
      <w:r>
        <w:rPr>
          <w:vertAlign w:val="subscript"/>
          <w:lang w:val="en-CA"/>
        </w:rPr>
        <w:t>2</w:t>
      </w:r>
      <w:r>
        <w:rPr>
          <w:lang w:val="en-CA"/>
        </w:rPr>
        <w:t xml:space="preserve"> and He. </w:t>
      </w:r>
      <w:r w:rsidR="008F29A4">
        <w:rPr>
          <w:lang w:val="en-CA"/>
        </w:rPr>
        <w:t xml:space="preserve">Here, you can specify the buffer gas you intend to perform CCS calculations in. </w:t>
      </w:r>
    </w:p>
    <w:p w14:paraId="22A37A60" w14:textId="06DC7DF2" w:rsidR="008F29A4" w:rsidRDefault="008F29A4" w:rsidP="000356B7">
      <w:pPr>
        <w:jc w:val="both"/>
        <w:rPr>
          <w:lang w:val="en-CA"/>
        </w:rPr>
      </w:pPr>
    </w:p>
    <w:p w14:paraId="53D8724C" w14:textId="679C012A" w:rsidR="008F29A4" w:rsidRDefault="005F716B" w:rsidP="000356B7">
      <w:pPr>
        <w:jc w:val="both"/>
        <w:rPr>
          <w:lang w:val="en-CA"/>
        </w:rPr>
      </w:pPr>
      <w:r>
        <w:rPr>
          <w:b/>
          <w:bCs/>
          <w:lang w:val="en-CA"/>
        </w:rPr>
        <w:t xml:space="preserve">Temperature List: </w:t>
      </w:r>
      <w:r>
        <w:rPr>
          <w:lang w:val="en-CA"/>
        </w:rPr>
        <w:t>As o</w:t>
      </w:r>
      <w:r w:rsidR="00725617">
        <w:rPr>
          <w:lang w:val="en-CA"/>
        </w:rPr>
        <w:t>f</w:t>
      </w:r>
      <w:r>
        <w:rPr>
          <w:lang w:val="en-CA"/>
        </w:rPr>
        <w:t xml:space="preserve"> MobCal-MPI v1.2, you can now specify custom temperatures in the input line. You can also specify multiple temperatures</w:t>
      </w:r>
      <w:r w:rsidR="009A633A">
        <w:rPr>
          <w:lang w:val="en-CA"/>
        </w:rPr>
        <w:t xml:space="preserve"> to perform multiple temperature-dependent CCS calculations in one MobCal-MPI calculation. </w:t>
      </w:r>
      <w:r w:rsidR="00013AE8">
        <w:rPr>
          <w:lang w:val="en-CA"/>
        </w:rPr>
        <w:t>Input for this line is a comma separated list. Up to 20 temperatures can be specified</w:t>
      </w:r>
      <w:r w:rsidR="006D3216">
        <w:rPr>
          <w:lang w:val="en-CA"/>
        </w:rPr>
        <w:t>, and they must be integers, e.g.,</w:t>
      </w:r>
    </w:p>
    <w:p w14:paraId="1213F904" w14:textId="2344B664" w:rsidR="00013AE8" w:rsidRDefault="00013AE8" w:rsidP="000356B7">
      <w:pPr>
        <w:jc w:val="both"/>
        <w:rPr>
          <w:lang w:val="en-CA"/>
        </w:rPr>
      </w:pPr>
    </w:p>
    <w:p w14:paraId="1E15ED0D" w14:textId="6A20B722" w:rsidR="00013AE8" w:rsidRDefault="00013AE8" w:rsidP="000356B7">
      <w:pPr>
        <w:jc w:val="both"/>
        <w:rPr>
          <w:lang w:val="en-CA"/>
        </w:rPr>
      </w:pPr>
      <w:r>
        <w:rPr>
          <w:lang w:val="en-CA"/>
        </w:rPr>
        <w:t>298</w:t>
      </w:r>
    </w:p>
    <w:p w14:paraId="6D5754AC" w14:textId="4A583482" w:rsidR="00013AE8" w:rsidRDefault="00013AE8" w:rsidP="000356B7">
      <w:pPr>
        <w:jc w:val="both"/>
        <w:rPr>
          <w:lang w:val="en-CA"/>
        </w:rPr>
      </w:pPr>
    </w:p>
    <w:p w14:paraId="34E339F7" w14:textId="344285BE" w:rsidR="00013AE8" w:rsidRDefault="00013AE8" w:rsidP="000356B7">
      <w:pPr>
        <w:jc w:val="both"/>
        <w:rPr>
          <w:lang w:val="en-CA"/>
        </w:rPr>
      </w:pPr>
      <w:r>
        <w:rPr>
          <w:lang w:val="en-CA"/>
        </w:rPr>
        <w:t>298,400,500,800</w:t>
      </w:r>
    </w:p>
    <w:p w14:paraId="0902F533" w14:textId="51854B97" w:rsidR="00350619" w:rsidRDefault="00350619" w:rsidP="000356B7">
      <w:pPr>
        <w:jc w:val="both"/>
        <w:rPr>
          <w:lang w:val="en-CA"/>
        </w:rPr>
      </w:pPr>
    </w:p>
    <w:p w14:paraId="59BE2A86" w14:textId="3F2D1A22" w:rsidR="008B66E5" w:rsidRPr="008B66E5" w:rsidRDefault="00350619" w:rsidP="000356B7">
      <w:pPr>
        <w:jc w:val="both"/>
        <w:rPr>
          <w:lang w:val="en-CA"/>
        </w:rPr>
      </w:pPr>
      <w:r>
        <w:rPr>
          <w:b/>
          <w:bCs/>
          <w:lang w:val="en-CA"/>
        </w:rPr>
        <w:t xml:space="preserve">Number of cores: </w:t>
      </w:r>
      <w:r w:rsidR="00CF3366">
        <w:rPr>
          <w:lang w:val="en-CA"/>
        </w:rPr>
        <w:t xml:space="preserve">The number of cores </w:t>
      </w:r>
      <w:r w:rsidR="00B06DDD">
        <w:rPr>
          <w:lang w:val="en-CA"/>
        </w:rPr>
        <w:t xml:space="preserve">intended to use for MobCal-MPI calculations. </w:t>
      </w:r>
      <w:r w:rsidR="008B66E5">
        <w:rPr>
          <w:lang w:val="en-CA"/>
        </w:rPr>
        <w:t xml:space="preserve">This variable is not used to </w:t>
      </w:r>
      <w:proofErr w:type="gramStart"/>
      <w:r w:rsidR="002F5D1B">
        <w:rPr>
          <w:lang w:val="en-CA"/>
        </w:rPr>
        <w:t>generate .</w:t>
      </w:r>
      <w:proofErr w:type="spellStart"/>
      <w:r w:rsidR="002F5D1B">
        <w:rPr>
          <w:lang w:val="en-CA"/>
        </w:rPr>
        <w:t>mfj</w:t>
      </w:r>
      <w:proofErr w:type="spellEnd"/>
      <w:proofErr w:type="gramEnd"/>
      <w:r w:rsidR="008B66E5">
        <w:rPr>
          <w:lang w:val="en-CA"/>
        </w:rPr>
        <w:t xml:space="preserve"> input files, but is used for error handing</w:t>
      </w:r>
      <w:r w:rsidR="00CD1386">
        <w:rPr>
          <w:lang w:val="en-CA"/>
        </w:rPr>
        <w:t xml:space="preserve"> to ensure the number of calculations is equality partitioned over the number of cores. The number of c</w:t>
      </w:r>
      <w:r w:rsidR="00FC1A96">
        <w:rPr>
          <w:lang w:val="en-CA"/>
        </w:rPr>
        <w:t>ores requested must be divisible by the</w:t>
      </w:r>
      <w:r w:rsidR="00442DF7">
        <w:rPr>
          <w:lang w:val="en-CA"/>
        </w:rPr>
        <w:t xml:space="preserve"> number of trajectories, as determined </w:t>
      </w:r>
      <w:r w:rsidR="00144AEE">
        <w:rPr>
          <w:lang w:val="en-CA"/>
        </w:rPr>
        <w:t xml:space="preserve">by the product of the number of cycles, </w:t>
      </w:r>
      <w:r w:rsidR="002F5D1B">
        <w:rPr>
          <w:lang w:val="en-CA"/>
        </w:rPr>
        <w:t xml:space="preserve">velocity point integrations, and impact parameter integrations. </w:t>
      </w:r>
      <w:r w:rsidR="008B66E5">
        <w:rPr>
          <w:lang w:val="en-CA"/>
        </w:rPr>
        <w:t xml:space="preserve">The recommended value is </w:t>
      </w:r>
      <w:r w:rsidR="008B66E5">
        <w:rPr>
          <w:b/>
          <w:bCs/>
          <w:lang w:val="en-CA"/>
        </w:rPr>
        <w:t>8</w:t>
      </w:r>
      <w:r w:rsidR="008B66E5">
        <w:rPr>
          <w:lang w:val="en-CA"/>
        </w:rPr>
        <w:t xml:space="preserve"> or </w:t>
      </w:r>
      <w:r w:rsidR="008B66E5">
        <w:rPr>
          <w:b/>
          <w:bCs/>
          <w:lang w:val="en-CA"/>
        </w:rPr>
        <w:t>16</w:t>
      </w:r>
      <w:r w:rsidR="00FC1A96">
        <w:rPr>
          <w:lang w:val="en-CA"/>
        </w:rPr>
        <w:t xml:space="preserve">, both of which are compatible with the recommended values below. </w:t>
      </w:r>
    </w:p>
    <w:p w14:paraId="089DBFA6" w14:textId="26CDF116" w:rsidR="00013AE8" w:rsidRDefault="00013AE8" w:rsidP="000356B7">
      <w:pPr>
        <w:jc w:val="both"/>
        <w:rPr>
          <w:lang w:val="en-CA"/>
        </w:rPr>
      </w:pPr>
    </w:p>
    <w:p w14:paraId="45A6B228" w14:textId="00E98352" w:rsidR="00013AE8" w:rsidRDefault="00013AE8" w:rsidP="000356B7">
      <w:pPr>
        <w:jc w:val="both"/>
        <w:rPr>
          <w:lang w:val="en-CA"/>
        </w:rPr>
      </w:pPr>
      <w:r>
        <w:rPr>
          <w:b/>
          <w:bCs/>
          <w:lang w:val="en-CA"/>
        </w:rPr>
        <w:t xml:space="preserve">Cycles: </w:t>
      </w:r>
      <w:r w:rsidR="003F4BFF">
        <w:rPr>
          <w:lang w:val="en-CA"/>
        </w:rPr>
        <w:t xml:space="preserve">The number of cycles of CCS calculations MobCal-MPI will perform. The calculated CCS will be the average CCS calculated across each cycle. The recommended </w:t>
      </w:r>
      <w:r w:rsidR="002E6EEA">
        <w:rPr>
          <w:lang w:val="en-CA"/>
        </w:rPr>
        <w:t xml:space="preserve">number of cycles is </w:t>
      </w:r>
      <w:r w:rsidR="002E6EEA">
        <w:rPr>
          <w:b/>
          <w:bCs/>
          <w:lang w:val="en-CA"/>
        </w:rPr>
        <w:t>10</w:t>
      </w:r>
      <w:r w:rsidR="002E6EEA">
        <w:rPr>
          <w:lang w:val="en-CA"/>
        </w:rPr>
        <w:t xml:space="preserve">. </w:t>
      </w:r>
    </w:p>
    <w:p w14:paraId="195F9CE2" w14:textId="04125782" w:rsidR="002E6EEA" w:rsidRDefault="002E6EEA" w:rsidP="000356B7">
      <w:pPr>
        <w:jc w:val="both"/>
        <w:rPr>
          <w:lang w:val="en-CA"/>
        </w:rPr>
      </w:pPr>
    </w:p>
    <w:p w14:paraId="4EB3C731" w14:textId="19D9FDE9" w:rsidR="002E6EEA" w:rsidRDefault="002E6EEA" w:rsidP="000356B7">
      <w:pPr>
        <w:jc w:val="both"/>
        <w:rPr>
          <w:lang w:val="en-CA"/>
        </w:rPr>
      </w:pPr>
      <w:r>
        <w:rPr>
          <w:b/>
          <w:bCs/>
          <w:lang w:val="en-CA"/>
        </w:rPr>
        <w:lastRenderedPageBreak/>
        <w:t xml:space="preserve">Velocity Integration: </w:t>
      </w:r>
      <w:r w:rsidR="006D4D7E">
        <w:rPr>
          <w:lang w:val="en-CA"/>
        </w:rPr>
        <w:t>The number of relative velocities</w:t>
      </w:r>
      <w:r w:rsidR="00423ADB">
        <w:rPr>
          <w:lang w:val="en-CA"/>
        </w:rPr>
        <w:t xml:space="preserve"> (</w:t>
      </w:r>
      <w:proofErr w:type="spellStart"/>
      <w:r w:rsidR="00423ADB">
        <w:rPr>
          <w:i/>
          <w:iCs/>
          <w:lang w:val="en-CA"/>
        </w:rPr>
        <w:t>inp</w:t>
      </w:r>
      <w:proofErr w:type="spellEnd"/>
      <w:r w:rsidR="00423ADB">
        <w:rPr>
          <w:lang w:val="en-CA"/>
        </w:rPr>
        <w:t>)</w:t>
      </w:r>
      <w:r w:rsidR="006D4D7E">
        <w:rPr>
          <w:lang w:val="en-CA"/>
        </w:rPr>
        <w:t xml:space="preserve"> of</w:t>
      </w:r>
      <w:r w:rsidR="00384A25">
        <w:rPr>
          <w:lang w:val="en-CA"/>
        </w:rPr>
        <w:t xml:space="preserve"> the buffer gas to sample </w:t>
      </w:r>
      <w:r w:rsidR="00423ADB">
        <w:rPr>
          <w:lang w:val="en-CA"/>
        </w:rPr>
        <w:t xml:space="preserve">during one cycle of CCS calculation. The recommended value is </w:t>
      </w:r>
      <w:r w:rsidR="00423ADB">
        <w:rPr>
          <w:b/>
          <w:bCs/>
          <w:lang w:val="en-CA"/>
        </w:rPr>
        <w:t xml:space="preserve">48. </w:t>
      </w:r>
    </w:p>
    <w:p w14:paraId="5AEE8D30" w14:textId="541877A1" w:rsidR="00423ADB" w:rsidRDefault="00423ADB" w:rsidP="000356B7">
      <w:pPr>
        <w:jc w:val="both"/>
        <w:rPr>
          <w:lang w:val="en-CA"/>
        </w:rPr>
      </w:pPr>
    </w:p>
    <w:p w14:paraId="49B23CE5" w14:textId="40504E50" w:rsidR="00423ADB" w:rsidRDefault="00A9503A" w:rsidP="000356B7">
      <w:pPr>
        <w:jc w:val="both"/>
        <w:rPr>
          <w:b/>
          <w:bCs/>
          <w:lang w:val="en-CA"/>
        </w:rPr>
      </w:pPr>
      <w:r>
        <w:rPr>
          <w:b/>
          <w:bCs/>
          <w:lang w:val="en-CA"/>
        </w:rPr>
        <w:t>Impact Integration:</w:t>
      </w:r>
      <w:r w:rsidR="003D7ECD">
        <w:rPr>
          <w:b/>
          <w:bCs/>
          <w:lang w:val="en-CA"/>
        </w:rPr>
        <w:t xml:space="preserve"> </w:t>
      </w:r>
      <w:r w:rsidR="003D7ECD">
        <w:rPr>
          <w:lang w:val="en-CA"/>
        </w:rPr>
        <w:t xml:space="preserve">The number of collisions to sample for each relative velocity </w:t>
      </w:r>
      <w:r w:rsidR="003B12EA">
        <w:rPr>
          <w:lang w:val="en-CA"/>
        </w:rPr>
        <w:t xml:space="preserve">of the colliding neutral gas. For moderate sized molecules (&lt; </w:t>
      </w:r>
      <w:r w:rsidR="003B5E7C">
        <w:rPr>
          <w:lang w:val="en-CA"/>
        </w:rPr>
        <w:t xml:space="preserve">400 Da), </w:t>
      </w:r>
      <w:r w:rsidR="003B5E7C">
        <w:rPr>
          <w:b/>
          <w:bCs/>
          <w:lang w:val="en-CA"/>
        </w:rPr>
        <w:t xml:space="preserve">512 </w:t>
      </w:r>
      <w:r w:rsidR="003B5E7C">
        <w:rPr>
          <w:lang w:val="en-CA"/>
        </w:rPr>
        <w:t xml:space="preserve">points are recommended. </w:t>
      </w:r>
      <w:r w:rsidR="00C576B4">
        <w:rPr>
          <w:lang w:val="en-CA"/>
        </w:rPr>
        <w:t>For larger molecules, we recommend a greater number of collisions to sample to minimize the variance of the CCS (</w:t>
      </w:r>
      <w:r w:rsidR="00C576B4">
        <w:rPr>
          <w:b/>
          <w:bCs/>
          <w:lang w:val="en-CA"/>
        </w:rPr>
        <w:t xml:space="preserve">752 or 1008 </w:t>
      </w:r>
      <w:r w:rsidR="00C576B4">
        <w:rPr>
          <w:lang w:val="en-CA"/>
        </w:rPr>
        <w:t xml:space="preserve">points). </w:t>
      </w:r>
      <w:r w:rsidR="003B5E7C" w:rsidRPr="003B5E7C">
        <w:rPr>
          <w:b/>
          <w:bCs/>
          <w:lang w:val="en-CA"/>
        </w:rPr>
        <w:t xml:space="preserve"> </w:t>
      </w:r>
    </w:p>
    <w:p w14:paraId="6065CD33" w14:textId="77777777" w:rsidR="00DD4311" w:rsidRDefault="00DD4311" w:rsidP="000356B7">
      <w:pPr>
        <w:jc w:val="both"/>
      </w:pPr>
    </w:p>
    <w:p w14:paraId="035CFD5A" w14:textId="2F1773AD" w:rsidR="00FC1A96" w:rsidRDefault="008972AF" w:rsidP="000356B7">
      <w:pPr>
        <w:jc w:val="both"/>
      </w:pPr>
      <w:r>
        <w:t xml:space="preserve">Once all parameters </w:t>
      </w:r>
      <w:r w:rsidR="00A825AE">
        <w:t xml:space="preserve">are filled in, click the ‘Submit’ </w:t>
      </w:r>
      <w:r w:rsidR="00A03CB9">
        <w:t xml:space="preserve">button to start the conversion process. </w:t>
      </w:r>
      <w:r w:rsidR="00D3460A">
        <w:t xml:space="preserve">The code will run sequentially </w:t>
      </w:r>
      <w:r w:rsidR="00152AA8">
        <w:t xml:space="preserve">through </w:t>
      </w:r>
      <w:r w:rsidR="00D92E6D">
        <w:t xml:space="preserve">files in alphabetical order to convert Gaussian .log files to MobCal-MPI input files. Upon successful completion, </w:t>
      </w:r>
      <w:r w:rsidR="00921E77">
        <w:t>contain a header that looks like:</w:t>
      </w:r>
    </w:p>
    <w:p w14:paraId="4DC1589D" w14:textId="6A9F9BF5" w:rsidR="00D92E6D" w:rsidRDefault="00D92E6D" w:rsidP="000356B7">
      <w:pPr>
        <w:jc w:val="both"/>
      </w:pPr>
    </w:p>
    <w:p w14:paraId="082EF8F3" w14:textId="31BD79C2" w:rsidR="00921E77" w:rsidRDefault="00921E77" w:rsidP="00ED2BB6">
      <w:pPr>
        <w:jc w:val="center"/>
      </w:pPr>
      <w:r>
        <w:rPr>
          <w:noProof/>
        </w:rPr>
        <w:drawing>
          <wp:inline distT="0" distB="0" distL="0" distR="0" wp14:anchorId="0A1EC49D" wp14:editId="5854A0EE">
            <wp:extent cx="5943600" cy="1017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17270"/>
                    </a:xfrm>
                    <a:prstGeom prst="rect">
                      <a:avLst/>
                    </a:prstGeom>
                  </pic:spPr>
                </pic:pic>
              </a:graphicData>
            </a:graphic>
          </wp:inline>
        </w:drawing>
      </w:r>
    </w:p>
    <w:p w14:paraId="4CF4CD02" w14:textId="6143DBD4" w:rsidR="00921E77" w:rsidRDefault="00921E77" w:rsidP="000356B7">
      <w:pPr>
        <w:jc w:val="both"/>
      </w:pPr>
    </w:p>
    <w:p w14:paraId="035543BD" w14:textId="192A836F" w:rsidR="00921E77" w:rsidRDefault="00921E77" w:rsidP="000356B7">
      <w:pPr>
        <w:jc w:val="both"/>
      </w:pPr>
      <w:r>
        <w:t>And a body that contains all the pertinent molecular information:</w:t>
      </w:r>
    </w:p>
    <w:p w14:paraId="05590E58" w14:textId="4B2FB5DB" w:rsidR="00AD5AA5" w:rsidRDefault="00AD5AA5" w:rsidP="00ED2BB6">
      <w:pPr>
        <w:jc w:val="center"/>
      </w:pPr>
      <w:r>
        <w:rPr>
          <w:noProof/>
        </w:rPr>
        <w:drawing>
          <wp:inline distT="0" distB="0" distL="0" distR="0" wp14:anchorId="4FFC81E3" wp14:editId="329C525F">
            <wp:extent cx="594360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20440"/>
                    </a:xfrm>
                    <a:prstGeom prst="rect">
                      <a:avLst/>
                    </a:prstGeom>
                  </pic:spPr>
                </pic:pic>
              </a:graphicData>
            </a:graphic>
          </wp:inline>
        </w:drawing>
      </w:r>
    </w:p>
    <w:p w14:paraId="006081AE" w14:textId="66FFF3F7" w:rsidR="00AD5AA5" w:rsidRDefault="00AD5AA5" w:rsidP="000356B7">
      <w:pPr>
        <w:jc w:val="both"/>
      </w:pPr>
    </w:p>
    <w:p w14:paraId="043F417F" w14:textId="08840829" w:rsidR="00AD5AA5" w:rsidRDefault="00AD5AA5" w:rsidP="000356B7">
      <w:pPr>
        <w:jc w:val="both"/>
      </w:pPr>
    </w:p>
    <w:p w14:paraId="4C39CEAE" w14:textId="60BAD57B" w:rsidR="00ED2BB6" w:rsidRDefault="00ED2BB6" w:rsidP="000356B7">
      <w:pPr>
        <w:jc w:val="both"/>
      </w:pPr>
    </w:p>
    <w:p w14:paraId="7A9CBB94" w14:textId="77777777" w:rsidR="00ED2BB6" w:rsidRDefault="00ED2BB6" w:rsidP="000356B7">
      <w:pPr>
        <w:jc w:val="both"/>
      </w:pPr>
    </w:p>
    <w:p w14:paraId="21BF54A9" w14:textId="258248E3" w:rsidR="00B01D28" w:rsidRDefault="000D1462" w:rsidP="000356B7">
      <w:pPr>
        <w:pStyle w:val="Heading3"/>
        <w:jc w:val="both"/>
      </w:pPr>
      <w:bookmarkStart w:id="25" w:name="_Toc66269173"/>
      <w:r>
        <w:lastRenderedPageBreak/>
        <w:t>3.4.2</w:t>
      </w:r>
      <w:r w:rsidR="00F53E01">
        <w:t xml:space="preserve"> Energy </w:t>
      </w:r>
      <w:proofErr w:type="spellStart"/>
      <w:r w:rsidR="00F53E01">
        <w:t>Weighter</w:t>
      </w:r>
      <w:bookmarkEnd w:id="25"/>
      <w:proofErr w:type="spellEnd"/>
      <w:r w:rsidR="00F53E01">
        <w:t xml:space="preserve"> </w:t>
      </w:r>
    </w:p>
    <w:p w14:paraId="0BF13F91" w14:textId="3E3E345A" w:rsidR="0070240F" w:rsidRDefault="00E11ED7" w:rsidP="000356B7">
      <w:pPr>
        <w:jc w:val="both"/>
        <w:rPr>
          <w:lang w:val="en-CA"/>
        </w:rPr>
      </w:pPr>
      <w:r>
        <w:rPr>
          <w:lang w:val="en-CA"/>
        </w:rPr>
        <w:t xml:space="preserve">The energy </w:t>
      </w:r>
      <w:proofErr w:type="spellStart"/>
      <w:r>
        <w:rPr>
          <w:lang w:val="en-CA"/>
        </w:rPr>
        <w:t>weighte</w:t>
      </w:r>
      <w:r w:rsidR="00686DFF">
        <w:rPr>
          <w:lang w:val="en-CA"/>
        </w:rPr>
        <w:t>r</w:t>
      </w:r>
      <w:proofErr w:type="spellEnd"/>
      <w:r>
        <w:rPr>
          <w:lang w:val="en-CA"/>
        </w:rPr>
        <w:t xml:space="preserve"> calculates the relative population of an isomer present in an ensemble for the purpose of</w:t>
      </w:r>
      <w:r w:rsidR="00E72941">
        <w:rPr>
          <w:lang w:val="en-CA"/>
        </w:rPr>
        <w:t xml:space="preserve"> calculating </w:t>
      </w:r>
      <w:r w:rsidR="006C332D">
        <w:rPr>
          <w:lang w:val="en-CA"/>
        </w:rPr>
        <w:t>Boltzmann</w:t>
      </w:r>
      <w:r w:rsidR="00E72941">
        <w:rPr>
          <w:lang w:val="en-CA"/>
        </w:rPr>
        <w:t>-weighted CCSs</w:t>
      </w:r>
      <w:r w:rsidR="0070240F">
        <w:rPr>
          <w:lang w:val="en-CA"/>
        </w:rPr>
        <w:t xml:space="preserve"> through the following interface. </w:t>
      </w:r>
    </w:p>
    <w:p w14:paraId="5F6BD039" w14:textId="46200541" w:rsidR="0070240F" w:rsidRDefault="0070240F" w:rsidP="000356B7">
      <w:pPr>
        <w:jc w:val="both"/>
        <w:rPr>
          <w:lang w:val="en-CA"/>
        </w:rPr>
      </w:pPr>
    </w:p>
    <w:p w14:paraId="557673B1" w14:textId="31704D32" w:rsidR="0070240F" w:rsidRDefault="00686DFF" w:rsidP="00ED2BB6">
      <w:pPr>
        <w:jc w:val="center"/>
        <w:rPr>
          <w:lang w:val="en-CA"/>
        </w:rPr>
      </w:pPr>
      <w:r>
        <w:rPr>
          <w:noProof/>
        </w:rPr>
        <w:drawing>
          <wp:inline distT="0" distB="0" distL="0" distR="0" wp14:anchorId="3C4E3D86" wp14:editId="38D15E97">
            <wp:extent cx="5095314"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9638" cy="3490456"/>
                    </a:xfrm>
                    <a:prstGeom prst="rect">
                      <a:avLst/>
                    </a:prstGeom>
                  </pic:spPr>
                </pic:pic>
              </a:graphicData>
            </a:graphic>
          </wp:inline>
        </w:drawing>
      </w:r>
    </w:p>
    <w:p w14:paraId="11DB7F90" w14:textId="77777777" w:rsidR="0070240F" w:rsidRDefault="0070240F" w:rsidP="000356B7">
      <w:pPr>
        <w:jc w:val="both"/>
        <w:rPr>
          <w:lang w:val="en-CA"/>
        </w:rPr>
      </w:pPr>
    </w:p>
    <w:p w14:paraId="22756999" w14:textId="41205EA4" w:rsidR="00B01D28" w:rsidRDefault="00E72941" w:rsidP="000356B7">
      <w:pPr>
        <w:jc w:val="both"/>
        <w:rPr>
          <w:lang w:val="en-CA"/>
        </w:rPr>
      </w:pPr>
      <w:r>
        <w:rPr>
          <w:lang w:val="en-CA"/>
        </w:rPr>
        <w:t xml:space="preserve">Relative populations </w:t>
      </w:r>
      <w:r w:rsidR="00CD3B70" w:rsidRPr="00CD3B70">
        <w:rPr>
          <w:lang w:val="en-CA"/>
        </w:rPr>
        <w:t>(</w:t>
      </w:r>
      <w:r w:rsidR="009D51B5">
        <w:rPr>
          <w:rFonts w:ascii="Symbol" w:hAnsi="Symbol" w:cs="Arial"/>
          <w:lang w:val="en-CA"/>
        </w:rPr>
        <w:t>r</w:t>
      </w:r>
      <w:r w:rsidR="00CD3B70" w:rsidRPr="00CD3B70">
        <w:rPr>
          <w:lang w:val="en-CA"/>
        </w:rPr>
        <w:t xml:space="preserve">) for the </w:t>
      </w:r>
      <w:r w:rsidR="009D51B5">
        <w:rPr>
          <w:i/>
          <w:iCs/>
          <w:lang w:val="en-CA"/>
        </w:rPr>
        <w:t>k</w:t>
      </w:r>
      <w:r w:rsidR="009D51B5">
        <w:rPr>
          <w:i/>
          <w:iCs/>
          <w:vertAlign w:val="superscript"/>
          <w:lang w:val="en-CA"/>
        </w:rPr>
        <w:t>th</w:t>
      </w:r>
      <w:r w:rsidR="009D51B5">
        <w:rPr>
          <w:i/>
          <w:iCs/>
          <w:lang w:val="en-CA"/>
        </w:rPr>
        <w:t xml:space="preserve"> </w:t>
      </w:r>
      <w:r>
        <w:rPr>
          <w:lang w:val="en-CA"/>
        </w:rPr>
        <w:t xml:space="preserve">isomer are defined </w:t>
      </w:r>
      <w:r w:rsidR="00842676">
        <w:rPr>
          <w:lang w:val="en-CA"/>
        </w:rPr>
        <w:t xml:space="preserve">by Equation </w:t>
      </w:r>
      <w:proofErr w:type="gramStart"/>
      <w:r w:rsidR="00842676">
        <w:rPr>
          <w:lang w:val="en-CA"/>
        </w:rPr>
        <w:t>10</w:t>
      </w:r>
      <w:proofErr w:type="gramEnd"/>
      <w:r>
        <w:rPr>
          <w:lang w:val="en-CA"/>
        </w:rPr>
        <w:t xml:space="preserve"> </w:t>
      </w:r>
    </w:p>
    <w:p w14:paraId="0765C5B5" w14:textId="665E6760" w:rsidR="00E72941" w:rsidRDefault="00E72941" w:rsidP="000356B7">
      <w:pPr>
        <w:jc w:val="both"/>
        <w:rPr>
          <w:lang w:val="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50"/>
      </w:tblGrid>
      <w:tr w:rsidR="00842676" w:rsidRPr="00F14A94" w14:paraId="00925DDF" w14:textId="77777777" w:rsidTr="00840E41">
        <w:tc>
          <w:tcPr>
            <w:tcW w:w="846" w:type="dxa"/>
          </w:tcPr>
          <w:p w14:paraId="470C6D52" w14:textId="77777777" w:rsidR="00842676" w:rsidRPr="00F14A94" w:rsidRDefault="00842676" w:rsidP="000356B7">
            <w:pPr>
              <w:tabs>
                <w:tab w:val="left" w:pos="3119"/>
              </w:tabs>
              <w:spacing w:line="480" w:lineRule="auto"/>
              <w:jc w:val="both"/>
            </w:pPr>
          </w:p>
        </w:tc>
        <w:tc>
          <w:tcPr>
            <w:tcW w:w="7654" w:type="dxa"/>
          </w:tcPr>
          <w:p w14:paraId="42CAC266" w14:textId="6F97E244" w:rsidR="00842676" w:rsidRPr="00F14A94" w:rsidRDefault="00B22392" w:rsidP="000356B7">
            <w:pPr>
              <w:tabs>
                <w:tab w:val="left" w:pos="3119"/>
              </w:tabs>
              <w:spacing w:line="480" w:lineRule="auto"/>
              <w:jc w:val="both"/>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RT</m:t>
                                    </m:r>
                                  </m:e>
                                </m:d>
                              </m:e>
                              <m:sup>
                                <m:r>
                                  <w:rPr>
                                    <w:rFonts w:ascii="Cambria Math" w:hAnsi="Cambria Math"/>
                                  </w:rPr>
                                  <m:t>-1</m:t>
                                </m:r>
                              </m:sup>
                            </m:sSup>
                          </m:e>
                        </m:d>
                      </m:e>
                    </m:func>
                    <m:r>
                      <w:rPr>
                        <w:rFonts w:ascii="Cambria Math" w:hAnsi="Cambria Math"/>
                      </w:rPr>
                      <m:t xml:space="preserve">  </m:t>
                    </m:r>
                  </m:num>
                  <m:den>
                    <m:nary>
                      <m:naryPr>
                        <m:chr m:val="∑"/>
                        <m:limLoc m:val="undOvr"/>
                        <m:supHide m:val="1"/>
                        <m:ctrlPr>
                          <w:rPr>
                            <w:rFonts w:ascii="Cambria Math" w:hAnsi="Cambria Math"/>
                            <w:i/>
                          </w:rPr>
                        </m:ctrlPr>
                      </m:naryPr>
                      <m:sub>
                        <m:r>
                          <w:rPr>
                            <w:rFonts w:ascii="Cambria Math" w:hAnsi="Cambria Math"/>
                          </w:rPr>
                          <m:t>k</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RT</m:t>
                                        </m:r>
                                      </m:e>
                                    </m:d>
                                  </m:e>
                                  <m:sup>
                                    <m:r>
                                      <w:rPr>
                                        <w:rFonts w:ascii="Cambria Math" w:hAnsi="Cambria Math"/>
                                      </w:rPr>
                                      <m:t>-1</m:t>
                                    </m:r>
                                  </m:sup>
                                </m:sSup>
                              </m:e>
                            </m:d>
                          </m:e>
                        </m:func>
                      </m:e>
                    </m:nary>
                  </m:den>
                </m:f>
              </m:oMath>
            </m:oMathPara>
          </w:p>
        </w:tc>
        <w:tc>
          <w:tcPr>
            <w:tcW w:w="850" w:type="dxa"/>
          </w:tcPr>
          <w:p w14:paraId="77909433" w14:textId="0C91BF1D" w:rsidR="00842676" w:rsidRPr="00F14A94" w:rsidRDefault="00842676" w:rsidP="000356B7">
            <w:pPr>
              <w:pStyle w:val="Caption"/>
              <w:keepNext/>
              <w:jc w:val="both"/>
              <w:rPr>
                <w:sz w:val="22"/>
                <w:szCs w:val="22"/>
              </w:rPr>
            </w:pPr>
            <w:r w:rsidRPr="00F14A94">
              <w:rPr>
                <w:sz w:val="22"/>
                <w:szCs w:val="22"/>
              </w:rPr>
              <w:b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10</w:t>
            </w:r>
            <w:r w:rsidRPr="00F14A94">
              <w:rPr>
                <w:sz w:val="22"/>
                <w:szCs w:val="22"/>
              </w:rPr>
              <w:fldChar w:fldCharType="end"/>
            </w:r>
          </w:p>
        </w:tc>
      </w:tr>
    </w:tbl>
    <w:p w14:paraId="4EB0B7AC" w14:textId="77777777" w:rsidR="00E72941" w:rsidRDefault="00E72941" w:rsidP="000356B7">
      <w:pPr>
        <w:jc w:val="both"/>
        <w:rPr>
          <w:lang w:val="en-CA"/>
        </w:rPr>
      </w:pPr>
    </w:p>
    <w:p w14:paraId="04C69292" w14:textId="00415817" w:rsidR="00195CC4" w:rsidRPr="00686DFF" w:rsidRDefault="00BF6563" w:rsidP="000356B7">
      <w:pPr>
        <w:jc w:val="both"/>
        <w:rPr>
          <w:rFonts w:eastAsiaTheme="minorEastAsia"/>
        </w:rPr>
      </w:pPr>
      <w:r w:rsidRPr="00F14A94">
        <w:rPr>
          <w:rFonts w:eastAsiaTheme="minorEastAsia"/>
        </w:rPr>
        <w:t xml:space="preserve">where </w:t>
      </w:r>
      <w:r w:rsidRPr="00F14A94">
        <w:rPr>
          <w:rFonts w:eastAsiaTheme="minorEastAsia"/>
          <w:i/>
          <w:iCs/>
        </w:rPr>
        <w:t>R</w:t>
      </w:r>
      <w:r w:rsidRPr="00F14A94">
        <w:rPr>
          <w:rFonts w:eastAsiaTheme="minorEastAsia"/>
        </w:rPr>
        <w:t xml:space="preserve"> is the gas constant</w:t>
      </w:r>
      <w:r w:rsidR="0070240F">
        <w:rPr>
          <w:rFonts w:eastAsiaTheme="minorEastAsia"/>
        </w:rPr>
        <w:t>,</w:t>
      </w:r>
      <w:r w:rsidRPr="00F14A94">
        <w:rPr>
          <w:rFonts w:eastAsiaTheme="minorEastAsia"/>
        </w:rPr>
        <w:t xml:space="preserve"> </w:t>
      </w:r>
      <w:proofErr w:type="gramStart"/>
      <w:r w:rsidRPr="00F14A94">
        <w:rPr>
          <w:rFonts w:eastAsiaTheme="minorEastAsia"/>
          <w:i/>
          <w:iCs/>
        </w:rPr>
        <w:t>G</w:t>
      </w:r>
      <w:r w:rsidRPr="00F14A94">
        <w:rPr>
          <w:rFonts w:eastAsiaTheme="minorEastAsia"/>
          <w:i/>
          <w:iCs/>
          <w:vertAlign w:val="superscript"/>
        </w:rPr>
        <w:t>(</w:t>
      </w:r>
      <w:proofErr w:type="gramEnd"/>
      <w:r w:rsidRPr="00F14A94">
        <w:rPr>
          <w:rFonts w:eastAsiaTheme="minorEastAsia"/>
          <w:i/>
          <w:iCs/>
          <w:vertAlign w:val="superscript"/>
        </w:rPr>
        <w:t>k</w:t>
      </w:r>
      <w:r w:rsidRPr="00F14A94">
        <w:rPr>
          <w:rFonts w:eastAsiaTheme="minorEastAsia"/>
        </w:rPr>
        <w:t xml:space="preserve"> is the Gibbs energy of the </w:t>
      </w:r>
      <w:proofErr w:type="spellStart"/>
      <w:r w:rsidR="00E9553B">
        <w:rPr>
          <w:rFonts w:eastAsiaTheme="minorEastAsia"/>
          <w:i/>
          <w:iCs/>
        </w:rPr>
        <w:t>i</w:t>
      </w:r>
      <w:r w:rsidRPr="00F14A94">
        <w:rPr>
          <w:rFonts w:eastAsiaTheme="minorEastAsia"/>
          <w:i/>
          <w:iCs/>
          <w:vertAlign w:val="superscript"/>
        </w:rPr>
        <w:t>th</w:t>
      </w:r>
      <w:proofErr w:type="spellEnd"/>
      <w:r w:rsidRPr="00F14A94">
        <w:rPr>
          <w:rFonts w:eastAsiaTheme="minorEastAsia"/>
          <w:i/>
          <w:iCs/>
        </w:rPr>
        <w:t xml:space="preserve"> </w:t>
      </w:r>
      <w:r w:rsidRPr="00F14A94">
        <w:rPr>
          <w:rFonts w:eastAsiaTheme="minorEastAsia"/>
        </w:rPr>
        <w:t xml:space="preserve">isomer of the </w:t>
      </w:r>
      <w:r>
        <w:rPr>
          <w:rFonts w:eastAsiaTheme="minorEastAsia"/>
        </w:rPr>
        <w:t>analyte of interest</w:t>
      </w:r>
      <w:r w:rsidR="00686DFF">
        <w:rPr>
          <w:rFonts w:eastAsiaTheme="minorEastAsia"/>
        </w:rPr>
        <w:t xml:space="preserve">, and </w:t>
      </w:r>
      <w:r w:rsidR="00686DFF">
        <w:rPr>
          <w:rFonts w:eastAsiaTheme="minorEastAsia"/>
          <w:i/>
          <w:iCs/>
        </w:rPr>
        <w:t>T</w:t>
      </w:r>
      <w:r w:rsidR="00686DFF">
        <w:rPr>
          <w:rFonts w:eastAsiaTheme="minorEastAsia"/>
        </w:rPr>
        <w:t xml:space="preserve"> is the temperature in Kelvin.</w:t>
      </w:r>
    </w:p>
    <w:p w14:paraId="3F29C3D4" w14:textId="404A70C3" w:rsidR="00DE628C" w:rsidRDefault="00DE628C" w:rsidP="000356B7">
      <w:pPr>
        <w:jc w:val="both"/>
        <w:rPr>
          <w:rFonts w:eastAsiaTheme="minorEastAsia"/>
        </w:rPr>
      </w:pPr>
    </w:p>
    <w:p w14:paraId="02D4AD07" w14:textId="61FC0BB7" w:rsidR="00DE628C" w:rsidRDefault="00DE628C" w:rsidP="000356B7">
      <w:pPr>
        <w:jc w:val="both"/>
        <w:rPr>
          <w:rFonts w:eastAsiaTheme="minorEastAsia"/>
        </w:rPr>
      </w:pPr>
      <w:r>
        <w:rPr>
          <w:rFonts w:eastAsiaTheme="minorEastAsia"/>
        </w:rPr>
        <w:t xml:space="preserve">To calculate relative </w:t>
      </w:r>
      <w:r w:rsidR="006C332D">
        <w:rPr>
          <w:rFonts w:eastAsiaTheme="minorEastAsia"/>
        </w:rPr>
        <w:t>populations</w:t>
      </w:r>
      <w:r>
        <w:rPr>
          <w:rFonts w:eastAsiaTheme="minorEastAsia"/>
        </w:rPr>
        <w:t xml:space="preserve"> using the Energy </w:t>
      </w:r>
      <w:proofErr w:type="spellStart"/>
      <w:r>
        <w:rPr>
          <w:rFonts w:eastAsiaTheme="minorEastAsia"/>
        </w:rPr>
        <w:t>weighter</w:t>
      </w:r>
      <w:proofErr w:type="spellEnd"/>
      <w:r>
        <w:rPr>
          <w:rFonts w:eastAsiaTheme="minorEastAsia"/>
        </w:rPr>
        <w:t xml:space="preserve">, </w:t>
      </w:r>
      <w:r w:rsidR="006C332D">
        <w:rPr>
          <w:rFonts w:eastAsiaTheme="minorEastAsia"/>
        </w:rPr>
        <w:t xml:space="preserve">a .csv file containing a list of </w:t>
      </w:r>
      <w:r w:rsidR="007A333F">
        <w:rPr>
          <w:rFonts w:eastAsiaTheme="minorEastAsia"/>
        </w:rPr>
        <w:t>filenames and their Gibbs corrected energies, as calculated using computational chemistry packages (see Appendix A)</w:t>
      </w:r>
      <w:r w:rsidR="00432496">
        <w:rPr>
          <w:rFonts w:eastAsiaTheme="minorEastAsia"/>
        </w:rPr>
        <w:t xml:space="preserve">, must be specified in the </w:t>
      </w:r>
      <w:r w:rsidR="006A6891" w:rsidRPr="009F11AC">
        <w:rPr>
          <w:rFonts w:eastAsiaTheme="minorEastAsia"/>
          <w:b/>
          <w:bCs/>
        </w:rPr>
        <w:t>CSV directory</w:t>
      </w:r>
      <w:r w:rsidR="00686DFF">
        <w:rPr>
          <w:rFonts w:eastAsiaTheme="minorEastAsia"/>
        </w:rPr>
        <w:t xml:space="preserve"> entry slot. Isomer </w:t>
      </w:r>
      <w:r w:rsidR="00FF0397">
        <w:rPr>
          <w:rFonts w:eastAsiaTheme="minorEastAsia"/>
        </w:rPr>
        <w:t>populations</w:t>
      </w:r>
      <w:r w:rsidR="00686DFF">
        <w:rPr>
          <w:rFonts w:eastAsiaTheme="minorEastAsia"/>
        </w:rPr>
        <w:t xml:space="preserve"> can be calculated at any temperature </w:t>
      </w:r>
      <w:r w:rsidR="009F11AC">
        <w:rPr>
          <w:rFonts w:eastAsiaTheme="minorEastAsia"/>
        </w:rPr>
        <w:t xml:space="preserve">(Kelvin) </w:t>
      </w:r>
      <w:r w:rsidR="00686DFF">
        <w:rPr>
          <w:rFonts w:eastAsiaTheme="minorEastAsia"/>
        </w:rPr>
        <w:t xml:space="preserve">through editing </w:t>
      </w:r>
      <w:r w:rsidR="00FF0397">
        <w:rPr>
          <w:rFonts w:eastAsiaTheme="minorEastAsia"/>
        </w:rPr>
        <w:t xml:space="preserve">the </w:t>
      </w:r>
      <w:r w:rsidR="00FF0397" w:rsidRPr="009F11AC">
        <w:rPr>
          <w:rFonts w:eastAsiaTheme="minorEastAsia"/>
          <w:b/>
          <w:bCs/>
        </w:rPr>
        <w:t>Temperature</w:t>
      </w:r>
      <w:r w:rsidR="00FF0397">
        <w:rPr>
          <w:rFonts w:eastAsiaTheme="minorEastAsia"/>
        </w:rPr>
        <w:t xml:space="preserve"> field. </w:t>
      </w:r>
    </w:p>
    <w:p w14:paraId="3E409994" w14:textId="4F508F57" w:rsidR="00FF0397" w:rsidRDefault="00FF0397" w:rsidP="000356B7">
      <w:pPr>
        <w:jc w:val="both"/>
        <w:rPr>
          <w:rFonts w:eastAsiaTheme="minorEastAsia"/>
        </w:rPr>
      </w:pPr>
    </w:p>
    <w:p w14:paraId="729E2B0D" w14:textId="5E70D9CF" w:rsidR="00FF0397" w:rsidRDefault="00DE7CDD" w:rsidP="000356B7">
      <w:pPr>
        <w:jc w:val="both"/>
        <w:rPr>
          <w:rFonts w:eastAsiaTheme="minorEastAsia"/>
        </w:rPr>
      </w:pPr>
      <w:r>
        <w:rPr>
          <w:rFonts w:eastAsiaTheme="minorEastAsia"/>
        </w:rPr>
        <w:t xml:space="preserve">An example </w:t>
      </w:r>
      <w:r w:rsidR="009F11AC">
        <w:rPr>
          <w:rFonts w:eastAsiaTheme="minorEastAsia"/>
        </w:rPr>
        <w:t xml:space="preserve">input </w:t>
      </w:r>
      <w:r>
        <w:rPr>
          <w:rFonts w:eastAsiaTheme="minorEastAsia"/>
        </w:rPr>
        <w:t>.csv file is provided with the GUI</w:t>
      </w:r>
      <w:r w:rsidR="00B5530B">
        <w:rPr>
          <w:rFonts w:eastAsiaTheme="minorEastAsia"/>
        </w:rPr>
        <w:t xml:space="preserve"> in </w:t>
      </w:r>
      <w:proofErr w:type="spellStart"/>
      <w:r w:rsidR="00B5530B">
        <w:rPr>
          <w:rFonts w:eastAsiaTheme="minorEastAsia"/>
        </w:rPr>
        <w:t>GUI_Sample_Files</w:t>
      </w:r>
      <w:proofErr w:type="spellEnd"/>
      <w:r>
        <w:rPr>
          <w:rFonts w:eastAsiaTheme="minorEastAsia"/>
        </w:rPr>
        <w:t xml:space="preserve"> </w:t>
      </w:r>
      <w:r w:rsidRPr="00305D15">
        <w:rPr>
          <w:rFonts w:eastAsiaTheme="minorEastAsia"/>
        </w:rPr>
        <w:t>(</w:t>
      </w:r>
      <w:r w:rsidRPr="00305D15">
        <w:rPr>
          <w:rFonts w:eastAsiaTheme="minorEastAsia"/>
          <w:b/>
          <w:bCs/>
        </w:rPr>
        <w:t>Gibbs.csv</w:t>
      </w:r>
      <w:r w:rsidRPr="00305D15">
        <w:rPr>
          <w:rFonts w:eastAsiaTheme="minorEastAsia"/>
        </w:rPr>
        <w:t>)</w:t>
      </w:r>
      <w:r w:rsidR="007A11E3" w:rsidRPr="00305D15">
        <w:rPr>
          <w:rFonts w:eastAsiaTheme="minorEastAsia"/>
        </w:rPr>
        <w:t>.</w:t>
      </w:r>
      <w:r w:rsidR="007A11E3">
        <w:rPr>
          <w:rFonts w:eastAsiaTheme="minorEastAsia"/>
        </w:rPr>
        <w:t xml:space="preserve"> </w:t>
      </w:r>
    </w:p>
    <w:p w14:paraId="316A7A7B" w14:textId="5CE99CB2" w:rsidR="002A2733" w:rsidRDefault="002A2733" w:rsidP="000356B7">
      <w:pPr>
        <w:jc w:val="both"/>
        <w:rPr>
          <w:rFonts w:eastAsiaTheme="minorEastAsia"/>
        </w:rPr>
      </w:pPr>
    </w:p>
    <w:p w14:paraId="0A2BAE8B" w14:textId="567C8A70" w:rsidR="002A2733" w:rsidRPr="009F11AC" w:rsidRDefault="00224DCB" w:rsidP="000356B7">
      <w:pPr>
        <w:jc w:val="both"/>
        <w:rPr>
          <w:rFonts w:eastAsiaTheme="minorEastAsia"/>
          <w:lang w:val="en-CA"/>
        </w:rPr>
      </w:pPr>
      <w:r>
        <w:rPr>
          <w:rFonts w:eastAsiaTheme="minorEastAsia"/>
        </w:rPr>
        <w:t>Basically, the</w:t>
      </w:r>
      <w:r w:rsidR="002A2733" w:rsidRPr="002A2733">
        <w:rPr>
          <w:rFonts w:eastAsiaTheme="minorEastAsia"/>
        </w:rPr>
        <w:t xml:space="preserve"> .csv </w:t>
      </w:r>
      <w:r>
        <w:rPr>
          <w:rFonts w:eastAsiaTheme="minorEastAsia"/>
        </w:rPr>
        <w:t>contains</w:t>
      </w:r>
      <w:r w:rsidR="002A2733" w:rsidRPr="002A2733">
        <w:rPr>
          <w:rFonts w:eastAsiaTheme="minorEastAsia"/>
        </w:rPr>
        <w:t xml:space="preserve"> 2 columns</w:t>
      </w:r>
      <w:r>
        <w:rPr>
          <w:rFonts w:eastAsiaTheme="minorEastAsia"/>
        </w:rPr>
        <w:t xml:space="preserve"> with a title at the top. The .csv format is designed to work in tandem with the Featherstone Suite</w:t>
      </w:r>
      <w:r w:rsidR="00E91218">
        <w:rPr>
          <w:rFonts w:eastAsiaTheme="minorEastAsia"/>
        </w:rPr>
        <w:t xml:space="preserve"> (</w:t>
      </w:r>
      <w:hyperlink r:id="rId30" w:history="1">
        <w:r w:rsidR="0079712D" w:rsidRPr="00116072">
          <w:rPr>
            <w:rStyle w:val="Hyperlink"/>
            <w:rFonts w:eastAsiaTheme="minorEastAsia"/>
          </w:rPr>
          <w:t>https://github.com/jrjfeath/Featherstone_Labs_Suite</w:t>
        </w:r>
      </w:hyperlink>
      <w:r w:rsidR="0079712D">
        <w:rPr>
          <w:rFonts w:eastAsiaTheme="minorEastAsia"/>
        </w:rPr>
        <w:t>), a Python package designed for post-processing of Gaussian calculations (Appendix A).</w:t>
      </w:r>
      <w:r w:rsidR="008A7CC9">
        <w:rPr>
          <w:rFonts w:eastAsiaTheme="minorEastAsia"/>
        </w:rPr>
        <w:t xml:space="preserve"> Extracting thermochemical data using the Featherstone suite generates a .csv that contains the Gibbs corrected energies</w:t>
      </w:r>
      <w:r w:rsidR="009847E9">
        <w:rPr>
          <w:rFonts w:eastAsiaTheme="minorEastAsia"/>
        </w:rPr>
        <w:t xml:space="preserve"> in addition to other thermochemical corrections. </w:t>
      </w:r>
      <w:r w:rsidR="00C94A75">
        <w:rPr>
          <w:rFonts w:eastAsiaTheme="minorEastAsia"/>
        </w:rPr>
        <w:t xml:space="preserve">Only the Filename and </w:t>
      </w:r>
      <w:r w:rsidR="00C76666" w:rsidRPr="00C76666">
        <w:rPr>
          <w:rFonts w:eastAsiaTheme="minorEastAsia"/>
        </w:rPr>
        <w:t xml:space="preserve">Sum of electronic </w:t>
      </w:r>
      <w:r w:rsidR="00C76666" w:rsidRPr="00C76666">
        <w:rPr>
          <w:rFonts w:eastAsiaTheme="minorEastAsia"/>
        </w:rPr>
        <w:lastRenderedPageBreak/>
        <w:t>and thermal Free Energies</w:t>
      </w:r>
      <w:r w:rsidR="00C76666">
        <w:rPr>
          <w:rFonts w:eastAsiaTheme="minorEastAsia"/>
        </w:rPr>
        <w:t xml:space="preserve"> columns (including the titles) should be retained. Energy </w:t>
      </w:r>
      <w:r w:rsidR="002A2733" w:rsidRPr="002A2733">
        <w:rPr>
          <w:rFonts w:eastAsiaTheme="minorEastAsia"/>
        </w:rPr>
        <w:t xml:space="preserve">units are irrelevant since </w:t>
      </w:r>
      <w:r w:rsidR="00FE05A9">
        <w:rPr>
          <w:rFonts w:eastAsiaTheme="minorEastAsia"/>
        </w:rPr>
        <w:t>values are taken and recalculated relative to the global minimum energy (</w:t>
      </w:r>
      <w:r w:rsidR="002A2733" w:rsidRPr="002A2733">
        <w:rPr>
          <w:rFonts w:eastAsiaTheme="minorEastAsia"/>
        </w:rPr>
        <w:t xml:space="preserve">leaving this in </w:t>
      </w:r>
      <w:r w:rsidR="00FE05A9">
        <w:rPr>
          <w:rFonts w:eastAsiaTheme="minorEastAsia"/>
        </w:rPr>
        <w:t xml:space="preserve">units of </w:t>
      </w:r>
      <w:r w:rsidR="000356B7">
        <w:rPr>
          <w:rFonts w:eastAsiaTheme="minorEastAsia"/>
        </w:rPr>
        <w:t>H</w:t>
      </w:r>
      <w:r w:rsidR="002A2733" w:rsidRPr="002A2733">
        <w:rPr>
          <w:rFonts w:eastAsiaTheme="minorEastAsia"/>
        </w:rPr>
        <w:t xml:space="preserve">artree is </w:t>
      </w:r>
      <w:r w:rsidR="00FE05A9">
        <w:rPr>
          <w:rFonts w:eastAsiaTheme="minorEastAsia"/>
        </w:rPr>
        <w:t>perfectly fine)</w:t>
      </w:r>
      <w:r w:rsidR="002A2733" w:rsidRPr="002A2733">
        <w:rPr>
          <w:rFonts w:eastAsiaTheme="minorEastAsia"/>
        </w:rPr>
        <w:t xml:space="preserve">. </w:t>
      </w:r>
      <w:r w:rsidR="009F11AC">
        <w:rPr>
          <w:rFonts w:eastAsiaTheme="minorEastAsia"/>
        </w:rPr>
        <w:t xml:space="preserve">To run the code, click </w:t>
      </w:r>
      <w:r w:rsidR="009F11AC">
        <w:rPr>
          <w:rFonts w:eastAsiaTheme="minorEastAsia"/>
          <w:b/>
          <w:bCs/>
          <w:lang w:val="en-CA"/>
        </w:rPr>
        <w:t>Submit</w:t>
      </w:r>
      <w:r w:rsidR="009F11AC">
        <w:rPr>
          <w:rFonts w:eastAsiaTheme="minorEastAsia"/>
          <w:lang w:val="en-CA"/>
        </w:rPr>
        <w:t xml:space="preserve">. </w:t>
      </w:r>
    </w:p>
    <w:p w14:paraId="2B685445" w14:textId="77777777" w:rsidR="002A2733" w:rsidRPr="002A2733" w:rsidRDefault="002A2733" w:rsidP="000356B7">
      <w:pPr>
        <w:jc w:val="both"/>
        <w:rPr>
          <w:rFonts w:eastAsiaTheme="minorEastAsia"/>
        </w:rPr>
      </w:pPr>
    </w:p>
    <w:p w14:paraId="092D349B" w14:textId="2E8B8C67" w:rsidR="002A2733" w:rsidRDefault="00FE05A9" w:rsidP="000356B7">
      <w:pPr>
        <w:jc w:val="both"/>
        <w:rPr>
          <w:rFonts w:eastAsiaTheme="minorEastAsia"/>
        </w:rPr>
      </w:pPr>
      <w:r>
        <w:rPr>
          <w:rFonts w:eastAsiaTheme="minorEastAsia"/>
        </w:rPr>
        <w:t xml:space="preserve">The </w:t>
      </w:r>
      <w:r w:rsidR="002A2733" w:rsidRPr="002A2733">
        <w:rPr>
          <w:rFonts w:eastAsiaTheme="minorEastAsia"/>
        </w:rPr>
        <w:t xml:space="preserve">script </w:t>
      </w:r>
      <w:r w:rsidR="000B3E6B" w:rsidRPr="002A2733">
        <w:rPr>
          <w:rFonts w:eastAsiaTheme="minorEastAsia"/>
        </w:rPr>
        <w:t>discovers</w:t>
      </w:r>
      <w:r w:rsidR="002A2733" w:rsidRPr="002A2733">
        <w:rPr>
          <w:rFonts w:eastAsiaTheme="minorEastAsia"/>
        </w:rPr>
        <w:t xml:space="preserve"> identical molecules by the</w:t>
      </w:r>
      <w:r w:rsidR="00880FDB">
        <w:rPr>
          <w:rFonts w:eastAsiaTheme="minorEastAsia"/>
        </w:rPr>
        <w:t>ir</w:t>
      </w:r>
      <w:r w:rsidR="002A2733" w:rsidRPr="002A2733">
        <w:rPr>
          <w:rFonts w:eastAsiaTheme="minorEastAsia"/>
        </w:rPr>
        <w:t xml:space="preserve"> name</w:t>
      </w:r>
      <w:r w:rsidR="00880FDB">
        <w:rPr>
          <w:rFonts w:eastAsiaTheme="minorEastAsia"/>
        </w:rPr>
        <w:t xml:space="preserve"> prior to</w:t>
      </w:r>
      <w:r w:rsidR="000B3E6B">
        <w:rPr>
          <w:rFonts w:eastAsiaTheme="minorEastAsia"/>
        </w:rPr>
        <w:t xml:space="preserve"> detecting</w:t>
      </w:r>
      <w:r w:rsidR="002A2733" w:rsidRPr="002A2733">
        <w:rPr>
          <w:rFonts w:eastAsiaTheme="minorEastAsia"/>
        </w:rPr>
        <w:t xml:space="preserve"> </w:t>
      </w:r>
      <w:r w:rsidR="000B3E6B">
        <w:rPr>
          <w:rFonts w:eastAsiaTheme="minorEastAsia"/>
        </w:rPr>
        <w:t xml:space="preserve">an underscore in the file name. Using the energy </w:t>
      </w:r>
      <w:proofErr w:type="spellStart"/>
      <w:r w:rsidR="000B3E6B">
        <w:rPr>
          <w:rFonts w:eastAsiaTheme="minorEastAsia"/>
        </w:rPr>
        <w:t>weighter</w:t>
      </w:r>
      <w:proofErr w:type="spellEnd"/>
      <w:r w:rsidR="000B3E6B">
        <w:rPr>
          <w:rFonts w:eastAsiaTheme="minorEastAsia"/>
        </w:rPr>
        <w:t xml:space="preserve"> assumes </w:t>
      </w:r>
      <w:r w:rsidR="009447E7">
        <w:rPr>
          <w:rFonts w:eastAsiaTheme="minorEastAsia"/>
        </w:rPr>
        <w:t xml:space="preserve">your files are appropriately </w:t>
      </w:r>
      <w:proofErr w:type="gramStart"/>
      <w:r w:rsidR="009447E7">
        <w:rPr>
          <w:rFonts w:eastAsiaTheme="minorEastAsia"/>
        </w:rPr>
        <w:t>named;</w:t>
      </w:r>
      <w:proofErr w:type="gramEnd"/>
      <w:r w:rsidR="009447E7">
        <w:rPr>
          <w:rFonts w:eastAsiaTheme="minorEastAsia"/>
        </w:rPr>
        <w:t xml:space="preserve"> </w:t>
      </w:r>
      <w:proofErr w:type="spellStart"/>
      <w:r w:rsidR="002A2733" w:rsidRPr="002A2733">
        <w:rPr>
          <w:rFonts w:eastAsiaTheme="minorEastAsia"/>
        </w:rPr>
        <w:t>eg.</w:t>
      </w:r>
      <w:proofErr w:type="spellEnd"/>
      <w:r w:rsidR="002A2733" w:rsidRPr="002A2733">
        <w:rPr>
          <w:rFonts w:eastAsiaTheme="minorEastAsia"/>
        </w:rPr>
        <w:t xml:space="preserve"> Molecule1_1.log, Molecule1_2.log; Molecule2_1.log, Molecule2_2.log ...and so on. The code will recognize and split molecule 1 from </w:t>
      </w:r>
      <w:proofErr w:type="gramStart"/>
      <w:r w:rsidR="002A2733" w:rsidRPr="002A2733">
        <w:rPr>
          <w:rFonts w:eastAsiaTheme="minorEastAsia"/>
        </w:rPr>
        <w:t>2, and</w:t>
      </w:r>
      <w:proofErr w:type="gramEnd"/>
      <w:r w:rsidR="002A2733" w:rsidRPr="002A2733">
        <w:rPr>
          <w:rFonts w:eastAsiaTheme="minorEastAsia"/>
        </w:rPr>
        <w:t xml:space="preserve"> calculate the Boltzmann weight for the 2 conformations of each independent of other molecules.</w:t>
      </w:r>
    </w:p>
    <w:p w14:paraId="3A960C75" w14:textId="2968B175" w:rsidR="009447E7" w:rsidRDefault="009447E7" w:rsidP="000356B7">
      <w:pPr>
        <w:jc w:val="both"/>
        <w:rPr>
          <w:rFonts w:eastAsiaTheme="minorEastAsia"/>
        </w:rPr>
      </w:pPr>
    </w:p>
    <w:p w14:paraId="306C9DE3" w14:textId="4BC3AC56" w:rsidR="009447E7" w:rsidRDefault="00581CB5" w:rsidP="000356B7">
      <w:pPr>
        <w:jc w:val="both"/>
        <w:rPr>
          <w:rFonts w:eastAsiaTheme="minorEastAsia"/>
        </w:rPr>
      </w:pPr>
      <w:r>
        <w:rPr>
          <w:rFonts w:eastAsiaTheme="minorEastAsia"/>
        </w:rPr>
        <w:t xml:space="preserve">An example output file is provided with the GUI </w:t>
      </w:r>
      <w:r w:rsidRPr="0046246D">
        <w:rPr>
          <w:rFonts w:eastAsiaTheme="minorEastAsia"/>
        </w:rPr>
        <w:t>(</w:t>
      </w:r>
      <w:r w:rsidRPr="0046246D">
        <w:rPr>
          <w:rFonts w:eastAsiaTheme="minorEastAsia"/>
          <w:b/>
          <w:bCs/>
        </w:rPr>
        <w:t>Rel_E.csv</w:t>
      </w:r>
      <w:r w:rsidRPr="0046246D">
        <w:rPr>
          <w:rFonts w:eastAsiaTheme="minorEastAsia"/>
        </w:rPr>
        <w:t>).</w:t>
      </w:r>
      <w:r>
        <w:rPr>
          <w:rFonts w:eastAsiaTheme="minorEastAsia"/>
        </w:rPr>
        <w:t xml:space="preserve"> Boltzmann weighted CCSs are calculated as </w:t>
      </w:r>
      <w:r w:rsidR="00543F16">
        <w:rPr>
          <w:rFonts w:eastAsiaTheme="minorEastAsia"/>
        </w:rPr>
        <w:t>per equation 11</w:t>
      </w:r>
      <w:r>
        <w:rPr>
          <w:rFonts w:eastAsiaTheme="minorEastAsia"/>
        </w:rPr>
        <w:t>:</w:t>
      </w:r>
    </w:p>
    <w:p w14:paraId="61248BB5" w14:textId="521092E4" w:rsidR="00581CB5" w:rsidRDefault="00581CB5" w:rsidP="000356B7">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50"/>
      </w:tblGrid>
      <w:tr w:rsidR="00E9553B" w:rsidRPr="00F14A94" w14:paraId="060C5A5F" w14:textId="77777777" w:rsidTr="00840E41">
        <w:tc>
          <w:tcPr>
            <w:tcW w:w="846" w:type="dxa"/>
          </w:tcPr>
          <w:p w14:paraId="3284F79C" w14:textId="77777777" w:rsidR="00E9553B" w:rsidRPr="00F14A94" w:rsidRDefault="00E9553B" w:rsidP="000356B7">
            <w:pPr>
              <w:tabs>
                <w:tab w:val="left" w:pos="3119"/>
              </w:tabs>
              <w:spacing w:line="480" w:lineRule="auto"/>
              <w:jc w:val="both"/>
            </w:pPr>
          </w:p>
        </w:tc>
        <w:tc>
          <w:tcPr>
            <w:tcW w:w="7654" w:type="dxa"/>
          </w:tcPr>
          <w:p w14:paraId="321BEF98" w14:textId="4D36E0D0" w:rsidR="00E9553B" w:rsidRPr="00F14A94" w:rsidRDefault="00E9553B" w:rsidP="000356B7">
            <w:pPr>
              <w:tabs>
                <w:tab w:val="left" w:pos="3119"/>
              </w:tabs>
              <w:spacing w:line="480" w:lineRule="auto"/>
              <w:jc w:val="both"/>
              <w:rPr>
                <w:rFonts w:eastAsiaTheme="minorEastAsia"/>
              </w:rPr>
            </w:pPr>
            <m:oMathPara>
              <m:oMath>
                <m:r>
                  <w:rPr>
                    <w:rFonts w:ascii="Cambria Math" w:hAnsi="Cambria Math"/>
                  </w:rPr>
                  <m:t>CC</m:t>
                </m:r>
                <m:sSub>
                  <m:sSubPr>
                    <m:ctrlPr>
                      <w:rPr>
                        <w:rFonts w:ascii="Cambria Math" w:hAnsi="Cambria Math"/>
                        <w:i/>
                      </w:rPr>
                    </m:ctrlPr>
                  </m:sSubPr>
                  <m:e>
                    <m:r>
                      <w:rPr>
                        <w:rFonts w:ascii="Cambria Math" w:hAnsi="Cambria Math"/>
                      </w:rPr>
                      <m:t>S</m:t>
                    </m:r>
                  </m:e>
                  <m:sub>
                    <m:r>
                      <w:rPr>
                        <w:rFonts w:ascii="Cambria Math" w:hAnsi="Cambria Math"/>
                      </w:rPr>
                      <m:t>BW</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CC</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nary>
              </m:oMath>
            </m:oMathPara>
          </w:p>
        </w:tc>
        <w:tc>
          <w:tcPr>
            <w:tcW w:w="850" w:type="dxa"/>
          </w:tcPr>
          <w:p w14:paraId="74C35E7A" w14:textId="3598F9D0" w:rsidR="00E9553B" w:rsidRPr="00F14A94" w:rsidRDefault="00E9553B" w:rsidP="000356B7">
            <w:pPr>
              <w:pStyle w:val="Caption"/>
              <w:keepNext/>
              <w:jc w:val="both"/>
              <w:rPr>
                <w:sz w:val="22"/>
                <w:szCs w:val="22"/>
              </w:rPr>
            </w:pPr>
            <w:r w:rsidRPr="00F14A94">
              <w:rPr>
                <w:sz w:val="22"/>
                <w:szCs w:val="22"/>
              </w:rPr>
              <w:b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11</w:t>
            </w:r>
            <w:r w:rsidRPr="00F14A94">
              <w:rPr>
                <w:sz w:val="22"/>
                <w:szCs w:val="22"/>
              </w:rPr>
              <w:fldChar w:fldCharType="end"/>
            </w:r>
          </w:p>
        </w:tc>
      </w:tr>
    </w:tbl>
    <w:p w14:paraId="60E0237F" w14:textId="34E7B1AA" w:rsidR="00581CB5" w:rsidRPr="000461D3" w:rsidRDefault="000461D3" w:rsidP="000356B7">
      <w:pPr>
        <w:jc w:val="both"/>
        <w:rPr>
          <w:rFonts w:eastAsiaTheme="minorEastAsia"/>
        </w:rPr>
      </w:pPr>
      <w:r>
        <w:rPr>
          <w:rFonts w:eastAsiaTheme="minorEastAsia"/>
        </w:rPr>
        <w:t xml:space="preserve">Where </w:t>
      </w:r>
      <w:proofErr w:type="spellStart"/>
      <w:r>
        <w:rPr>
          <w:rFonts w:eastAsiaTheme="minorEastAsia"/>
          <w:i/>
          <w:iCs/>
        </w:rPr>
        <w:t>CCS</w:t>
      </w:r>
      <w:r>
        <w:rPr>
          <w:rFonts w:eastAsiaTheme="minorEastAsia"/>
          <w:i/>
          <w:iCs/>
          <w:vertAlign w:val="subscript"/>
        </w:rPr>
        <w:t>i</w:t>
      </w:r>
      <w:proofErr w:type="spellEnd"/>
      <w:r>
        <w:rPr>
          <w:rFonts w:eastAsiaTheme="minorEastAsia"/>
          <w:i/>
          <w:iCs/>
        </w:rPr>
        <w:t xml:space="preserve"> </w:t>
      </w:r>
      <w:r>
        <w:rPr>
          <w:rFonts w:eastAsiaTheme="minorEastAsia"/>
        </w:rPr>
        <w:t xml:space="preserve">and </w:t>
      </w:r>
      <w:r w:rsidR="00543F16">
        <w:rPr>
          <w:rFonts w:ascii="Symbol" w:eastAsiaTheme="minorEastAsia" w:hAnsi="Symbol"/>
          <w:i/>
          <w:iCs/>
        </w:rPr>
        <w:t>r</w:t>
      </w:r>
      <w:proofErr w:type="spellStart"/>
      <w:r>
        <w:rPr>
          <w:rFonts w:eastAsiaTheme="minorEastAsia"/>
          <w:i/>
          <w:iCs/>
          <w:vertAlign w:val="subscript"/>
        </w:rPr>
        <w:t>i</w:t>
      </w:r>
      <w:proofErr w:type="spellEnd"/>
      <w:r>
        <w:rPr>
          <w:rFonts w:eastAsiaTheme="minorEastAsia"/>
        </w:rPr>
        <w:t xml:space="preserve"> are the CCS and relative population of the </w:t>
      </w:r>
      <w:proofErr w:type="spellStart"/>
      <w:r>
        <w:rPr>
          <w:rFonts w:eastAsiaTheme="minorEastAsia"/>
          <w:i/>
          <w:iCs/>
        </w:rPr>
        <w:t>i</w:t>
      </w:r>
      <w:r>
        <w:rPr>
          <w:rFonts w:eastAsiaTheme="minorEastAsia"/>
          <w:i/>
          <w:iCs/>
          <w:vertAlign w:val="superscript"/>
        </w:rPr>
        <w:t>th</w:t>
      </w:r>
      <w:proofErr w:type="spellEnd"/>
      <w:r>
        <w:rPr>
          <w:rFonts w:eastAsiaTheme="minorEastAsia"/>
          <w:i/>
          <w:iCs/>
        </w:rPr>
        <w:t xml:space="preserve"> </w:t>
      </w:r>
      <w:r>
        <w:rPr>
          <w:rFonts w:eastAsiaTheme="minorEastAsia"/>
        </w:rPr>
        <w:t xml:space="preserve">isomer of an analyte, respectively. </w:t>
      </w:r>
    </w:p>
    <w:p w14:paraId="7FA72C5B" w14:textId="77777777" w:rsidR="00FF0397" w:rsidRDefault="00FF0397" w:rsidP="000356B7">
      <w:pPr>
        <w:jc w:val="both"/>
        <w:rPr>
          <w:lang w:val="en-CA"/>
        </w:rPr>
      </w:pPr>
    </w:p>
    <w:p w14:paraId="670E31C8" w14:textId="1A90308A" w:rsidR="00195CC4" w:rsidRDefault="000D1462" w:rsidP="000356B7">
      <w:pPr>
        <w:pStyle w:val="Heading3"/>
        <w:jc w:val="both"/>
      </w:pPr>
      <w:bookmarkStart w:id="26" w:name="_Toc66269174"/>
      <w:r>
        <w:t>3.4.3</w:t>
      </w:r>
      <w:r w:rsidR="00221ACF">
        <w:t xml:space="preserve"> CCS Extractor</w:t>
      </w:r>
      <w:bookmarkEnd w:id="26"/>
      <w:r w:rsidR="00221ACF">
        <w:t xml:space="preserve"> </w:t>
      </w:r>
    </w:p>
    <w:p w14:paraId="7EFB57B4" w14:textId="3924B2DE" w:rsidR="00A933A5" w:rsidRDefault="0026050D" w:rsidP="000356B7">
      <w:pPr>
        <w:jc w:val="both"/>
      </w:pPr>
      <w:r>
        <w:t xml:space="preserve">The CCS extractor </w:t>
      </w:r>
      <w:r w:rsidR="00B71DBE">
        <w:t xml:space="preserve">returns the </w:t>
      </w:r>
      <w:r w:rsidR="00855A06">
        <w:t>mass, CCS, CCS standard deviation, and the temperature that the CCS calculation was performed at. To run the CCS extractor, paste the directory containing the .</w:t>
      </w:r>
      <w:proofErr w:type="spellStart"/>
      <w:r w:rsidR="00855A06">
        <w:t>mout</w:t>
      </w:r>
      <w:proofErr w:type="spellEnd"/>
      <w:r w:rsidR="00855A06">
        <w:t xml:space="preserve"> files into the </w:t>
      </w:r>
      <w:proofErr w:type="spellStart"/>
      <w:r w:rsidR="00855A06" w:rsidRPr="00855A06">
        <w:rPr>
          <w:b/>
          <w:bCs/>
        </w:rPr>
        <w:t>mout</w:t>
      </w:r>
      <w:proofErr w:type="spellEnd"/>
      <w:r w:rsidR="00855A06" w:rsidRPr="00855A06">
        <w:rPr>
          <w:b/>
          <w:bCs/>
        </w:rPr>
        <w:t xml:space="preserve"> Directory</w:t>
      </w:r>
      <w:r w:rsidR="00855A06">
        <w:t xml:space="preserve"> field and click </w:t>
      </w:r>
      <w:r w:rsidR="00855A06" w:rsidRPr="00855A06">
        <w:rPr>
          <w:b/>
          <w:bCs/>
        </w:rPr>
        <w:t>Submit</w:t>
      </w:r>
      <w:r w:rsidR="00855A06">
        <w:t>.</w:t>
      </w:r>
      <w:r w:rsidR="00C82459">
        <w:t xml:space="preserve"> Example files a</w:t>
      </w:r>
      <w:r w:rsidR="00B14D97">
        <w:t xml:space="preserve">nd outputs are provided. </w:t>
      </w:r>
    </w:p>
    <w:p w14:paraId="1EDA7291" w14:textId="77777777" w:rsidR="000634BE" w:rsidRDefault="000634BE" w:rsidP="000634BE">
      <w:pPr>
        <w:jc w:val="both"/>
      </w:pPr>
    </w:p>
    <w:p w14:paraId="06675503" w14:textId="3508765E" w:rsidR="000634BE" w:rsidRDefault="000634BE" w:rsidP="000634BE">
      <w:pPr>
        <w:jc w:val="both"/>
      </w:pPr>
      <w:r>
        <w:t xml:space="preserve">The CCS is output as a .csv titled </w:t>
      </w:r>
      <w:r w:rsidRPr="00E4138E">
        <w:rPr>
          <w:b/>
          <w:bCs/>
        </w:rPr>
        <w:t>CCS_DATA.csv</w:t>
      </w:r>
      <w:r>
        <w:t xml:space="preserve"> to the same directory. </w:t>
      </w:r>
    </w:p>
    <w:p w14:paraId="20B1C2FA" w14:textId="77777777" w:rsidR="00ED2BB6" w:rsidRDefault="00ED2BB6" w:rsidP="000634BE">
      <w:pPr>
        <w:jc w:val="both"/>
      </w:pPr>
    </w:p>
    <w:p w14:paraId="24BFBF2F" w14:textId="35501B9A" w:rsidR="00223CCC" w:rsidRDefault="00223CCC" w:rsidP="00ED2BB6">
      <w:pPr>
        <w:jc w:val="center"/>
      </w:pPr>
      <w:r>
        <w:rPr>
          <w:noProof/>
        </w:rPr>
        <w:drawing>
          <wp:inline distT="0" distB="0" distL="0" distR="0" wp14:anchorId="52A2E7A6" wp14:editId="335A94BA">
            <wp:extent cx="5354848"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8579" cy="3654675"/>
                    </a:xfrm>
                    <a:prstGeom prst="rect">
                      <a:avLst/>
                    </a:prstGeom>
                  </pic:spPr>
                </pic:pic>
              </a:graphicData>
            </a:graphic>
          </wp:inline>
        </w:drawing>
      </w:r>
    </w:p>
    <w:p w14:paraId="080DB067" w14:textId="77777777" w:rsidR="00972C2F" w:rsidRDefault="00972C2F" w:rsidP="000356B7">
      <w:pPr>
        <w:jc w:val="both"/>
        <w:sectPr w:rsidR="00972C2F">
          <w:pgSz w:w="12240" w:h="15840"/>
          <w:pgMar w:top="1440" w:right="1440" w:bottom="1440" w:left="1440" w:header="720" w:footer="720" w:gutter="0"/>
          <w:cols w:space="720"/>
          <w:docGrid w:linePitch="360"/>
        </w:sectPr>
      </w:pPr>
    </w:p>
    <w:p w14:paraId="071C9BD1" w14:textId="54FC8E7D" w:rsidR="006C0F28" w:rsidRDefault="000D1462" w:rsidP="000356B7">
      <w:pPr>
        <w:pStyle w:val="Heading1"/>
        <w:jc w:val="both"/>
      </w:pPr>
      <w:bookmarkStart w:id="27" w:name="_4._Using_MobCal-MPI"/>
      <w:bookmarkStart w:id="28" w:name="_Toc66269175"/>
      <w:bookmarkEnd w:id="27"/>
      <w:r>
        <w:lastRenderedPageBreak/>
        <w:t>4</w:t>
      </w:r>
      <w:r w:rsidR="006C0F28">
        <w:t>.</w:t>
      </w:r>
      <w:r w:rsidR="00972C2F">
        <w:t xml:space="preserve"> </w:t>
      </w:r>
      <w:r w:rsidR="007F1C37">
        <w:t xml:space="preserve">Running </w:t>
      </w:r>
      <w:r w:rsidR="006C0F28">
        <w:t>CCS Calculations</w:t>
      </w:r>
      <w:r w:rsidR="00972C2F">
        <w:t xml:space="preserve"> </w:t>
      </w:r>
      <w:r w:rsidR="007F1C37">
        <w:t>in MobCal-MPI</w:t>
      </w:r>
      <w:bookmarkEnd w:id="28"/>
    </w:p>
    <w:p w14:paraId="165906D6" w14:textId="1E8AC0A0" w:rsidR="00422819" w:rsidRDefault="00422819" w:rsidP="000356B7">
      <w:pPr>
        <w:jc w:val="both"/>
      </w:pPr>
    </w:p>
    <w:p w14:paraId="4C0C8E0B" w14:textId="72227AF7" w:rsidR="00422819" w:rsidRDefault="00407935" w:rsidP="000356B7">
      <w:pPr>
        <w:pStyle w:val="Heading2"/>
        <w:jc w:val="both"/>
      </w:pPr>
      <w:bookmarkStart w:id="29" w:name="_Toc66269176"/>
      <w:r>
        <w:t>4</w:t>
      </w:r>
      <w:r w:rsidR="00422819">
        <w:t>.1 Compiling MobCal-MPI</w:t>
      </w:r>
      <w:bookmarkEnd w:id="29"/>
    </w:p>
    <w:p w14:paraId="7171EF8A" w14:textId="7E39B76E" w:rsidR="005D6360" w:rsidRPr="005D6360" w:rsidRDefault="00407935" w:rsidP="000356B7">
      <w:pPr>
        <w:pStyle w:val="Heading3"/>
        <w:jc w:val="both"/>
      </w:pPr>
      <w:bookmarkStart w:id="30" w:name="_Toc66269177"/>
      <w:r>
        <w:t>4</w:t>
      </w:r>
      <w:r w:rsidR="005D6360">
        <w:t>.1.1 Compiler version</w:t>
      </w:r>
      <w:bookmarkEnd w:id="30"/>
    </w:p>
    <w:p w14:paraId="6F924257" w14:textId="77777777" w:rsidR="006C0F28" w:rsidRDefault="006C0F28" w:rsidP="000356B7">
      <w:pPr>
        <w:jc w:val="both"/>
      </w:pPr>
    </w:p>
    <w:p w14:paraId="733F0E94" w14:textId="0658D1C2" w:rsidR="0022221D" w:rsidRDefault="00F73FF5" w:rsidP="000356B7">
      <w:pPr>
        <w:jc w:val="both"/>
      </w:pPr>
      <w:r>
        <w:t xml:space="preserve">MobCal-MPI is written in Fortran, and as such, requires the use of legacy Fortran compilers. Most </w:t>
      </w:r>
      <w:proofErr w:type="gramStart"/>
      <w:r>
        <w:t>publicly-funded</w:t>
      </w:r>
      <w:proofErr w:type="gramEnd"/>
      <w:r>
        <w:t xml:space="preserve"> </w:t>
      </w:r>
      <w:r w:rsidR="00B12BD6">
        <w:t>high-performance computing architectures</w:t>
      </w:r>
      <w:r w:rsidR="00DE0A87">
        <w:t xml:space="preserve"> (UNIX platforms)</w:t>
      </w:r>
      <w:r w:rsidR="00B12BD6">
        <w:t xml:space="preserve"> will be equipped with these and the associated documentation. </w:t>
      </w:r>
      <w:r w:rsidR="0022221D">
        <w:t>We recommend using MobCal-MPI on such framework</w:t>
      </w:r>
      <w:r w:rsidR="005E423A">
        <w:t>s</w:t>
      </w:r>
      <w:r w:rsidR="0022221D">
        <w:t xml:space="preserve"> due to the general difficulty associated with </w:t>
      </w:r>
      <w:r w:rsidR="00C65F28">
        <w:t xml:space="preserve">installing Fortran compilers on local systems. </w:t>
      </w:r>
    </w:p>
    <w:p w14:paraId="29D5A321" w14:textId="03DFE0E4" w:rsidR="00C65F28" w:rsidRDefault="00C65F28" w:rsidP="000356B7">
      <w:pPr>
        <w:jc w:val="both"/>
      </w:pPr>
    </w:p>
    <w:p w14:paraId="1C538DE2" w14:textId="2733EE90" w:rsidR="008743AB" w:rsidRDefault="00422819" w:rsidP="000356B7">
      <w:pPr>
        <w:jc w:val="both"/>
      </w:pPr>
      <w:r>
        <w:t xml:space="preserve">Note that we do not provide support related to </w:t>
      </w:r>
      <w:proofErr w:type="spellStart"/>
      <w:r w:rsidR="00EF66EB">
        <w:t>installion</w:t>
      </w:r>
      <w:proofErr w:type="spellEnd"/>
      <w:r w:rsidR="00EF66EB">
        <w:t xml:space="preserve"> of Fortran compilers</w:t>
      </w:r>
      <w:r w:rsidR="003A2413">
        <w:t xml:space="preserve">. However, we recommend matching the compiler version </w:t>
      </w:r>
      <w:r w:rsidR="004F24AC">
        <w:t xml:space="preserve">to the version in which the benchmarks were conducted. </w:t>
      </w:r>
      <w:r w:rsidR="008743AB">
        <w:t xml:space="preserve">Specifically, MobCal-MPI </w:t>
      </w:r>
      <w:r w:rsidR="00237A79">
        <w:t xml:space="preserve">was </w:t>
      </w:r>
      <w:r w:rsidR="00D50491">
        <w:t xml:space="preserve">tested on </w:t>
      </w:r>
      <w:proofErr w:type="spellStart"/>
      <w:r w:rsidR="00D50491">
        <w:t>ComputeCanada</w:t>
      </w:r>
      <w:proofErr w:type="spellEnd"/>
      <w:r w:rsidR="00D50491">
        <w:t xml:space="preserve"> </w:t>
      </w:r>
      <w:r w:rsidR="00BE2960">
        <w:t>clusters (</w:t>
      </w:r>
      <w:hyperlink r:id="rId32" w:history="1">
        <w:r w:rsidR="007C7EDE" w:rsidRPr="0004572D">
          <w:rPr>
            <w:rStyle w:val="Hyperlink"/>
          </w:rPr>
          <w:t>https://docs.computecanada.ca/wiki/MPI</w:t>
        </w:r>
      </w:hyperlink>
      <w:r w:rsidR="007C7EDE">
        <w:t>)</w:t>
      </w:r>
      <w:r w:rsidR="00D50491">
        <w:t xml:space="preserve"> using </w:t>
      </w:r>
      <w:r w:rsidR="002F19C6">
        <w:t xml:space="preserve">the </w:t>
      </w:r>
      <w:proofErr w:type="spellStart"/>
      <w:r w:rsidR="002F19C6">
        <w:t>mpifort</w:t>
      </w:r>
      <w:proofErr w:type="spellEnd"/>
      <w:r w:rsidR="002F19C6">
        <w:t xml:space="preserve"> compiler</w:t>
      </w:r>
      <w:r w:rsidR="00237A79">
        <w:t xml:space="preserve"> (Intel 2016.4)</w:t>
      </w:r>
      <w:r w:rsidR="00E90C7E">
        <w:t xml:space="preserve">. The version info of </w:t>
      </w:r>
      <w:proofErr w:type="spellStart"/>
      <w:r w:rsidR="00E90C7E">
        <w:t>mpifort</w:t>
      </w:r>
      <w:proofErr w:type="spellEnd"/>
      <w:r w:rsidR="00E90C7E">
        <w:t xml:space="preserve"> is shown below:</w:t>
      </w:r>
    </w:p>
    <w:p w14:paraId="4A0B5C74" w14:textId="30E69C24" w:rsidR="00E90C7E" w:rsidRDefault="00E90C7E" w:rsidP="000356B7">
      <w:pPr>
        <w:jc w:val="both"/>
      </w:pPr>
    </w:p>
    <w:p w14:paraId="4042E099" w14:textId="69B60986" w:rsidR="008B4C0F" w:rsidRDefault="008B4C0F" w:rsidP="000356B7">
      <w:pPr>
        <w:jc w:val="both"/>
      </w:pPr>
      <w:r>
        <w:t>[cieritan@gra-login</w:t>
      </w:r>
      <w:proofErr w:type="gramStart"/>
      <w:r>
        <w:t>2]$</w:t>
      </w:r>
      <w:proofErr w:type="gramEnd"/>
      <w:r>
        <w:t xml:space="preserve"> </w:t>
      </w:r>
      <w:proofErr w:type="spellStart"/>
      <w:r>
        <w:t>mpifort</w:t>
      </w:r>
      <w:proofErr w:type="spellEnd"/>
      <w:r>
        <w:t xml:space="preserve"> --version</w:t>
      </w:r>
    </w:p>
    <w:p w14:paraId="60AF12BD" w14:textId="77777777" w:rsidR="008B4C0F" w:rsidRDefault="008B4C0F" w:rsidP="000356B7">
      <w:pPr>
        <w:jc w:val="both"/>
      </w:pPr>
      <w:proofErr w:type="spellStart"/>
      <w:r>
        <w:t>ifort</w:t>
      </w:r>
      <w:proofErr w:type="spellEnd"/>
      <w:r>
        <w:t xml:space="preserve"> (IFORT) 16.0.4 20160811</w:t>
      </w:r>
    </w:p>
    <w:p w14:paraId="1A00EE4B" w14:textId="376ECF9A" w:rsidR="00E90C7E" w:rsidRPr="00104921" w:rsidRDefault="008B4C0F" w:rsidP="000356B7">
      <w:pPr>
        <w:jc w:val="both"/>
      </w:pPr>
      <w:r>
        <w:t>Copyright (C) 1985-2016 Intel Corporation.  All rights reserved.</w:t>
      </w:r>
    </w:p>
    <w:p w14:paraId="23982D2C" w14:textId="1AE71B4E" w:rsidR="006C0F28" w:rsidRDefault="006C0F28" w:rsidP="000356B7">
      <w:pPr>
        <w:jc w:val="both"/>
      </w:pPr>
    </w:p>
    <w:p w14:paraId="240D41E4" w14:textId="1463862E" w:rsidR="005D6360" w:rsidRDefault="00407935" w:rsidP="000356B7">
      <w:pPr>
        <w:pStyle w:val="Heading3"/>
        <w:jc w:val="both"/>
      </w:pPr>
      <w:bookmarkStart w:id="31" w:name="_Toc66269178"/>
      <w:r>
        <w:t>4</w:t>
      </w:r>
      <w:r w:rsidR="005D6360">
        <w:t>.1.</w:t>
      </w:r>
      <w:r w:rsidR="00EF66EB">
        <w:t>2</w:t>
      </w:r>
      <w:r w:rsidR="005D6360">
        <w:t xml:space="preserve"> </w:t>
      </w:r>
      <w:r w:rsidR="0055190A">
        <w:t>Compilation of MobCal-MPI</w:t>
      </w:r>
      <w:bookmarkEnd w:id="31"/>
    </w:p>
    <w:p w14:paraId="58761050" w14:textId="77777777" w:rsidR="00550605" w:rsidRDefault="00550605" w:rsidP="000356B7">
      <w:pPr>
        <w:jc w:val="both"/>
      </w:pPr>
    </w:p>
    <w:p w14:paraId="42A233EB" w14:textId="280B66DE" w:rsidR="0055190A" w:rsidRPr="00841618" w:rsidRDefault="0055190A" w:rsidP="000356B7">
      <w:pPr>
        <w:jc w:val="both"/>
        <w:rPr>
          <w:lang w:val="en-CA"/>
        </w:rPr>
      </w:pPr>
      <w:r>
        <w:t xml:space="preserve">Once the compilers </w:t>
      </w:r>
      <w:r w:rsidR="00E87497">
        <w:t xml:space="preserve">are implemented, </w:t>
      </w:r>
      <w:r>
        <w:t>compil</w:t>
      </w:r>
      <w:r w:rsidR="00E87497">
        <w:t>ation</w:t>
      </w:r>
      <w:r>
        <w:t xml:space="preserve"> MobCal-MPI</w:t>
      </w:r>
      <w:r w:rsidR="00E87497">
        <w:t xml:space="preserve"> is done using the following command:</w:t>
      </w:r>
    </w:p>
    <w:p w14:paraId="07DAE3BF" w14:textId="735FC18B" w:rsidR="00E87497" w:rsidRDefault="00E87497" w:rsidP="000356B7">
      <w:pPr>
        <w:jc w:val="both"/>
      </w:pPr>
    </w:p>
    <w:p w14:paraId="3B90E350" w14:textId="1568FD56" w:rsidR="00E87497" w:rsidRDefault="00E87497" w:rsidP="000356B7">
      <w:pPr>
        <w:jc w:val="both"/>
      </w:pPr>
      <w:proofErr w:type="spellStart"/>
      <w:r>
        <w:t>mpifort</w:t>
      </w:r>
      <w:proofErr w:type="spellEnd"/>
      <w:r>
        <w:t xml:space="preserve"> -o MobCal</w:t>
      </w:r>
      <w:r w:rsidR="001F76A8">
        <w:t>_</w:t>
      </w:r>
      <w:r>
        <w:t xml:space="preserve">MPI.exe </w:t>
      </w:r>
      <w:proofErr w:type="spellStart"/>
      <w:r>
        <w:t>MobCal</w:t>
      </w:r>
      <w:r w:rsidR="001F76A8">
        <w:t>_</w:t>
      </w:r>
      <w:r>
        <w:t>MPI.f</w:t>
      </w:r>
      <w:proofErr w:type="spellEnd"/>
      <w:r>
        <w:t xml:space="preserve"> -</w:t>
      </w:r>
      <w:proofErr w:type="spellStart"/>
      <w:r>
        <w:t>Ofast</w:t>
      </w:r>
      <w:proofErr w:type="spellEnd"/>
    </w:p>
    <w:p w14:paraId="3CE5D7E4" w14:textId="58980B23" w:rsidR="00480C75" w:rsidRDefault="00480C75" w:rsidP="000356B7">
      <w:pPr>
        <w:jc w:val="both"/>
      </w:pPr>
    </w:p>
    <w:p w14:paraId="73AE4A00" w14:textId="1FD7D1AD" w:rsidR="00DB0BD1" w:rsidRDefault="00DB0BD1" w:rsidP="00DB0BD1">
      <w:pPr>
        <w:jc w:val="both"/>
      </w:pPr>
      <w:r>
        <w:t xml:space="preserve">Correct compilation of MobCal-MPI should produce a file named MobCal-MPI.exe without any error messages displayed in the terminal. </w:t>
      </w:r>
    </w:p>
    <w:p w14:paraId="3593AD05" w14:textId="7D61641E" w:rsidR="00A24178" w:rsidRDefault="00A24178" w:rsidP="00DB0BD1">
      <w:pPr>
        <w:jc w:val="both"/>
      </w:pPr>
    </w:p>
    <w:p w14:paraId="1C4AC1CB" w14:textId="7AF95BFD" w:rsidR="00A24178" w:rsidRDefault="00A24178" w:rsidP="00DB0BD1">
      <w:pPr>
        <w:jc w:val="both"/>
      </w:pPr>
    </w:p>
    <w:p w14:paraId="4B4AF18B" w14:textId="15214C6C" w:rsidR="00A24178" w:rsidRDefault="00A24178" w:rsidP="00DB0BD1">
      <w:pPr>
        <w:jc w:val="both"/>
      </w:pPr>
    </w:p>
    <w:p w14:paraId="397D866E" w14:textId="1F9AF079" w:rsidR="00A24178" w:rsidRDefault="00A24178" w:rsidP="00DB0BD1">
      <w:pPr>
        <w:jc w:val="both"/>
      </w:pPr>
    </w:p>
    <w:p w14:paraId="16080283" w14:textId="4C552A0A" w:rsidR="00A24178" w:rsidRDefault="00A24178" w:rsidP="00DB0BD1">
      <w:pPr>
        <w:jc w:val="both"/>
      </w:pPr>
    </w:p>
    <w:p w14:paraId="7A3AA249" w14:textId="3670D6DC" w:rsidR="00A24178" w:rsidRDefault="00A24178" w:rsidP="00DB0BD1">
      <w:pPr>
        <w:jc w:val="both"/>
      </w:pPr>
    </w:p>
    <w:p w14:paraId="21EF9801" w14:textId="77777777" w:rsidR="00A24178" w:rsidRDefault="00A24178" w:rsidP="00DB0BD1">
      <w:pPr>
        <w:jc w:val="both"/>
      </w:pPr>
    </w:p>
    <w:p w14:paraId="2C65F58E" w14:textId="5E8A06ED" w:rsidR="00DB0BD1" w:rsidRDefault="00DB0BD1" w:rsidP="00DB0BD1">
      <w:pPr>
        <w:jc w:val="both"/>
      </w:pPr>
    </w:p>
    <w:p w14:paraId="703890BB" w14:textId="502D8D19" w:rsidR="00DB0BD1" w:rsidRDefault="00407935" w:rsidP="00DB0BD1">
      <w:pPr>
        <w:pStyle w:val="Heading2"/>
      </w:pPr>
      <w:bookmarkStart w:id="32" w:name="_Toc66269179"/>
      <w:r>
        <w:lastRenderedPageBreak/>
        <w:t>4</w:t>
      </w:r>
      <w:r w:rsidR="00DB0BD1">
        <w:t>.2 Running MobCal-MPI</w:t>
      </w:r>
      <w:bookmarkEnd w:id="32"/>
    </w:p>
    <w:p w14:paraId="422A24C7" w14:textId="326CD0D3" w:rsidR="00DB0BD1" w:rsidRDefault="00407935" w:rsidP="00B8047D">
      <w:pPr>
        <w:pStyle w:val="Heading3"/>
      </w:pPr>
      <w:bookmarkStart w:id="33" w:name="_Toc66269180"/>
      <w:r>
        <w:t>4</w:t>
      </w:r>
      <w:r w:rsidR="00B8047D">
        <w:t xml:space="preserve">.2.1 </w:t>
      </w:r>
      <w:r w:rsidR="005732DA">
        <w:t>Submitting a MobCal-MPI job</w:t>
      </w:r>
      <w:bookmarkEnd w:id="33"/>
    </w:p>
    <w:p w14:paraId="481303F7" w14:textId="77777777" w:rsidR="00C81AEC" w:rsidRDefault="00C81AEC" w:rsidP="00A97D93">
      <w:pPr>
        <w:rPr>
          <w:b/>
          <w:bCs/>
        </w:rPr>
      </w:pPr>
    </w:p>
    <w:p w14:paraId="7860CD73" w14:textId="00A7FFF5" w:rsidR="00A97D93" w:rsidRPr="00A97D93" w:rsidRDefault="00A97D93" w:rsidP="00A97D93">
      <w:pPr>
        <w:rPr>
          <w:b/>
          <w:bCs/>
        </w:rPr>
      </w:pPr>
      <w:r>
        <w:rPr>
          <w:b/>
          <w:bCs/>
        </w:rPr>
        <w:t xml:space="preserve">Without a job scheduler: </w:t>
      </w:r>
    </w:p>
    <w:p w14:paraId="1C18CE4A" w14:textId="68FF9E68" w:rsidR="005732DA" w:rsidRDefault="005732DA" w:rsidP="005732DA">
      <w:r>
        <w:t xml:space="preserve">Beyond </w:t>
      </w:r>
      <w:proofErr w:type="gramStart"/>
      <w:r>
        <w:t>the .</w:t>
      </w:r>
      <w:proofErr w:type="spellStart"/>
      <w:r>
        <w:t>mfj</w:t>
      </w:r>
      <w:proofErr w:type="spellEnd"/>
      <w:proofErr w:type="gramEnd"/>
      <w:r>
        <w:t xml:space="preserve"> input file, an additional file is </w:t>
      </w:r>
      <w:r w:rsidR="00CF7D8B">
        <w:t xml:space="preserve">required to submit a MobCal-MPI job. This file can be named anything and does not require a specific extension. </w:t>
      </w:r>
      <w:r>
        <w:t xml:space="preserve"> </w:t>
      </w:r>
      <w:r w:rsidR="003F49EB">
        <w:t xml:space="preserve">The first line of the file should be the name of </w:t>
      </w:r>
      <w:proofErr w:type="gramStart"/>
      <w:r w:rsidR="003F49EB">
        <w:t>the .</w:t>
      </w:r>
      <w:proofErr w:type="spellStart"/>
      <w:r w:rsidR="003F49EB">
        <w:t>mfj</w:t>
      </w:r>
      <w:proofErr w:type="spellEnd"/>
      <w:proofErr w:type="gramEnd"/>
      <w:r w:rsidR="003F49EB">
        <w:t xml:space="preserve"> input file found in the same directory. </w:t>
      </w:r>
      <w:r w:rsidR="00D55E1D">
        <w:t>The second line should be the name of the output file you want the results to print to (.</w:t>
      </w:r>
      <w:proofErr w:type="spellStart"/>
      <w:r w:rsidR="00D55E1D">
        <w:t>mout</w:t>
      </w:r>
      <w:proofErr w:type="spellEnd"/>
      <w:r w:rsidR="00D55E1D">
        <w:t xml:space="preserve">). For example, if I had an input file called AMIFOSTINE_3.mfj and I wanted to </w:t>
      </w:r>
      <w:r w:rsidR="0010250E">
        <w:t>calculate its CCS, the job submission file should look like:</w:t>
      </w:r>
    </w:p>
    <w:p w14:paraId="316CDB04" w14:textId="381AFD1F" w:rsidR="0010250E" w:rsidRDefault="0010250E" w:rsidP="005732DA"/>
    <w:p w14:paraId="7E6D71D7" w14:textId="35D924DF" w:rsidR="0010250E" w:rsidRDefault="0010250E" w:rsidP="005732DA">
      <w:r>
        <w:t>AMIFOSTINE_3.mfj</w:t>
      </w:r>
    </w:p>
    <w:p w14:paraId="66684212" w14:textId="63FB4630" w:rsidR="0010250E" w:rsidRDefault="0010250E" w:rsidP="005732DA">
      <w:r>
        <w:t>AMIFOSTINE_</w:t>
      </w:r>
      <w:proofErr w:type="gramStart"/>
      <w:r>
        <w:t>3.mout</w:t>
      </w:r>
      <w:proofErr w:type="gramEnd"/>
    </w:p>
    <w:p w14:paraId="39C084BE" w14:textId="29B136AE" w:rsidR="0010250E" w:rsidRDefault="0010250E" w:rsidP="005732DA"/>
    <w:p w14:paraId="0E8B79E5" w14:textId="3638FF45" w:rsidR="0010250E" w:rsidRDefault="0010250E" w:rsidP="005732DA">
      <w:r>
        <w:t>Each CCS calculation requires its own job submission file. Scripts are useful in this regard.</w:t>
      </w:r>
    </w:p>
    <w:p w14:paraId="5B499AD0" w14:textId="31C50EA1" w:rsidR="0010250E" w:rsidRDefault="0010250E" w:rsidP="005732DA"/>
    <w:p w14:paraId="6FCF13FF" w14:textId="15F56FEE" w:rsidR="0010250E" w:rsidRDefault="0010250E" w:rsidP="005732DA">
      <w:r>
        <w:t xml:space="preserve">To submit the </w:t>
      </w:r>
      <w:r w:rsidR="00796AEE">
        <w:t>file to MobCal-MPI</w:t>
      </w:r>
      <w:r w:rsidR="00D04E96">
        <w:t xml:space="preserve"> </w:t>
      </w:r>
      <w:r w:rsidR="00D04E96">
        <w:rPr>
          <w:b/>
          <w:bCs/>
        </w:rPr>
        <w:t>on a single core</w:t>
      </w:r>
      <w:r w:rsidR="00796AEE">
        <w:t>, use the following command. Assu</w:t>
      </w:r>
      <w:r w:rsidR="00D04E96">
        <w:t>ming the job submission file is called AMIFOSTINE_3.sub:</w:t>
      </w:r>
    </w:p>
    <w:p w14:paraId="6602AF4D" w14:textId="100C0952" w:rsidR="00796AEE" w:rsidRDefault="00796AEE" w:rsidP="005732DA"/>
    <w:p w14:paraId="38CE5B4B" w14:textId="77CB7B72" w:rsidR="00796AEE" w:rsidRDefault="00796AEE" w:rsidP="005732DA">
      <w:r>
        <w:t>./MobCal</w:t>
      </w:r>
      <w:r w:rsidR="001F76A8">
        <w:t>_</w:t>
      </w:r>
      <w:r>
        <w:t xml:space="preserve">MPI.exe </w:t>
      </w:r>
      <w:r w:rsidR="00D04E96">
        <w:t>AMIFOSTINE_3.sub</w:t>
      </w:r>
    </w:p>
    <w:p w14:paraId="0281AD45" w14:textId="77777777" w:rsidR="00D04E96" w:rsidRDefault="00D04E96" w:rsidP="00D04E96"/>
    <w:p w14:paraId="31E6A095" w14:textId="52F2A185" w:rsidR="00D04E96" w:rsidRDefault="00D04E96" w:rsidP="00D04E96">
      <w:r>
        <w:t xml:space="preserve">To submit the file to MobCal-MPI </w:t>
      </w:r>
      <w:r w:rsidR="001623BE">
        <w:rPr>
          <w:b/>
          <w:bCs/>
        </w:rPr>
        <w:t>using</w:t>
      </w:r>
      <w:r>
        <w:rPr>
          <w:b/>
          <w:bCs/>
        </w:rPr>
        <w:t xml:space="preserve"> multiple cores</w:t>
      </w:r>
      <w:r>
        <w:t xml:space="preserve">, use the syntax native to your system to request multiple computing cores. For example, to run on 8 cores: </w:t>
      </w:r>
    </w:p>
    <w:p w14:paraId="6EE0CEB2" w14:textId="416681AB" w:rsidR="00D04E96" w:rsidRDefault="00D04E96" w:rsidP="005732DA"/>
    <w:p w14:paraId="6F05B51D" w14:textId="544BAEE3" w:rsidR="00D04E96" w:rsidRDefault="00D04E96" w:rsidP="00D04E96">
      <w:r>
        <w:t>./MobCal</w:t>
      </w:r>
      <w:r w:rsidR="001F76A8">
        <w:t>_</w:t>
      </w:r>
      <w:r>
        <w:t>MPI.exe -n 8 AMIFOSTINE_3.sub</w:t>
      </w:r>
    </w:p>
    <w:p w14:paraId="14895278" w14:textId="77777777" w:rsidR="00D04E96" w:rsidRPr="0010250E" w:rsidRDefault="00D04E96" w:rsidP="005732DA"/>
    <w:p w14:paraId="1409A14E" w14:textId="756B056D" w:rsidR="007B69C2" w:rsidRDefault="00C81AEC" w:rsidP="000356B7">
      <w:pPr>
        <w:jc w:val="both"/>
        <w:rPr>
          <w:b/>
          <w:bCs/>
        </w:rPr>
      </w:pPr>
      <w:r>
        <w:rPr>
          <w:b/>
          <w:bCs/>
        </w:rPr>
        <w:t xml:space="preserve">With a job scheduler: </w:t>
      </w:r>
    </w:p>
    <w:p w14:paraId="23B50670" w14:textId="383917AE" w:rsidR="00C81AEC" w:rsidRDefault="00C81AEC" w:rsidP="000356B7">
      <w:pPr>
        <w:jc w:val="both"/>
      </w:pPr>
      <w:r>
        <w:t>Submission of MobCal-MPI jobs with a job scheduler is just as easy as without one. Using the same format for the job submission file, a sample bash script compatible with SLURM schedulers, as used on Compute Canada</w:t>
      </w:r>
      <w:r w:rsidR="003C113E">
        <w:t xml:space="preserve"> (</w:t>
      </w:r>
      <w:hyperlink r:id="rId33" w:history="1">
        <w:r w:rsidR="003C113E" w:rsidRPr="00116072">
          <w:rPr>
            <w:rStyle w:val="Hyperlink"/>
          </w:rPr>
          <w:t>https://docs.computecanada.ca/wiki/Running_jobs</w:t>
        </w:r>
      </w:hyperlink>
      <w:r w:rsidR="003C113E">
        <w:t>), is provided</w:t>
      </w:r>
      <w:r w:rsidR="005C5609">
        <w:t xml:space="preserve"> </w:t>
      </w:r>
      <w:r w:rsidR="000C4F76" w:rsidRPr="0046246D">
        <w:t>(</w:t>
      </w:r>
      <w:r w:rsidR="005C5609" w:rsidRPr="0046246D">
        <w:rPr>
          <w:b/>
          <w:bCs/>
        </w:rPr>
        <w:t>runmob_MPI.sh</w:t>
      </w:r>
      <w:r w:rsidR="000C4F76" w:rsidRPr="0046246D">
        <w:t>).</w:t>
      </w:r>
      <w:r w:rsidR="000C4F76">
        <w:t xml:space="preserve"> </w:t>
      </w:r>
    </w:p>
    <w:p w14:paraId="014E4223" w14:textId="00D36B90" w:rsidR="000C4F76" w:rsidRDefault="000C4F76" w:rsidP="000356B7">
      <w:pPr>
        <w:jc w:val="both"/>
      </w:pPr>
    </w:p>
    <w:p w14:paraId="49D22211" w14:textId="65B7DB9C" w:rsidR="004D5F15" w:rsidRDefault="00654574" w:rsidP="000356B7">
      <w:pPr>
        <w:jc w:val="both"/>
      </w:pPr>
      <w:r>
        <w:t>Note that execution of bash scripts requires changing file permissions to enable execution. Using runmob_MPI.sh as the example submission script</w:t>
      </w:r>
      <w:r w:rsidR="001C63BC">
        <w:t>, changing permissions and execution is done by the following commands:</w:t>
      </w:r>
    </w:p>
    <w:p w14:paraId="5970DE31" w14:textId="5A08D491" w:rsidR="001C63BC" w:rsidRDefault="001C63BC" w:rsidP="000356B7">
      <w:pPr>
        <w:jc w:val="both"/>
      </w:pPr>
    </w:p>
    <w:p w14:paraId="1FCFA58E" w14:textId="331AE455" w:rsidR="001C63BC" w:rsidRDefault="001C63BC" w:rsidP="000356B7">
      <w:pPr>
        <w:jc w:val="both"/>
      </w:pPr>
      <w:proofErr w:type="spellStart"/>
      <w:r>
        <w:t>chmod</w:t>
      </w:r>
      <w:proofErr w:type="spellEnd"/>
      <w:r>
        <w:t xml:space="preserve"> </w:t>
      </w:r>
      <w:proofErr w:type="spellStart"/>
      <w:r>
        <w:t>a+x</w:t>
      </w:r>
      <w:proofErr w:type="spellEnd"/>
      <w:r>
        <w:t xml:space="preserve"> runmob_MPI.sh</w:t>
      </w:r>
    </w:p>
    <w:p w14:paraId="03C7539C" w14:textId="7D4B0871" w:rsidR="001C63BC" w:rsidRDefault="001C63BC" w:rsidP="000356B7">
      <w:pPr>
        <w:jc w:val="both"/>
      </w:pPr>
      <w:r>
        <w:t>./runmob_MPI.sh</w:t>
      </w:r>
    </w:p>
    <w:p w14:paraId="428FC07A" w14:textId="77777777" w:rsidR="00A24178" w:rsidRDefault="00A24178" w:rsidP="000356B7">
      <w:pPr>
        <w:jc w:val="both"/>
      </w:pPr>
    </w:p>
    <w:p w14:paraId="55DE29E1" w14:textId="7FA72F48" w:rsidR="001C63BC" w:rsidRDefault="001C63BC" w:rsidP="000356B7">
      <w:pPr>
        <w:jc w:val="both"/>
      </w:pPr>
    </w:p>
    <w:p w14:paraId="4BCDE3F4" w14:textId="34AED8CA" w:rsidR="00A24178" w:rsidRDefault="00A24178" w:rsidP="000356B7">
      <w:pPr>
        <w:jc w:val="both"/>
      </w:pPr>
    </w:p>
    <w:p w14:paraId="32BF8C5C" w14:textId="73D14A4F" w:rsidR="00A24178" w:rsidRDefault="00A24178" w:rsidP="000356B7">
      <w:pPr>
        <w:jc w:val="both"/>
      </w:pPr>
    </w:p>
    <w:p w14:paraId="3F1CB6BB" w14:textId="397E0E04" w:rsidR="00A24178" w:rsidRDefault="00A24178" w:rsidP="000356B7">
      <w:pPr>
        <w:jc w:val="both"/>
      </w:pPr>
    </w:p>
    <w:p w14:paraId="33EC6EFE" w14:textId="4C3D8AE5" w:rsidR="00A24178" w:rsidRDefault="00A24178" w:rsidP="000356B7">
      <w:pPr>
        <w:jc w:val="both"/>
      </w:pPr>
    </w:p>
    <w:p w14:paraId="7006477C" w14:textId="77777777" w:rsidR="00A24178" w:rsidRPr="00C81AEC" w:rsidRDefault="00A24178" w:rsidP="000356B7">
      <w:pPr>
        <w:jc w:val="both"/>
      </w:pPr>
    </w:p>
    <w:p w14:paraId="75A13BF6" w14:textId="0CFCDD5F" w:rsidR="007B69C2" w:rsidRDefault="005F072B" w:rsidP="000356B7">
      <w:pPr>
        <w:pStyle w:val="Heading3"/>
        <w:jc w:val="both"/>
      </w:pPr>
      <w:bookmarkStart w:id="34" w:name="_Toc66269181"/>
      <w:r>
        <w:lastRenderedPageBreak/>
        <w:t>***</w:t>
      </w:r>
      <w:r w:rsidR="00407935">
        <w:t>4</w:t>
      </w:r>
      <w:r w:rsidR="007B69C2">
        <w:t>.</w:t>
      </w:r>
      <w:r w:rsidR="005732DA">
        <w:t>2.2</w:t>
      </w:r>
      <w:r w:rsidR="007B69C2">
        <w:t xml:space="preserve"> Verifying </w:t>
      </w:r>
      <w:r w:rsidR="000C4F76">
        <w:t>proper performance</w:t>
      </w:r>
      <w:r w:rsidR="007B69C2">
        <w:t xml:space="preserve"> of MobCal-</w:t>
      </w:r>
      <w:proofErr w:type="gramStart"/>
      <w:r w:rsidR="007B69C2">
        <w:t>MPI</w:t>
      </w:r>
      <w:bookmarkEnd w:id="34"/>
      <w:proofErr w:type="gramEnd"/>
    </w:p>
    <w:p w14:paraId="344D3D21" w14:textId="77777777" w:rsidR="00550605" w:rsidRDefault="00550605" w:rsidP="000356B7">
      <w:pPr>
        <w:jc w:val="both"/>
      </w:pPr>
    </w:p>
    <w:p w14:paraId="3F88E28E" w14:textId="77777777" w:rsidR="00047BA4" w:rsidRDefault="00B6155E" w:rsidP="000356B7">
      <w:pPr>
        <w:jc w:val="both"/>
      </w:pPr>
      <w:r w:rsidRPr="00841618">
        <w:t xml:space="preserve">It has been reported that the use of optimization flags when compiling </w:t>
      </w:r>
      <w:r w:rsidR="00841618" w:rsidRPr="00841618">
        <w:t>MobCal</w:t>
      </w:r>
      <w:r w:rsidR="00841618">
        <w:t xml:space="preserve">-MPI can cause erroneous </w:t>
      </w:r>
      <w:proofErr w:type="spellStart"/>
      <w:r w:rsidR="00841618">
        <w:t>behaviour</w:t>
      </w:r>
      <w:proofErr w:type="spellEnd"/>
      <w:r w:rsidR="00841618">
        <w:t xml:space="preserve">. This bug has been fixed in </w:t>
      </w:r>
      <w:r w:rsidR="00841618" w:rsidRPr="00841618">
        <w:rPr>
          <w:b/>
          <w:bCs/>
        </w:rPr>
        <w:t>Version 1.2</w:t>
      </w:r>
      <w:r w:rsidR="00032D59">
        <w:t>.</w:t>
      </w:r>
      <w:r w:rsidR="009E3D30">
        <w:t xml:space="preserve"> </w:t>
      </w:r>
      <w:r w:rsidR="00032D59">
        <w:t>Ho</w:t>
      </w:r>
      <w:r w:rsidR="009E3D30">
        <w:t xml:space="preserve">wever, we still recommend </w:t>
      </w:r>
      <w:r w:rsidR="00032D59">
        <w:t xml:space="preserve">you conduct CCS calculations on the test files provided and verify that the CCSs </w:t>
      </w:r>
      <w:r w:rsidR="00047BA4">
        <w:t>correspond with that of the reference file to within</w:t>
      </w:r>
      <w:r w:rsidR="00250466">
        <w:t xml:space="preserve"> standard deviation</w:t>
      </w:r>
      <w:r w:rsidR="00047BA4">
        <w:t xml:space="preserve">. </w:t>
      </w:r>
    </w:p>
    <w:p w14:paraId="17748DFF" w14:textId="77777777" w:rsidR="00047BA4" w:rsidRDefault="00047BA4" w:rsidP="000356B7">
      <w:pPr>
        <w:jc w:val="both"/>
      </w:pPr>
    </w:p>
    <w:p w14:paraId="2DEACBF0" w14:textId="56C3DD34" w:rsidR="00834BA9" w:rsidRDefault="00047BA4" w:rsidP="000356B7">
      <w:pPr>
        <w:jc w:val="both"/>
      </w:pPr>
      <w:r>
        <w:t>Test files are provided with MobCal-MPI in</w:t>
      </w:r>
      <w:r w:rsidR="00250466">
        <w:t xml:space="preserve"> </w:t>
      </w:r>
      <w:r w:rsidR="00A35DC8">
        <w:t xml:space="preserve">both the </w:t>
      </w:r>
      <w:proofErr w:type="spellStart"/>
      <w:r w:rsidR="00A35DC8" w:rsidRPr="00D10FDF">
        <w:rPr>
          <w:b/>
          <w:bCs/>
        </w:rPr>
        <w:t>GUI_Samples_files</w:t>
      </w:r>
      <w:proofErr w:type="spellEnd"/>
      <w:r w:rsidR="00A35DC8">
        <w:t xml:space="preserve"> folder (under </w:t>
      </w:r>
      <w:proofErr w:type="spellStart"/>
      <w:r w:rsidR="00A35DC8" w:rsidRPr="00D10FDF">
        <w:rPr>
          <w:b/>
          <w:bCs/>
        </w:rPr>
        <w:t>mfj_creator</w:t>
      </w:r>
      <w:proofErr w:type="spellEnd"/>
      <w:r w:rsidR="00A35DC8">
        <w:t>) and</w:t>
      </w:r>
      <w:r>
        <w:t xml:space="preserve"> </w:t>
      </w:r>
      <w:r w:rsidR="00E61F71">
        <w:t xml:space="preserve">in the </w:t>
      </w:r>
      <w:proofErr w:type="spellStart"/>
      <w:r w:rsidR="00E61F71" w:rsidRPr="00D10FDF">
        <w:rPr>
          <w:b/>
          <w:bCs/>
        </w:rPr>
        <w:t>Compiler_flags_test</w:t>
      </w:r>
      <w:proofErr w:type="spellEnd"/>
      <w:r w:rsidR="00E61F71">
        <w:t xml:space="preserve"> folder using </w:t>
      </w:r>
      <w:proofErr w:type="spellStart"/>
      <w:r w:rsidR="00E61F71">
        <w:t>mpifort</w:t>
      </w:r>
      <w:proofErr w:type="spellEnd"/>
      <w:r w:rsidR="00E61F71">
        <w:t xml:space="preserve"> and mpif90 (an older compiler) with several optimization flags (O1, O2, O3, </w:t>
      </w:r>
      <w:proofErr w:type="spellStart"/>
      <w:r w:rsidR="00E61F71">
        <w:t>Ofast</w:t>
      </w:r>
      <w:proofErr w:type="spellEnd"/>
      <w:r w:rsidR="00E61F71">
        <w:t xml:space="preserve">). </w:t>
      </w:r>
    </w:p>
    <w:p w14:paraId="3309F6A6" w14:textId="20480138" w:rsidR="003F1124" w:rsidRDefault="003F1124" w:rsidP="000356B7">
      <w:pPr>
        <w:jc w:val="both"/>
      </w:pPr>
    </w:p>
    <w:p w14:paraId="05637CB1" w14:textId="1C953B83" w:rsidR="003F1124" w:rsidRDefault="003F1124" w:rsidP="000356B7">
      <w:pPr>
        <w:jc w:val="both"/>
      </w:pPr>
      <w:r>
        <w:t>To verify that MobCal-MPI is performing correctly, please look at the tables of calculated values for:</w:t>
      </w:r>
    </w:p>
    <w:p w14:paraId="2418E064" w14:textId="696520F6" w:rsidR="003F1124" w:rsidRDefault="003F1124" w:rsidP="000356B7">
      <w:pPr>
        <w:jc w:val="both"/>
      </w:pPr>
    </w:p>
    <w:p w14:paraId="67AE65E4" w14:textId="22C12663" w:rsidR="003F1124" w:rsidRDefault="00BF12A1" w:rsidP="00CD7F33">
      <w:pPr>
        <w:pStyle w:val="ListParagraph"/>
        <w:numPr>
          <w:ilvl w:val="0"/>
          <w:numId w:val="13"/>
        </w:numPr>
        <w:jc w:val="both"/>
      </w:pPr>
      <w:proofErr w:type="spellStart"/>
      <w:r>
        <w:t>pgst</w:t>
      </w:r>
      <w:proofErr w:type="spellEnd"/>
    </w:p>
    <w:p w14:paraId="66EA58A3" w14:textId="62B81332" w:rsidR="00BF12A1" w:rsidRDefault="00BF12A1" w:rsidP="00CD7F33">
      <w:pPr>
        <w:pStyle w:val="ListParagraph"/>
        <w:numPr>
          <w:ilvl w:val="0"/>
          <w:numId w:val="13"/>
        </w:numPr>
        <w:jc w:val="both"/>
      </w:pPr>
      <w:proofErr w:type="spellStart"/>
      <w:r>
        <w:t>wgst</w:t>
      </w:r>
      <w:proofErr w:type="spellEnd"/>
    </w:p>
    <w:p w14:paraId="4AC5449F" w14:textId="7F96C775" w:rsidR="00BF12A1" w:rsidRDefault="00BF12A1" w:rsidP="00CD7F33">
      <w:pPr>
        <w:pStyle w:val="ListParagraph"/>
        <w:numPr>
          <w:ilvl w:val="0"/>
          <w:numId w:val="13"/>
        </w:numPr>
        <w:jc w:val="both"/>
      </w:pPr>
      <w:r>
        <w:t>v</w:t>
      </w:r>
    </w:p>
    <w:p w14:paraId="566EBDD3" w14:textId="4D057B22" w:rsidR="00BF12A1" w:rsidRDefault="00BF12A1" w:rsidP="00CD7F33">
      <w:pPr>
        <w:pStyle w:val="ListParagraph"/>
        <w:numPr>
          <w:ilvl w:val="0"/>
          <w:numId w:val="13"/>
        </w:numPr>
        <w:jc w:val="both"/>
      </w:pPr>
      <w:proofErr w:type="spellStart"/>
      <w:r>
        <w:t>ke</w:t>
      </w:r>
      <w:proofErr w:type="spellEnd"/>
      <w:r>
        <w:t>/kt</w:t>
      </w:r>
    </w:p>
    <w:p w14:paraId="66519799" w14:textId="26C49EC0" w:rsidR="00BF12A1" w:rsidRDefault="00BF12A1" w:rsidP="00CD7F33">
      <w:pPr>
        <w:pStyle w:val="ListParagraph"/>
        <w:numPr>
          <w:ilvl w:val="0"/>
          <w:numId w:val="13"/>
        </w:numPr>
        <w:jc w:val="both"/>
      </w:pPr>
      <w:r>
        <w:t>gst^5 * exp(gst^2/</w:t>
      </w:r>
      <w:proofErr w:type="spellStart"/>
      <w:r>
        <w:t>tst</w:t>
      </w:r>
      <w:proofErr w:type="spellEnd"/>
      <w:r>
        <w:t>)</w:t>
      </w:r>
    </w:p>
    <w:p w14:paraId="600AE179" w14:textId="3D04C62C" w:rsidR="00BF12A1" w:rsidRDefault="00BF12A1" w:rsidP="00CD7F33">
      <w:pPr>
        <w:pStyle w:val="ListParagraph"/>
        <w:numPr>
          <w:ilvl w:val="0"/>
          <w:numId w:val="13"/>
        </w:numPr>
        <w:jc w:val="both"/>
      </w:pPr>
      <w:r>
        <w:t>frac of sum</w:t>
      </w:r>
    </w:p>
    <w:p w14:paraId="7B336B0F" w14:textId="7F5FAACE" w:rsidR="00BF12A1" w:rsidRDefault="00BF12A1" w:rsidP="00CD7F33">
      <w:pPr>
        <w:pStyle w:val="ListParagraph"/>
        <w:numPr>
          <w:ilvl w:val="0"/>
          <w:numId w:val="13"/>
        </w:numPr>
        <w:jc w:val="both"/>
      </w:pPr>
      <w:proofErr w:type="spellStart"/>
      <w:r>
        <w:t>gst</w:t>
      </w:r>
      <w:proofErr w:type="spellEnd"/>
    </w:p>
    <w:p w14:paraId="142890B5" w14:textId="383BD713" w:rsidR="00BB7799" w:rsidRDefault="00BB7799" w:rsidP="00CD7F33">
      <w:pPr>
        <w:pStyle w:val="ListParagraph"/>
        <w:numPr>
          <w:ilvl w:val="0"/>
          <w:numId w:val="13"/>
        </w:numPr>
        <w:jc w:val="both"/>
      </w:pPr>
      <w:r>
        <w:t>b2max/ro2</w:t>
      </w:r>
    </w:p>
    <w:p w14:paraId="6AB6D1A3" w14:textId="0BC58F02" w:rsidR="00BB7799" w:rsidRDefault="00BB7799" w:rsidP="00CD7F33">
      <w:pPr>
        <w:pStyle w:val="ListParagraph"/>
        <w:numPr>
          <w:ilvl w:val="0"/>
          <w:numId w:val="13"/>
        </w:numPr>
        <w:jc w:val="both"/>
      </w:pPr>
      <w:r>
        <w:t>b/A</w:t>
      </w:r>
    </w:p>
    <w:p w14:paraId="6A40491F" w14:textId="32434765" w:rsidR="00BF12A1" w:rsidRPr="00A24178" w:rsidRDefault="00A24178" w:rsidP="00BF12A1">
      <w:pPr>
        <w:ind w:left="360"/>
        <w:jc w:val="both"/>
      </w:pPr>
      <w:r w:rsidRPr="00A24178">
        <w:t>average TM cross section</w:t>
      </w:r>
      <w:r>
        <w:t xml:space="preserve"> (</w:t>
      </w:r>
      <w:r>
        <w:rPr>
          <w:i/>
          <w:iCs/>
        </w:rPr>
        <w:t>i.e.</w:t>
      </w:r>
      <w:r>
        <w:t>, CCS)</w:t>
      </w:r>
    </w:p>
    <w:p w14:paraId="13813FCE" w14:textId="64505754" w:rsidR="00834BA9" w:rsidRDefault="00834BA9" w:rsidP="000356B7">
      <w:pPr>
        <w:jc w:val="both"/>
      </w:pPr>
    </w:p>
    <w:p w14:paraId="16AD2A8C" w14:textId="348E4329" w:rsidR="00834BA9" w:rsidRDefault="002A0337" w:rsidP="000356B7">
      <w:pPr>
        <w:jc w:val="both"/>
      </w:pPr>
      <w:r w:rsidRPr="00D10FDF">
        <w:rPr>
          <w:b/>
          <w:bCs/>
        </w:rPr>
        <w:t>If the</w:t>
      </w:r>
      <w:r w:rsidR="00834BA9">
        <w:rPr>
          <w:b/>
          <w:bCs/>
        </w:rPr>
        <w:t>se entries and the</w:t>
      </w:r>
      <w:r w:rsidRPr="00D10FDF">
        <w:rPr>
          <w:b/>
          <w:bCs/>
        </w:rPr>
        <w:t xml:space="preserve"> CCSs</w:t>
      </w:r>
      <w:r w:rsidR="00700935" w:rsidRPr="00D10FDF">
        <w:rPr>
          <w:b/>
          <w:bCs/>
        </w:rPr>
        <w:t xml:space="preserve"> to not match</w:t>
      </w:r>
      <w:r w:rsidR="00D10FDF" w:rsidRPr="00D10FDF">
        <w:rPr>
          <w:b/>
          <w:bCs/>
        </w:rPr>
        <w:t xml:space="preserve"> with these test files</w:t>
      </w:r>
      <w:r w:rsidR="00700935">
        <w:t xml:space="preserve">, please report this in the Issues section and/or contact us </w:t>
      </w:r>
      <w:r w:rsidR="003E4BFD">
        <w:t>by email</w:t>
      </w:r>
      <w:r w:rsidR="00700935">
        <w:t xml:space="preserve"> </w:t>
      </w:r>
      <w:hyperlink r:id="rId34" w:history="1">
        <w:r w:rsidR="00700935" w:rsidRPr="00116072">
          <w:rPr>
            <w:rStyle w:val="Hyperlink"/>
          </w:rPr>
          <w:t>cieritan@uwaterloo.ca</w:t>
        </w:r>
      </w:hyperlink>
      <w:r w:rsidR="00700935">
        <w:t xml:space="preserve"> </w:t>
      </w:r>
      <w:r w:rsidR="003E4BFD">
        <w:t xml:space="preserve">and </w:t>
      </w:r>
      <w:hyperlink r:id="rId35" w:history="1">
        <w:r w:rsidR="003E4BFD" w:rsidRPr="00116072">
          <w:rPr>
            <w:rStyle w:val="Hyperlink"/>
          </w:rPr>
          <w:t>shopkins@uwaterloo.ca</w:t>
        </w:r>
      </w:hyperlink>
      <w:r w:rsidR="003E4BFD">
        <w:t>.</w:t>
      </w:r>
      <w:r w:rsidR="00834BA9">
        <w:t xml:space="preserve"> When contacting us, please ensure you attach </w:t>
      </w:r>
      <w:proofErr w:type="gramStart"/>
      <w:r w:rsidR="00834BA9">
        <w:t xml:space="preserve">the </w:t>
      </w:r>
      <w:r w:rsidR="0022089A">
        <w:t>.</w:t>
      </w:r>
      <w:proofErr w:type="spellStart"/>
      <w:r w:rsidR="0022089A">
        <w:t>mfj</w:t>
      </w:r>
      <w:proofErr w:type="spellEnd"/>
      <w:proofErr w:type="gramEnd"/>
      <w:r w:rsidR="0022089A">
        <w:t xml:space="preserve"> input, .</w:t>
      </w:r>
      <w:proofErr w:type="spellStart"/>
      <w:r w:rsidR="0022089A">
        <w:t>mout</w:t>
      </w:r>
      <w:proofErr w:type="spellEnd"/>
      <w:r w:rsidR="0022089A">
        <w:t xml:space="preserve"> output, and include the compiler type and version number used.</w:t>
      </w:r>
    </w:p>
    <w:p w14:paraId="7122106C" w14:textId="77777777" w:rsidR="00834BA9" w:rsidRDefault="00834BA9" w:rsidP="000356B7">
      <w:pPr>
        <w:jc w:val="both"/>
      </w:pPr>
    </w:p>
    <w:p w14:paraId="46121C4A" w14:textId="1D34B0B0" w:rsidR="002A0337" w:rsidRDefault="003E4BFD" w:rsidP="000356B7">
      <w:pPr>
        <w:jc w:val="both"/>
      </w:pPr>
      <w:r>
        <w:t>MobCal-MPI can still be used</w:t>
      </w:r>
      <w:r w:rsidR="0022089A">
        <w:t xml:space="preserve"> if this compilation error </w:t>
      </w:r>
      <w:proofErr w:type="gramStart"/>
      <w:r w:rsidR="0022089A">
        <w:t>persists</w:t>
      </w:r>
      <w:r>
        <w:t>, but</w:t>
      </w:r>
      <w:proofErr w:type="gramEnd"/>
      <w:r>
        <w:t xml:space="preserve"> will require recompilation without the use of compilation flags. To do this, use the following command on </w:t>
      </w:r>
      <w:proofErr w:type="spellStart"/>
      <w:r w:rsidRPr="00400A87">
        <w:rPr>
          <w:b/>
          <w:bCs/>
        </w:rPr>
        <w:t>MobCal</w:t>
      </w:r>
      <w:r w:rsidR="001F76A8">
        <w:rPr>
          <w:b/>
          <w:bCs/>
        </w:rPr>
        <w:t>_</w:t>
      </w:r>
      <w:r w:rsidRPr="00400A87">
        <w:rPr>
          <w:b/>
          <w:bCs/>
        </w:rPr>
        <w:t>MPI.f</w:t>
      </w:r>
      <w:proofErr w:type="spellEnd"/>
      <w:r w:rsidR="00400A87">
        <w:t>:</w:t>
      </w:r>
    </w:p>
    <w:p w14:paraId="029CB2FE" w14:textId="508B7E02" w:rsidR="00400A87" w:rsidRDefault="00400A87" w:rsidP="000356B7">
      <w:pPr>
        <w:jc w:val="both"/>
      </w:pPr>
    </w:p>
    <w:p w14:paraId="126DF45D" w14:textId="555111C6" w:rsidR="00400A87" w:rsidRPr="007B69C2" w:rsidRDefault="00CC7E04" w:rsidP="000356B7">
      <w:pPr>
        <w:jc w:val="both"/>
      </w:pPr>
      <w:proofErr w:type="spellStart"/>
      <w:r>
        <w:t>m</w:t>
      </w:r>
      <w:r w:rsidR="00617B0A">
        <w:t>pifort</w:t>
      </w:r>
      <w:proofErr w:type="spellEnd"/>
      <w:r w:rsidR="00617B0A">
        <w:t xml:space="preserve"> -o MobCal</w:t>
      </w:r>
      <w:r w:rsidR="001F76A8">
        <w:t>_</w:t>
      </w:r>
      <w:r w:rsidR="00617B0A">
        <w:t xml:space="preserve">MPI.exe </w:t>
      </w:r>
      <w:proofErr w:type="spellStart"/>
      <w:r w:rsidR="00617B0A">
        <w:t>MobCal</w:t>
      </w:r>
      <w:r w:rsidR="001F76A8">
        <w:t>_</w:t>
      </w:r>
      <w:r w:rsidR="00617B0A">
        <w:t>MPI.f</w:t>
      </w:r>
      <w:proofErr w:type="spellEnd"/>
    </w:p>
    <w:p w14:paraId="6A04EBEB" w14:textId="77777777" w:rsidR="001C63BC" w:rsidRDefault="001C63BC" w:rsidP="000356B7">
      <w:pPr>
        <w:jc w:val="both"/>
        <w:sectPr w:rsidR="001C63BC">
          <w:pgSz w:w="12240" w:h="15840"/>
          <w:pgMar w:top="1440" w:right="1440" w:bottom="1440" w:left="1440" w:header="720" w:footer="720" w:gutter="0"/>
          <w:cols w:space="720"/>
          <w:docGrid w:linePitch="360"/>
        </w:sectPr>
      </w:pPr>
    </w:p>
    <w:p w14:paraId="5C6312CF" w14:textId="4C6F18CD" w:rsidR="00D979B3" w:rsidRPr="00D979B3" w:rsidRDefault="00D979B3" w:rsidP="000356B7">
      <w:pPr>
        <w:pStyle w:val="Heading1"/>
        <w:jc w:val="both"/>
      </w:pPr>
      <w:bookmarkStart w:id="35" w:name="_Appendix_A_–"/>
      <w:bookmarkStart w:id="36" w:name="_Toc66269182"/>
      <w:bookmarkEnd w:id="35"/>
      <w:r>
        <w:lastRenderedPageBreak/>
        <w:t>Appendix A – Setting up Gaussian calculations for use with MobCal-</w:t>
      </w:r>
      <w:proofErr w:type="gramStart"/>
      <w:r>
        <w:t>MPI</w:t>
      </w:r>
      <w:bookmarkEnd w:id="36"/>
      <w:proofErr w:type="gramEnd"/>
      <w:r>
        <w:t xml:space="preserve"> </w:t>
      </w:r>
    </w:p>
    <w:p w14:paraId="02F20EF5" w14:textId="77777777" w:rsidR="00710F52" w:rsidRDefault="00710F52" w:rsidP="000356B7">
      <w:pPr>
        <w:jc w:val="both"/>
      </w:pPr>
    </w:p>
    <w:p w14:paraId="29E4E9D4" w14:textId="3641CFAB" w:rsidR="00FB2672" w:rsidRDefault="001C63BC" w:rsidP="000356B7">
      <w:pPr>
        <w:jc w:val="both"/>
      </w:pPr>
      <w:r>
        <w:t>Appendix A outlines the basic procedure for exploring the potential energy surface (PES) of a</w:t>
      </w:r>
      <w:r w:rsidR="009F5902">
        <w:t xml:space="preserve"> molecule to generate a series of local minima. </w:t>
      </w:r>
      <w:r w:rsidR="00710F52">
        <w:t xml:space="preserve">The </w:t>
      </w:r>
      <w:r w:rsidR="009F5902">
        <w:t>geometries</w:t>
      </w:r>
      <w:r w:rsidR="00710F52">
        <w:t xml:space="preserve"> of these local minima</w:t>
      </w:r>
      <w:r w:rsidR="009F5902">
        <w:t xml:space="preserve"> and </w:t>
      </w:r>
      <w:r w:rsidR="009A2EEC">
        <w:t xml:space="preserve">their </w:t>
      </w:r>
      <w:r w:rsidR="009F5902">
        <w:t xml:space="preserve">electrostatic potentials are refined at higher levels of computational theory, namely using Density Functional Theory (DFT), </w:t>
      </w:r>
      <w:r w:rsidR="009A2EEC">
        <w:t xml:space="preserve">to generate candidate structures for </w:t>
      </w:r>
      <w:r w:rsidR="006E3839">
        <w:t xml:space="preserve">the gas-phase ensemble. These DFT optimized structures serve as the basis for generation of MobCal-MPI input files. </w:t>
      </w:r>
    </w:p>
    <w:p w14:paraId="15C8B38F" w14:textId="4F9D1FA8" w:rsidR="00F07956" w:rsidRDefault="00F07956" w:rsidP="000356B7">
      <w:pPr>
        <w:jc w:val="both"/>
      </w:pPr>
    </w:p>
    <w:p w14:paraId="59D45E66" w14:textId="43883BFE" w:rsidR="00F07956" w:rsidRDefault="00F07956" w:rsidP="000356B7">
      <w:pPr>
        <w:jc w:val="both"/>
      </w:pPr>
      <w:r>
        <w:t>This guide walks you through use of the Basin-Hopping (BH) algorithm</w:t>
      </w:r>
      <w:r w:rsidR="001E48A7">
        <w:t>, a custom code developed by the Hopkins group,</w:t>
      </w:r>
      <w:r>
        <w:t xml:space="preserve"> for exploring the potential energy </w:t>
      </w:r>
      <w:r w:rsidR="00345439">
        <w:t>landscape</w:t>
      </w:r>
      <w:r w:rsidR="001E48A7">
        <w:t xml:space="preserve"> of a molecule</w:t>
      </w:r>
      <w:r w:rsidR="00BA6F8C">
        <w:t xml:space="preserve"> (A1)</w:t>
      </w:r>
      <w:r w:rsidR="001E48A7">
        <w:t>.</w:t>
      </w:r>
      <w:r w:rsidR="00C7188B">
        <w:t xml:space="preserve"> </w:t>
      </w:r>
      <w:r w:rsidR="00BA6F8C">
        <w:t xml:space="preserve">Local minima identified by this routine are ported to the Gaussian16 computational chemistry suite for refinement at higher level of theory (A2). A discussion of appropriate levels of computational theory </w:t>
      </w:r>
      <w:r w:rsidR="00744186">
        <w:t xml:space="preserve">that are compatible with MobCal-MPI is provided (A3), with specific recommendations for calculation methods provided in </w:t>
      </w:r>
      <w:hyperlink w:anchor="_A2.2_–_What" w:history="1">
        <w:r w:rsidR="007526F3" w:rsidRPr="00551FBB">
          <w:rPr>
            <w:rStyle w:val="Hyperlink"/>
          </w:rPr>
          <w:t>Appendix</w:t>
        </w:r>
        <w:r w:rsidR="00744186" w:rsidRPr="00551FBB">
          <w:rPr>
            <w:rStyle w:val="Hyperlink"/>
          </w:rPr>
          <w:t xml:space="preserve"> A</w:t>
        </w:r>
        <w:r w:rsidR="00551FBB" w:rsidRPr="00551FBB">
          <w:rPr>
            <w:rStyle w:val="Hyperlink"/>
          </w:rPr>
          <w:t>2</w:t>
        </w:r>
        <w:r w:rsidR="007526F3" w:rsidRPr="00551FBB">
          <w:rPr>
            <w:rStyle w:val="Hyperlink"/>
          </w:rPr>
          <w:t>.2</w:t>
        </w:r>
      </w:hyperlink>
      <w:r w:rsidR="007526F3">
        <w:t xml:space="preserve">. </w:t>
      </w:r>
    </w:p>
    <w:p w14:paraId="582D839B" w14:textId="6E027382" w:rsidR="00B72A9A" w:rsidRDefault="00031CE3" w:rsidP="00031CE3">
      <w:pPr>
        <w:pStyle w:val="Heading2"/>
      </w:pPr>
      <w:bookmarkStart w:id="37" w:name="_Toc66269183"/>
      <w:r>
        <w:t>A1</w:t>
      </w:r>
      <w:r w:rsidR="00B31E5A">
        <w:t>.</w:t>
      </w:r>
      <w:r w:rsidR="00423BE4">
        <w:t xml:space="preserve"> </w:t>
      </w:r>
      <w:r w:rsidR="008B244A">
        <w:t>Exploring the potential energy surface (PES)</w:t>
      </w:r>
      <w:bookmarkEnd w:id="37"/>
      <w:r w:rsidR="00423BE4">
        <w:t xml:space="preserve"> </w:t>
      </w:r>
    </w:p>
    <w:p w14:paraId="6F162A60" w14:textId="6813CE42" w:rsidR="00252025" w:rsidRPr="00252025" w:rsidRDefault="00252025" w:rsidP="00252025">
      <w:pPr>
        <w:pStyle w:val="Heading3"/>
      </w:pPr>
      <w:bookmarkStart w:id="38" w:name="_Toc66269184"/>
      <w:r>
        <w:t>A1.1 Basin</w:t>
      </w:r>
      <w:r w:rsidR="00811421">
        <w:t xml:space="preserve">-Hopping (BH) to generate local </w:t>
      </w:r>
      <w:proofErr w:type="gramStart"/>
      <w:r w:rsidR="00811421">
        <w:t>minima</w:t>
      </w:r>
      <w:bookmarkEnd w:id="38"/>
      <w:proofErr w:type="gramEnd"/>
    </w:p>
    <w:p w14:paraId="7EC81316" w14:textId="0143E22E" w:rsidR="00B31E5A" w:rsidRDefault="00B31E5A" w:rsidP="001C63BC">
      <w:pPr>
        <w:jc w:val="both"/>
      </w:pPr>
    </w:p>
    <w:p w14:paraId="2448AEF7" w14:textId="4206A106" w:rsidR="00966881" w:rsidRDefault="00966881" w:rsidP="001C63BC">
      <w:pPr>
        <w:jc w:val="both"/>
      </w:pPr>
      <w:r>
        <w:t>Since</w:t>
      </w:r>
      <w:r w:rsidR="00B667D3">
        <w:t xml:space="preserve"> the ion swarm probed during an IMS experiment consists of an ensemble </w:t>
      </w:r>
      <w:r w:rsidR="00645C75">
        <w:t>of structures, a series of local minima shoul</w:t>
      </w:r>
      <w:r w:rsidR="00DF5BE9">
        <w:t xml:space="preserve">d contribute to the calculated CCS. In the regard, weighting the contribution of </w:t>
      </w:r>
      <w:r w:rsidR="00FB29B5">
        <w:t>an isomer’s CCS by their relative population (</w:t>
      </w:r>
      <w:r w:rsidR="00FB29B5">
        <w:rPr>
          <w:i/>
          <w:iCs/>
        </w:rPr>
        <w:t>i.e.</w:t>
      </w:r>
      <w:r w:rsidR="00FB29B5">
        <w:t>, Boltzmann-weighted CCS)</w:t>
      </w:r>
      <w:r w:rsidR="00A02E12">
        <w:t xml:space="preserve"> allows for </w:t>
      </w:r>
      <w:r w:rsidR="001B5F92">
        <w:t xml:space="preserve">trajectory-method </w:t>
      </w:r>
      <w:r w:rsidR="00A02E12">
        <w:t xml:space="preserve">CCS calculations using frozen-core inputs. </w:t>
      </w:r>
    </w:p>
    <w:p w14:paraId="135C3B39" w14:textId="5458BD97" w:rsidR="001B5F92" w:rsidRDefault="001B5F92" w:rsidP="001C63BC">
      <w:pPr>
        <w:jc w:val="both"/>
      </w:pPr>
    </w:p>
    <w:p w14:paraId="6B6E396C" w14:textId="17B7E15E" w:rsidR="001B5F92" w:rsidRDefault="00E95B61" w:rsidP="001C63BC">
      <w:pPr>
        <w:jc w:val="both"/>
      </w:pPr>
      <w:r>
        <w:t>Candidate</w:t>
      </w:r>
      <w:r w:rsidR="001B5F92">
        <w:t xml:space="preserve"> structures are generated by exploring the PES of the analyte using the basin-hopping (BH) algorithm. The BH method can be envisioned as a guided walk along the potential energy landscape, </w:t>
      </w:r>
      <w:r w:rsidR="007304AF">
        <w:t xml:space="preserve">where molecules are distorted along their rotatable dihedral angles and subsequently optimized at a low-level of computational theory (molecular mechanics or semi-empirical). </w:t>
      </w:r>
    </w:p>
    <w:p w14:paraId="5AABCF7B" w14:textId="0C4377EE" w:rsidR="00CF2C6A" w:rsidRDefault="00CF2C6A" w:rsidP="001C63BC">
      <w:pPr>
        <w:jc w:val="both"/>
      </w:pPr>
    </w:p>
    <w:p w14:paraId="729793DA" w14:textId="5A563E45" w:rsidR="00CF2C6A" w:rsidRDefault="00CF2C6A" w:rsidP="00CF2C6A">
      <w:pPr>
        <w:jc w:val="both"/>
      </w:pPr>
      <w:r w:rsidRPr="00CF2C6A">
        <w:t>Basin-hopping is used to locate minima on a PES through applying local minimization of a molecular system given the initial coordinates X (Equation 1</w:t>
      </w:r>
      <w:r w:rsidR="004F4E66">
        <w:t>2</w:t>
      </w:r>
      <w:r w:rsidRPr="00CF2C6A">
        <w:t>).</w:t>
      </w:r>
      <w:r w:rsidRPr="00CF2C6A">
        <w:fldChar w:fldCharType="begin" w:fldLock="1"/>
      </w:r>
      <w:r w:rsidR="00DA5C32">
        <w:instrText>ADDIN CSL_CITATION {"citationItems":[{"id":"ITEM-1","itemData":{"DOI":"10.1017/cbo9780511721724","abstract":"Many research groups are now attempting to understand how the properties of systems ranging from small molecules to proteins and glasses are determined by the energy landscape. This book provides a self-contained account of energy landscape theory and how it is applied in studies of clusters, biomolecules and glasses. Beautifully illustrated in full color, the volume is geared to graduate students as well as professionals.","author":[{"dropping-particle":"","family":"Wales","given":"David","non-dropping-particle":"","parse-names":false,"suffix":""}],"container-title":"Energy Landscapes","id":"ITEM-1","issued":{"date-parts":[["2004"]]},"publisher":"Cambridge University Press","title":"Energy Landscapes","type":"book"},"uris":["http://www.mendeley.com/documents/?uuid=15a5c672-cc9c-444c-8408-448548eb1e5d","http://www.mendeley.com/documents/?uuid=05b29bce-3b5c-4e18-ae3f-3897445f108e"]}],"mendeley":{"formattedCitation":"&lt;sup&gt;28&lt;/sup&gt;","plainTextFormattedCitation":"28","previouslyFormattedCitation":"&lt;sup&gt;28&lt;/sup&gt;"},"properties":{"noteIndex":0},"schema":"https://github.com/citation-style-language/schema/raw/master/csl-citation.json"}</w:instrText>
      </w:r>
      <w:r w:rsidRPr="00CF2C6A">
        <w:fldChar w:fldCharType="separate"/>
      </w:r>
      <w:r w:rsidR="009B1EF1" w:rsidRPr="009B1EF1">
        <w:rPr>
          <w:noProof/>
          <w:vertAlign w:val="superscript"/>
        </w:rPr>
        <w:t>28</w:t>
      </w:r>
      <w:r w:rsidRPr="00CF2C6A">
        <w:fldChar w:fldCharType="end"/>
      </w:r>
      <w:r w:rsidRPr="00CF2C6A">
        <w:t xml:space="preserve"> </w:t>
      </w:r>
    </w:p>
    <w:p w14:paraId="48C8EC4E" w14:textId="5F1E59A8" w:rsidR="00FA502B" w:rsidRDefault="00FA502B" w:rsidP="00CF2C6A">
      <w:pPr>
        <w:jc w:val="both"/>
      </w:pPr>
    </w:p>
    <w:tbl>
      <w:tblPr>
        <w:tblStyle w:val="TableGrid"/>
        <w:tblW w:w="9365" w:type="dxa"/>
        <w:tblInd w:w="-5" w:type="dxa"/>
        <w:tblLook w:val="04A0" w:firstRow="1" w:lastRow="0" w:firstColumn="1" w:lastColumn="0" w:noHBand="0" w:noVBand="1"/>
      </w:tblPr>
      <w:tblGrid>
        <w:gridCol w:w="761"/>
        <w:gridCol w:w="7659"/>
        <w:gridCol w:w="945"/>
      </w:tblGrid>
      <w:tr w:rsidR="00FA502B" w:rsidRPr="00F14A94" w14:paraId="61409ACC" w14:textId="77777777" w:rsidTr="00690C6C">
        <w:tc>
          <w:tcPr>
            <w:tcW w:w="761" w:type="dxa"/>
            <w:tcBorders>
              <w:top w:val="nil"/>
              <w:left w:val="nil"/>
              <w:bottom w:val="nil"/>
              <w:right w:val="nil"/>
            </w:tcBorders>
          </w:tcPr>
          <w:p w14:paraId="1A7F6AC8" w14:textId="77777777" w:rsidR="00FA502B" w:rsidRPr="00F14A94" w:rsidRDefault="00FA502B" w:rsidP="00FE49A5">
            <w:pPr>
              <w:tabs>
                <w:tab w:val="left" w:pos="3119"/>
              </w:tabs>
              <w:spacing w:line="480" w:lineRule="auto"/>
              <w:jc w:val="both"/>
            </w:pPr>
          </w:p>
        </w:tc>
        <w:tc>
          <w:tcPr>
            <w:tcW w:w="7659" w:type="dxa"/>
            <w:tcBorders>
              <w:top w:val="nil"/>
              <w:left w:val="nil"/>
              <w:bottom w:val="nil"/>
              <w:right w:val="nil"/>
            </w:tcBorders>
          </w:tcPr>
          <w:p w14:paraId="0E4AA452" w14:textId="77777777" w:rsidR="004F4E66" w:rsidRPr="00306EA1" w:rsidRDefault="00B22392" w:rsidP="004F4E66">
            <w:pPr>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e>
                </m:func>
              </m:oMath>
            </m:oMathPara>
          </w:p>
          <w:p w14:paraId="45C27060" w14:textId="290A617C" w:rsidR="00FA502B" w:rsidRPr="00FA502B" w:rsidRDefault="00FA502B" w:rsidP="00FE49A5">
            <w:pPr>
              <w:pStyle w:val="Caption"/>
              <w:keepNext/>
              <w:jc w:val="both"/>
              <w:rPr>
                <w:sz w:val="22"/>
                <w:szCs w:val="22"/>
              </w:rPr>
            </w:pPr>
          </w:p>
        </w:tc>
        <w:tc>
          <w:tcPr>
            <w:tcW w:w="945" w:type="dxa"/>
            <w:tcBorders>
              <w:top w:val="nil"/>
              <w:left w:val="nil"/>
              <w:bottom w:val="nil"/>
              <w:right w:val="nil"/>
            </w:tcBorders>
          </w:tcPr>
          <w:p w14:paraId="4F5DEC57" w14:textId="3D06ACA0" w:rsidR="00FA502B" w:rsidRPr="00F14A94" w:rsidRDefault="00FA502B" w:rsidP="00FE49A5">
            <w:pPr>
              <w:pStyle w:val="Caption"/>
              <w:keepNext/>
              <w:jc w:val="both"/>
              <w:rPr>
                <w:sz w:val="22"/>
                <w:szCs w:val="22"/>
              </w:rPr>
            </w:pPr>
            <w:r w:rsidRPr="00F14A94">
              <w:rPr>
                <w:sz w:val="22"/>
                <w:szCs w:val="22"/>
              </w:rPr>
              <w:t xml:space="preserve">Eq </w:t>
            </w:r>
            <w:r w:rsidRPr="00F14A94">
              <w:rPr>
                <w:sz w:val="22"/>
                <w:szCs w:val="22"/>
              </w:rPr>
              <w:fldChar w:fldCharType="begin"/>
            </w:r>
            <w:r w:rsidRPr="00F14A94">
              <w:rPr>
                <w:sz w:val="22"/>
                <w:szCs w:val="22"/>
              </w:rPr>
              <w:instrText xml:space="preserve"> SEQ Equation \* ARABIC </w:instrText>
            </w:r>
            <w:r w:rsidRPr="00F14A94">
              <w:rPr>
                <w:sz w:val="22"/>
                <w:szCs w:val="22"/>
              </w:rPr>
              <w:fldChar w:fldCharType="separate"/>
            </w:r>
            <w:r w:rsidR="00DB5CF9">
              <w:rPr>
                <w:noProof/>
                <w:sz w:val="22"/>
                <w:szCs w:val="22"/>
              </w:rPr>
              <w:t>12</w:t>
            </w:r>
            <w:r w:rsidRPr="00F14A94">
              <w:rPr>
                <w:sz w:val="22"/>
                <w:szCs w:val="22"/>
              </w:rPr>
              <w:fldChar w:fldCharType="end"/>
            </w:r>
          </w:p>
        </w:tc>
      </w:tr>
    </w:tbl>
    <w:p w14:paraId="0C899C94" w14:textId="0A8E47C9" w:rsidR="00CF2C6A" w:rsidRPr="00CF2C6A" w:rsidRDefault="00CF2C6A" w:rsidP="00CF2C6A">
      <w:pPr>
        <w:jc w:val="both"/>
      </w:pPr>
      <w:r w:rsidRPr="00CF2C6A">
        <w:rPr>
          <w:rFonts w:ascii="Cambria" w:hAnsi="Cambria" w:cs="Cambria"/>
        </w:rPr>
        <w:t>Ṽ</w:t>
      </w:r>
      <w:r w:rsidRPr="00CF2C6A">
        <w:t>(X) is associated with the local minimum energy found by performing a geometry optimization at any point along the PES (</w:t>
      </w:r>
      <w:r w:rsidRPr="00CF2C6A">
        <w:rPr>
          <w:i/>
        </w:rPr>
        <w:t>i.e.</w:t>
      </w:r>
      <w:r w:rsidRPr="00CF2C6A">
        <w:t xml:space="preserve">, X). Sampling and optimizing at various points </w:t>
      </w:r>
      <w:proofErr w:type="gramStart"/>
      <w:r w:rsidRPr="00CF2C6A">
        <w:t>allows</w:t>
      </w:r>
      <w:proofErr w:type="gramEnd"/>
      <w:r w:rsidRPr="00CF2C6A">
        <w:t xml:space="preserve"> us to project the potential energy landscape into a series of catchment basins (Figure </w:t>
      </w:r>
      <w:r w:rsidR="004F4E66">
        <w:t>S1</w:t>
      </w:r>
      <w:r w:rsidRPr="00CF2C6A">
        <w:t>), where each plateau corresponds to a unique local minimum. Instead of a formal Monte Carlo</w:t>
      </w:r>
      <w:r w:rsidRPr="00CF2C6A">
        <w:fldChar w:fldCharType="begin" w:fldLock="1"/>
      </w:r>
      <w:r w:rsidR="00DA5C32">
        <w:instrText>ADDIN CSL_CITATION {"citationItems":[{"id":"ITEM-1","itemData":{"DOI":"10.1063/1.1699114","ISSN":"00219606","abstract":"A general method, suitable for fast computing machines, for investigating such properties as equations of state for substances consisting of interacting individual molecules is described. The method consists of a modified Monte Carlo integration over configuration space. Results for the two-dimensional rigid-sphere system have been obtained on the Los Alamos MANIAC and are presented here. These results are compared to the free volume equation of state and to a four-term virial coefficient expansion.","author":[{"dropping-particle":"","family":"Metropolis","given":"Nicholas","non-dropping-particle":"","parse-names":false,"suffix":""},{"dropping-particle":"","family":"Rosenbluth","given":"Arianna W.","non-dropping-particle":"","parse-names":false,"suffix":""},{"dropping-particle":"","family":"Rosenbluth","given":"Marshall N.","non-dropping-particle":"","parse-names":false,"suffix":""},{"dropping-particle":"","family":"Teller","given":"Augusta H.","non-dropping-particle":"","parse-names":false,"suffix":""},{"dropping-particle":"","family":"Teller","given":"Edward","non-dropping-particle":"","parse-names":false,"suffix":""}],"container-title":"The Journal of Chemical Physics","id":"ITEM-1","issue":"6","issued":{"date-parts":[["1953"]]},"note":"monte carlo method sampling","page":"1087-1092","title":"Equation of state calculations by fast computing machines","type":"article-journal","volume":"21"},"uris":["http://www.mendeley.com/documents/?uuid=37eb3b15-031e-444a-bdd1-ef2e05d9001b"]}],"mendeley":{"formattedCitation":"&lt;sup&gt;29&lt;/sup&gt;","plainTextFormattedCitation":"29","previouslyFormattedCitation":"&lt;sup&gt;29&lt;/sup&gt;"},"properties":{"noteIndex":0},"schema":"https://github.com/citation-style-language/schema/raw/master/csl-citation.json"}</w:instrText>
      </w:r>
      <w:r w:rsidRPr="00CF2C6A">
        <w:fldChar w:fldCharType="separate"/>
      </w:r>
      <w:r w:rsidR="009B1EF1" w:rsidRPr="009B1EF1">
        <w:rPr>
          <w:noProof/>
          <w:vertAlign w:val="superscript"/>
        </w:rPr>
        <w:t>29</w:t>
      </w:r>
      <w:r w:rsidRPr="00CF2C6A">
        <w:fldChar w:fldCharType="end"/>
      </w:r>
      <w:r w:rsidRPr="00CF2C6A">
        <w:t xml:space="preserve"> based sampling of the PES, random distortions along the nuclear coordinates are instead directed towards lower energy conformations. In other words, the sampling of the PES can be thought of a ‘random, but targeted’ walk along the potential energy landscape towards the global minimum (GM).</w:t>
      </w:r>
    </w:p>
    <w:p w14:paraId="1648944A" w14:textId="77777777" w:rsidR="00CF2C6A" w:rsidRPr="00CF2C6A" w:rsidRDefault="00CF2C6A" w:rsidP="004163C1">
      <w:pPr>
        <w:jc w:val="center"/>
      </w:pPr>
      <w:r w:rsidRPr="00CF2C6A">
        <w:rPr>
          <w:noProof/>
        </w:rPr>
        <w:lastRenderedPageBreak/>
        <w:drawing>
          <wp:inline distT="0" distB="0" distL="0" distR="0" wp14:anchorId="7297A602" wp14:editId="4D026E97">
            <wp:extent cx="4057650" cy="2611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8812" cy="2734945"/>
                    </a:xfrm>
                    <a:prstGeom prst="rect">
                      <a:avLst/>
                    </a:prstGeom>
                  </pic:spPr>
                </pic:pic>
              </a:graphicData>
            </a:graphic>
          </wp:inline>
        </w:drawing>
      </w:r>
    </w:p>
    <w:p w14:paraId="29DD8D64" w14:textId="77777777" w:rsidR="004163C1" w:rsidRDefault="004163C1" w:rsidP="00CF2C6A">
      <w:pPr>
        <w:jc w:val="both"/>
      </w:pPr>
      <w:bookmarkStart w:id="39" w:name="_Toc505961400"/>
      <w:bookmarkStart w:id="40" w:name="_Toc507610947"/>
    </w:p>
    <w:p w14:paraId="796D8909" w14:textId="34B6A7B2" w:rsidR="00CF2C6A" w:rsidRPr="00CF2C6A" w:rsidRDefault="00CF2C6A" w:rsidP="00CF2C6A">
      <w:pPr>
        <w:jc w:val="both"/>
      </w:pPr>
      <w:r w:rsidRPr="00CF2C6A">
        <w:rPr>
          <w:b/>
          <w:bCs/>
        </w:rPr>
        <w:t>Figure</w:t>
      </w:r>
      <w:r w:rsidR="004163C1" w:rsidRPr="004163C1">
        <w:rPr>
          <w:b/>
          <w:bCs/>
        </w:rPr>
        <w:t xml:space="preserve"> S1.</w:t>
      </w:r>
      <w:r w:rsidRPr="00CF2C6A">
        <w:t xml:space="preserve"> </w:t>
      </w:r>
      <w:bookmarkEnd w:id="39"/>
      <w:r w:rsidRPr="00CF2C6A">
        <w:t xml:space="preserve">Projection of the potential energy landscape generates a series of catchment basins which correspond to energies of various local </w:t>
      </w:r>
      <w:proofErr w:type="gramStart"/>
      <w:r w:rsidRPr="00CF2C6A">
        <w:t>minima</w:t>
      </w:r>
      <w:bookmarkEnd w:id="40"/>
      <w:proofErr w:type="gramEnd"/>
    </w:p>
    <w:p w14:paraId="7A2F1A46" w14:textId="77777777" w:rsidR="00CF2C6A" w:rsidRPr="00CF2C6A" w:rsidRDefault="00CF2C6A" w:rsidP="00CF2C6A">
      <w:pPr>
        <w:jc w:val="both"/>
      </w:pPr>
    </w:p>
    <w:p w14:paraId="7C0FE0F1" w14:textId="634ECC94" w:rsidR="00CF2C6A" w:rsidRDefault="00CF2C6A" w:rsidP="00CF2C6A">
      <w:pPr>
        <w:jc w:val="both"/>
      </w:pPr>
      <w:r w:rsidRPr="00CF2C6A">
        <w:t xml:space="preserve">To accomplish this targeted </w:t>
      </w:r>
      <w:proofErr w:type="spellStart"/>
      <w:r w:rsidRPr="00CF2C6A">
        <w:t>behaviour</w:t>
      </w:r>
      <w:proofErr w:type="spellEnd"/>
      <w:r w:rsidRPr="00CF2C6A">
        <w:t>, each iteration of the BH routine perturbs the current cluster coordinates and performs a geometric optimization to obtain a new minimum with energy V</w:t>
      </w:r>
      <w:r w:rsidRPr="00CF2C6A">
        <w:rPr>
          <w:vertAlign w:val="subscript"/>
        </w:rPr>
        <w:t xml:space="preserve">i </w:t>
      </w:r>
      <w:r w:rsidRPr="00CF2C6A">
        <w:t>(Figure</w:t>
      </w:r>
      <w:r w:rsidR="004163C1">
        <w:t> S2</w:t>
      </w:r>
      <w:r w:rsidRPr="00CF2C6A">
        <w:t xml:space="preserve">). The optimized structure is accepted if it meets one of the following criteria: </w:t>
      </w:r>
    </w:p>
    <w:p w14:paraId="610B4625" w14:textId="77777777" w:rsidR="004163C1" w:rsidRPr="00CF2C6A" w:rsidRDefault="004163C1" w:rsidP="00CF2C6A">
      <w:pPr>
        <w:jc w:val="both"/>
      </w:pPr>
    </w:p>
    <w:p w14:paraId="083584F3" w14:textId="77777777" w:rsidR="00CF2C6A" w:rsidRPr="00CF2C6A" w:rsidRDefault="00CF2C6A" w:rsidP="00CF2C6A">
      <w:pPr>
        <w:numPr>
          <w:ilvl w:val="0"/>
          <w:numId w:val="12"/>
        </w:numPr>
        <w:jc w:val="both"/>
      </w:pPr>
      <w:r w:rsidRPr="00CF2C6A">
        <w:t>The energy of the current step is lower than the energy of the current GM (</w:t>
      </w:r>
      <w:r w:rsidRPr="00CF2C6A">
        <w:rPr>
          <w:i/>
        </w:rPr>
        <w:t>i.e.</w:t>
      </w:r>
      <w:r w:rsidRPr="00CF2C6A">
        <w:t>, V</w:t>
      </w:r>
      <w:r w:rsidRPr="00CF2C6A">
        <w:rPr>
          <w:vertAlign w:val="subscript"/>
        </w:rPr>
        <w:t>i</w:t>
      </w:r>
      <w:r w:rsidRPr="00CF2C6A">
        <w:t xml:space="preserve"> &lt; V</w:t>
      </w:r>
      <w:r w:rsidRPr="00CF2C6A">
        <w:rPr>
          <w:vertAlign w:val="subscript"/>
        </w:rPr>
        <w:t>GM</w:t>
      </w:r>
      <w:r w:rsidRPr="00CF2C6A">
        <w:t>)</w:t>
      </w:r>
    </w:p>
    <w:p w14:paraId="083A1A73" w14:textId="088EF5C0" w:rsidR="00CF2C6A" w:rsidRDefault="00CF2C6A" w:rsidP="00CF2C6A">
      <w:pPr>
        <w:numPr>
          <w:ilvl w:val="0"/>
          <w:numId w:val="12"/>
        </w:numPr>
        <w:jc w:val="both"/>
      </w:pPr>
      <w:r w:rsidRPr="00CF2C6A">
        <w:t>If V</w:t>
      </w:r>
      <w:r w:rsidRPr="00CF2C6A">
        <w:rPr>
          <w:vertAlign w:val="subscript"/>
        </w:rPr>
        <w:t>i</w:t>
      </w:r>
      <w:r w:rsidRPr="00CF2C6A">
        <w:t xml:space="preserve"> &gt; V</w:t>
      </w:r>
      <w:r w:rsidRPr="00CF2C6A">
        <w:rPr>
          <w:vertAlign w:val="subscript"/>
        </w:rPr>
        <w:t>GM</w:t>
      </w:r>
      <w:r w:rsidRPr="00CF2C6A">
        <w:t>, the step is accepted with a probability proportional to a Boltzmann distribution at a pre-specified temperature (</w:t>
      </w:r>
      <w:r w:rsidRPr="00CF2C6A">
        <w:rPr>
          <w:i/>
        </w:rPr>
        <w:t>i.e.</w:t>
      </w:r>
      <w:r w:rsidRPr="00CF2C6A">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oMath>
      <w:r w:rsidRPr="00CF2C6A">
        <w:t>)</w:t>
      </w:r>
    </w:p>
    <w:p w14:paraId="6F768756" w14:textId="77777777" w:rsidR="004163C1" w:rsidRPr="00CF2C6A" w:rsidRDefault="004163C1" w:rsidP="004163C1">
      <w:pPr>
        <w:ind w:left="720"/>
        <w:jc w:val="both"/>
      </w:pPr>
    </w:p>
    <w:p w14:paraId="38155BC9" w14:textId="77777777" w:rsidR="00CF2C6A" w:rsidRPr="00CF2C6A" w:rsidRDefault="00CF2C6A" w:rsidP="00CF2C6A">
      <w:pPr>
        <w:jc w:val="both"/>
      </w:pPr>
      <w:r w:rsidRPr="00CF2C6A">
        <w:t xml:space="preserve">If a step fails to meet either criteria, the iteration is discarded, and a new step is proposed by geometric distortion from the original structure. Owing to the second acceptance condition, the steps between adjacent minima are not completely biased to go in any </w:t>
      </w:r>
      <w:proofErr w:type="gramStart"/>
      <w:r w:rsidRPr="00CF2C6A">
        <w:t>particular direction</w:t>
      </w:r>
      <w:proofErr w:type="gramEnd"/>
      <w:r w:rsidRPr="00CF2C6A">
        <w:t xml:space="preserve"> along the PES. Thus, this approach allows for random sampling of the PES, but with a low-energy trajectory guided towards a global minimum candidate. </w:t>
      </w:r>
    </w:p>
    <w:p w14:paraId="266EF5BA" w14:textId="77777777" w:rsidR="00CF2C6A" w:rsidRPr="00CF2C6A" w:rsidRDefault="00CF2C6A" w:rsidP="004163C1">
      <w:pPr>
        <w:jc w:val="center"/>
      </w:pPr>
      <w:r w:rsidRPr="00CF2C6A">
        <w:rPr>
          <w:noProof/>
        </w:rPr>
        <w:lastRenderedPageBreak/>
        <w:drawing>
          <wp:inline distT="0" distB="0" distL="0" distR="0" wp14:anchorId="2EBBF2E4" wp14:editId="3F41E477">
            <wp:extent cx="5983890" cy="4714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Lst>
                    </a:blip>
                    <a:stretch>
                      <a:fillRect/>
                    </a:stretch>
                  </pic:blipFill>
                  <pic:spPr>
                    <a:xfrm>
                      <a:off x="0" y="0"/>
                      <a:ext cx="5993119" cy="4722147"/>
                    </a:xfrm>
                    <a:prstGeom prst="rect">
                      <a:avLst/>
                    </a:prstGeom>
                  </pic:spPr>
                </pic:pic>
              </a:graphicData>
            </a:graphic>
          </wp:inline>
        </w:drawing>
      </w:r>
    </w:p>
    <w:p w14:paraId="09D5B3E5" w14:textId="19016609" w:rsidR="00CF2C6A" w:rsidRPr="00CF2C6A" w:rsidRDefault="00CF2C6A" w:rsidP="00CF2C6A">
      <w:pPr>
        <w:jc w:val="both"/>
      </w:pPr>
      <w:bookmarkStart w:id="41" w:name="_Toc505961401"/>
      <w:bookmarkStart w:id="42" w:name="_Toc507610948"/>
      <w:r w:rsidRPr="00CF2C6A">
        <w:rPr>
          <w:b/>
          <w:bCs/>
        </w:rPr>
        <w:t>Figure</w:t>
      </w:r>
      <w:r w:rsidR="004163C1" w:rsidRPr="004163C1">
        <w:rPr>
          <w:b/>
          <w:bCs/>
        </w:rPr>
        <w:t> S2.</w:t>
      </w:r>
      <w:r w:rsidRPr="00CF2C6A">
        <w:t xml:space="preserve"> A flowchart of the BH algorithm</w:t>
      </w:r>
      <w:bookmarkEnd w:id="41"/>
      <w:r w:rsidRPr="00CF2C6A">
        <w:t>. The routine loops through this cycle until the number of steps specified are completed.</w:t>
      </w:r>
      <w:bookmarkEnd w:id="42"/>
    </w:p>
    <w:p w14:paraId="66630B11" w14:textId="77777777" w:rsidR="00CF2C6A" w:rsidRPr="00CF2C6A" w:rsidRDefault="00CF2C6A" w:rsidP="00CF2C6A">
      <w:pPr>
        <w:jc w:val="both"/>
      </w:pPr>
    </w:p>
    <w:p w14:paraId="00AC71D5" w14:textId="5084E6B0" w:rsidR="00CF2C6A" w:rsidRDefault="00CF2C6A" w:rsidP="00CF2C6A">
      <w:pPr>
        <w:jc w:val="both"/>
      </w:pPr>
      <w:r w:rsidRPr="00CF2C6A">
        <w:t>To achieve an effective sampling of the PES, a relatively large number of structural perturbations must be performed. Depending on cluster size, the number of structural candidates required can range from 10 000 to 25</w:t>
      </w:r>
      <w:r w:rsidRPr="00CF2C6A">
        <w:rPr>
          <w:lang w:val="en-CA"/>
        </w:rPr>
        <w:t> </w:t>
      </w:r>
      <w:r w:rsidRPr="00CF2C6A">
        <w:t xml:space="preserve">000, or even higher for larger systems. Due to this high volume of inputs, geometry optimizations are completed using molecular mechanics, as these methods are computationally inexpensive. </w:t>
      </w:r>
    </w:p>
    <w:p w14:paraId="4E18FB2E" w14:textId="2F68FD70" w:rsidR="004163C1" w:rsidRDefault="004163C1" w:rsidP="00CF2C6A">
      <w:pPr>
        <w:jc w:val="both"/>
      </w:pPr>
    </w:p>
    <w:p w14:paraId="69CF707A" w14:textId="6CDB4B51" w:rsidR="004163C1" w:rsidRDefault="004163C1" w:rsidP="00CF2C6A">
      <w:pPr>
        <w:jc w:val="both"/>
      </w:pPr>
      <w:r>
        <w:t xml:space="preserve">We are currently working on documentation for </w:t>
      </w:r>
      <w:r w:rsidR="00697428">
        <w:t xml:space="preserve">using the BH algorithm. Until then, the code can be requested from our group by emailing </w:t>
      </w:r>
      <w:hyperlink r:id="rId39" w:history="1">
        <w:r w:rsidR="00697428" w:rsidRPr="009C3086">
          <w:rPr>
            <w:rStyle w:val="Hyperlink"/>
          </w:rPr>
          <w:t>cieritano@uwaterloo.ca</w:t>
        </w:r>
      </w:hyperlink>
      <w:r w:rsidR="00697428">
        <w:t xml:space="preserve"> or </w:t>
      </w:r>
      <w:hyperlink r:id="rId40" w:history="1">
        <w:r w:rsidR="00697428" w:rsidRPr="009C3086">
          <w:rPr>
            <w:rStyle w:val="Hyperlink"/>
          </w:rPr>
          <w:t>shopkins@uwaterloo.ca</w:t>
        </w:r>
      </w:hyperlink>
      <w:r w:rsidR="00697428">
        <w:t>.</w:t>
      </w:r>
      <w:r>
        <w:t xml:space="preserve"> </w:t>
      </w:r>
    </w:p>
    <w:p w14:paraId="33E54BB3" w14:textId="7E95F3CE" w:rsidR="006325C3" w:rsidRDefault="006325C3" w:rsidP="00CF2C6A">
      <w:pPr>
        <w:jc w:val="both"/>
      </w:pPr>
    </w:p>
    <w:p w14:paraId="59B7279C" w14:textId="496179F3" w:rsidR="006325C3" w:rsidRDefault="006325C3" w:rsidP="006325C3">
      <w:pPr>
        <w:pStyle w:val="Heading3"/>
      </w:pPr>
      <w:bookmarkStart w:id="43" w:name="_Toc66269185"/>
      <w:r>
        <w:t>A1.2 Post-processing of BH results and DFT optimization</w:t>
      </w:r>
      <w:bookmarkEnd w:id="43"/>
    </w:p>
    <w:p w14:paraId="009652BB" w14:textId="77777777" w:rsidR="00642A90" w:rsidRDefault="00642A90" w:rsidP="006325C3">
      <w:pPr>
        <w:jc w:val="both"/>
        <w:rPr>
          <w:rFonts w:eastAsiaTheme="minorEastAsia"/>
        </w:rPr>
      </w:pPr>
    </w:p>
    <w:p w14:paraId="26734B01" w14:textId="6910A50E" w:rsidR="006325C3" w:rsidRDefault="006325C3" w:rsidP="006325C3">
      <w:pPr>
        <w:jc w:val="both"/>
        <w:rPr>
          <w:rFonts w:eastAsiaTheme="minorEastAsia"/>
        </w:rPr>
      </w:pPr>
      <w:r>
        <w:rPr>
          <w:rFonts w:eastAsiaTheme="minorEastAsia"/>
        </w:rPr>
        <w:t xml:space="preserve">Post processing of a BH routine, which includes identification of unique minima, is accomplished through sorting of isomers based on energetics and geometry. A typical routine will return (at most) 250 unique, low energy, and viable candidate geometries for further structural refinement at higher levels of computational theory (Figure </w:t>
      </w:r>
      <w:r w:rsidR="00642A90">
        <w:rPr>
          <w:rFonts w:eastAsiaTheme="minorEastAsia"/>
        </w:rPr>
        <w:t>S3</w:t>
      </w:r>
      <w:r>
        <w:rPr>
          <w:rFonts w:eastAsiaTheme="minorEastAsia"/>
        </w:rPr>
        <w:t>).</w:t>
      </w:r>
    </w:p>
    <w:p w14:paraId="30112C06" w14:textId="77777777" w:rsidR="006325C3" w:rsidRDefault="006325C3" w:rsidP="006325C3">
      <w:pPr>
        <w:jc w:val="center"/>
        <w:rPr>
          <w:rFonts w:eastAsiaTheme="minorEastAsia"/>
        </w:rPr>
      </w:pPr>
      <w:r>
        <w:rPr>
          <w:noProof/>
        </w:rPr>
        <w:lastRenderedPageBreak/>
        <w:drawing>
          <wp:inline distT="0" distB="0" distL="0" distR="0" wp14:anchorId="0E7F75B1" wp14:editId="4AD2C02C">
            <wp:extent cx="4886325" cy="31719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7211" cy="3172510"/>
                    </a:xfrm>
                    <a:prstGeom prst="rect">
                      <a:avLst/>
                    </a:prstGeom>
                  </pic:spPr>
                </pic:pic>
              </a:graphicData>
            </a:graphic>
          </wp:inline>
        </w:drawing>
      </w:r>
    </w:p>
    <w:p w14:paraId="1DD2A0AC" w14:textId="1B589616" w:rsidR="006325C3" w:rsidRPr="00642A90" w:rsidRDefault="006325C3" w:rsidP="006325C3">
      <w:pPr>
        <w:pStyle w:val="Caption"/>
        <w:keepNext/>
        <w:jc w:val="both"/>
        <w:rPr>
          <w:rFonts w:ascii="Garamond" w:hAnsi="Garamond"/>
          <w:i w:val="0"/>
          <w:iCs w:val="0"/>
          <w:color w:val="auto"/>
          <w:sz w:val="24"/>
          <w:szCs w:val="24"/>
        </w:rPr>
      </w:pPr>
      <w:bookmarkStart w:id="44" w:name="_Toc505961402"/>
      <w:bookmarkStart w:id="45" w:name="_Toc507610949"/>
      <w:r w:rsidRPr="00642A90">
        <w:rPr>
          <w:rFonts w:ascii="Garamond" w:hAnsi="Garamond"/>
          <w:b/>
          <w:bCs/>
          <w:i w:val="0"/>
          <w:iCs w:val="0"/>
          <w:color w:val="auto"/>
          <w:sz w:val="24"/>
          <w:szCs w:val="24"/>
        </w:rPr>
        <w:t>Figure</w:t>
      </w:r>
      <w:r w:rsidR="00642A90" w:rsidRPr="00642A90">
        <w:rPr>
          <w:rFonts w:ascii="Garamond" w:hAnsi="Garamond"/>
          <w:b/>
          <w:bCs/>
          <w:i w:val="0"/>
          <w:iCs w:val="0"/>
          <w:color w:val="auto"/>
          <w:sz w:val="24"/>
          <w:szCs w:val="24"/>
        </w:rPr>
        <w:t xml:space="preserve"> S3.</w:t>
      </w:r>
      <w:r w:rsidRPr="00642A90">
        <w:rPr>
          <w:rFonts w:ascii="Garamond" w:hAnsi="Garamond"/>
          <w:i w:val="0"/>
          <w:iCs w:val="0"/>
          <w:color w:val="auto"/>
          <w:sz w:val="24"/>
          <w:szCs w:val="24"/>
        </w:rPr>
        <w:t xml:space="preserve"> </w:t>
      </w:r>
      <w:bookmarkEnd w:id="44"/>
      <w:r w:rsidRPr="00642A90">
        <w:rPr>
          <w:rFonts w:ascii="Garamond" w:hAnsi="Garamond"/>
          <w:i w:val="0"/>
          <w:iCs w:val="0"/>
          <w:color w:val="auto"/>
          <w:sz w:val="24"/>
          <w:szCs w:val="24"/>
        </w:rPr>
        <w:t>Calculations to identify a cluster global minimum are performed using a hierarchal method which refines isomer sets at progressively higher levels of theory</w:t>
      </w:r>
      <w:bookmarkEnd w:id="45"/>
      <w:r w:rsidR="00642A90">
        <w:rPr>
          <w:rFonts w:ascii="Garamond" w:hAnsi="Garamond"/>
          <w:i w:val="0"/>
          <w:iCs w:val="0"/>
          <w:color w:val="auto"/>
          <w:sz w:val="24"/>
          <w:szCs w:val="24"/>
        </w:rPr>
        <w:t>.</w:t>
      </w:r>
    </w:p>
    <w:p w14:paraId="21BD044E" w14:textId="6B5AF0D6" w:rsidR="00CE2133" w:rsidRDefault="00CE2133" w:rsidP="006325C3">
      <w:pPr>
        <w:jc w:val="both"/>
        <w:rPr>
          <w:rFonts w:eastAsiaTheme="minorEastAsia"/>
        </w:rPr>
      </w:pPr>
    </w:p>
    <w:p w14:paraId="1AD62D0B" w14:textId="5CD0034A" w:rsidR="00CE2133" w:rsidRDefault="00CE2133" w:rsidP="006325C3">
      <w:pPr>
        <w:jc w:val="both"/>
        <w:rPr>
          <w:rFonts w:eastAsiaTheme="minorEastAsia"/>
        </w:rPr>
      </w:pPr>
      <w:r>
        <w:rPr>
          <w:rFonts w:eastAsiaTheme="minorEastAsia"/>
        </w:rPr>
        <w:t xml:space="preserve">Sorting isomers based on geometry and energetics is seamless when conducting using the Featherstone </w:t>
      </w:r>
      <w:r w:rsidR="000D09E3">
        <w:rPr>
          <w:rFonts w:eastAsiaTheme="minorEastAsia"/>
        </w:rPr>
        <w:t>Suite (</w:t>
      </w:r>
      <w:hyperlink r:id="rId42" w:history="1">
        <w:r w:rsidR="00C3455E" w:rsidRPr="009C3086">
          <w:rPr>
            <w:rStyle w:val="Hyperlink"/>
            <w:rFonts w:eastAsiaTheme="minorEastAsia"/>
          </w:rPr>
          <w:t>https://github.com/jrjfeath/Featherstone_Labs_Suite</w:t>
        </w:r>
      </w:hyperlink>
      <w:r w:rsidR="00C3455E">
        <w:rPr>
          <w:rFonts w:eastAsiaTheme="minorEastAsia"/>
        </w:rPr>
        <w:t>). It should be noted that the Featherstone suite is designed for use with the Gaussian computational chemistry package. Basically, several tools are implemented within</w:t>
      </w:r>
      <w:r w:rsidR="00C957B3">
        <w:rPr>
          <w:rFonts w:eastAsiaTheme="minorEastAsia"/>
        </w:rPr>
        <w:t xml:space="preserve"> that are extensively documented. These tools allow you to sort unique isomers based on energy and cosine similarities</w:t>
      </w:r>
      <w:r w:rsidR="009B1EF1">
        <w:rPr>
          <w:rFonts w:eastAsiaTheme="minorEastAsia"/>
        </w:rPr>
        <w:fldChar w:fldCharType="begin" w:fldLock="1"/>
      </w:r>
      <w:r w:rsidR="00DA5C32">
        <w:rPr>
          <w:rFonts w:eastAsiaTheme="minorEastAsia"/>
        </w:rPr>
        <w:instrText>ADDIN CSL_CITATION {"citationItems":[{"id":"ITEM-1","itemData":{"DOI":"10.3389/fchem.2019.00519","ISSN":"22962646","abstract":"Evolutionary algorithms such as the basin-hopping (BH) algorithm have proven to be useful for difficult non-linear optimization problems with multiple modalities and variables. Applications of these algorithms range from characterization of molecular states in statistical physics and molecular biology to geometric packing problems. A key feature of BH is the fact that one can generate a coarse-grained mapping of a potential energy surface (PES) in terms of local minima. These results can then be utilized to gain insights into molecular dynamics and thermodynamic properties. Here we describe how one can employ concepts from unsupervised machine learning to augment BH PES searches to more efficiently identify local minima and the transition states connecting them. Specifically, we introduce the concepts of similarity indices, hierarchical clustering, and multidimensional scaling to the BH methodology. These same machine learning techniques can be used as tools for interpreting and rationalizing experimental results from spectroscopic and ion mobility investigations (e.g., spectral assignment, dynamic collision cross sections). We exemplify this in two case studies: (1) assigning the infrared multiple photon dissociation spectrum of the protonated serine dimer and (2) determining the temperature-dependent collision cross-section of protonated alanine tripeptide.","author":[{"dropping-particle":"","family":"Zhou","given":"Ce","non-dropping-particle":"","parse-names":false,"suffix":""},{"dropping-particle":"","family":"Ieritano","given":"Christian","non-dropping-particle":"","parse-names":false,"suffix":""},{"dropping-particle":"","family":"Hopkins","given":"William Scott","non-dropping-particle":"","parse-names":false,"suffix":""}],"container-title":"Frontiers in Chemistry","id":"ITEM-1","issued":{"date-parts":[["2019"]]},"page":"519","title":"Augmenting Basin-Hopping With Techniques From Unsupervised Machine Learning: Applications in Spectroscopy and Ion Mobility","type":"article-journal","volume":"7"},"uris":["http://www.mendeley.com/documents/?uuid=daa42f34-ccf9-44b2-8cbf-836df102af43"]}],"mendeley":{"formattedCitation":"&lt;sup&gt;30&lt;/sup&gt;","plainTextFormattedCitation":"30","previouslyFormattedCitation":"&lt;sup&gt;34&lt;/sup&gt;"},"properties":{"noteIndex":0},"schema":"https://github.com/citation-style-language/schema/raw/master/csl-citation.json"}</w:instrText>
      </w:r>
      <w:r w:rsidR="009B1EF1">
        <w:rPr>
          <w:rFonts w:eastAsiaTheme="minorEastAsia"/>
        </w:rPr>
        <w:fldChar w:fldCharType="separate"/>
      </w:r>
      <w:r w:rsidR="00DA5C32" w:rsidRPr="00DA5C32">
        <w:rPr>
          <w:rFonts w:eastAsiaTheme="minorEastAsia"/>
          <w:noProof/>
          <w:vertAlign w:val="superscript"/>
        </w:rPr>
        <w:t>30</w:t>
      </w:r>
      <w:r w:rsidR="009B1EF1">
        <w:rPr>
          <w:rFonts w:eastAsiaTheme="minorEastAsia"/>
        </w:rPr>
        <w:fldChar w:fldCharType="end"/>
      </w:r>
      <w:r w:rsidR="00C957B3">
        <w:rPr>
          <w:rFonts w:eastAsiaTheme="minorEastAsia"/>
        </w:rPr>
        <w:t xml:space="preserve"> </w:t>
      </w:r>
      <w:r w:rsidR="009B1EF1">
        <w:rPr>
          <w:rFonts w:eastAsiaTheme="minorEastAsia"/>
        </w:rPr>
        <w:t xml:space="preserve">using a GUI. </w:t>
      </w:r>
    </w:p>
    <w:p w14:paraId="37386275" w14:textId="0925F0E2" w:rsidR="009B1EF1" w:rsidRDefault="009B1EF1" w:rsidP="006325C3">
      <w:pPr>
        <w:jc w:val="both"/>
        <w:rPr>
          <w:rFonts w:eastAsiaTheme="minorEastAsia"/>
        </w:rPr>
      </w:pPr>
    </w:p>
    <w:p w14:paraId="6D6D6ED2" w14:textId="6D63694D" w:rsidR="00CC3BAF" w:rsidRDefault="00CC3BAF" w:rsidP="00CC3BAF">
      <w:pPr>
        <w:jc w:val="both"/>
        <w:rPr>
          <w:rFonts w:eastAsiaTheme="minorEastAsia"/>
        </w:rPr>
      </w:pPr>
      <w:r>
        <w:rPr>
          <w:rFonts w:eastAsiaTheme="minorEastAsia"/>
        </w:rPr>
        <w:t>Semi-empirical methods, such as Density Functional based Tight Binding (DFTB)</w:t>
      </w:r>
      <w:r>
        <w:rPr>
          <w:rFonts w:eastAsiaTheme="minorEastAsia"/>
        </w:rPr>
        <w:fldChar w:fldCharType="begin" w:fldLock="1"/>
      </w:r>
      <w:r w:rsidR="00DA5C32">
        <w:rPr>
          <w:rFonts w:eastAsiaTheme="minorEastAsia"/>
        </w:rPr>
        <w:instrText>ADDIN CSL_CITATION {"citationItems":[{"id":"ITEM-1","itemData":{"DOI":"10.1103/PhysRevB.51.12947","ISBN":"0163-1829","ISSN":"01631829","PMID":"9978089","abstract":"We present a density-functional-based scheme for determining the necessary parameters of common nonorthogonal tight-binding (TB) models within the framework of the linear-combination-of-atomic-orbitals formalism using the local-density approximation (LDA). By only considering two-center integrals the Hamiltonian and overlap matrix elements are calculated out of suitable input densities and potentials rather than fitted to experimental data. We can derive analytical functions for the C-C, C-H, and H-H Hamiltonian and overlap matrix elements. The usual short-range repulsive potential appearing in most TB models is fitted to self-consistent calculations performed within the LDA. The calculation of forces is easy and allows an application of the method to molecular-dynamics simulations. Despite its extreme simplicity, the method is transferable to complex carbon and hydrocarbon systems. The determination of equilibrium geometries, total energies, and vibrational modes of carbon clusters, hydrocarbon molecules, and solid-state modifications of carbon yield results showing an overall good agreement with more sophisticated methods. © 1995 The American Physical Society.","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B","id":"ITEM-1","issue":"19","issued":{"date-parts":[["1995"]]},"page":"12947-12957","title":"Construction of tight-binding-like potentials on the basis of density-functional theory: Application to carbon","type":"article-journal","volume":"51"},"uris":["http://www.mendeley.com/documents/?uuid=0331ee9c-e720-418c-b426-9e3def5470dc"]},{"id":"ITEM-2","itemData":{"DOI":"10.1103/PhysRevB.58.7260","ISBN":"1098-0121","ISSN":"1550235X","PMID":"76058800081","abstract":"We outline details about an extension of the tight-binding (TB) approach to improve total energies, forces, and transferability. The method is based on a second-order expansion of the Kohn-Sham total energy in density-functional theory (DFT) with respect to charge density fluctuations. The zeroth order approach is equivalent to a common standard non-self-consistent (TB) scheme, while at second order a transparent, parameter-free, and readily calculable expression for generalized Hamiltonian matrix elements may be derived. These are modified by a self-consistent redistribution of Mulliken charges (SCC). Besides the usual “band structure” and short-range repulsive terms the final approximate Kohn-Sham energy additionally includes a Coulomb interaction between charge fluctuations. At large distances this accounts for long-range electrostatic forces between two point charges and approximately includes self-interaction contributions of a given atom if the charges are located at one and the same atom. We apply the new SCC scheme to problems where deficiencies within the non-SCC standard TB approach become obvious. We thus considerably improve transferability. © 1998 The American Physical Society.","author":[{"dropping-particle":"","family":"Elstner","given":"M.","non-dropping-particle":"","parse-names":false,"suffix":""},{"dropping-particle":"","family":"Porezag","given":"D.","non-dropping-particle":"","parse-names":false,"suffix":""},{"dropping-particle":"","family":"Jungnickel","given":"G.","non-dropping-particle":"","parse-names":false,"suffix":""},{"dropping-particle":"","family":"Elsner","given":"J.","non-dropping-particle":"","parse-names":false,"suffix":""},{"dropping-particle":"","family":"Haugk","given":"M.","non-dropping-particle":"","parse-names":false,"suffix":""},{"dropping-particle":"","family":"Frauenheim","given":"Th","non-dropping-particle":"","parse-names":false,"suffix":""}],"container-title":"Physical Review B - Condensed Matter and Materials Physics","id":"ITEM-2","issue":"11","issued":{"date-parts":[["1998"]]},"page":"7260-7268","title":"Self-consistent-charge density-functional tight-binding method for simulations of complex materials properties","type":"article-journal","volume":"58"},"uris":["http://www.mendeley.com/documents/?uuid=a2343496-84dd-4bfc-b351-ea7f95bd8a71"]}],"mendeley":{"formattedCitation":"&lt;sup&gt;31,32&lt;/sup&gt;","plainTextFormattedCitation":"31,32","previouslyFormattedCitation":"&lt;sup&gt;30,31&lt;/sup&gt;"},"properties":{"noteIndex":0},"schema":"https://github.com/citation-style-language/schema/raw/master/csl-citation.json"}</w:instrText>
      </w:r>
      <w:r>
        <w:rPr>
          <w:rFonts w:eastAsiaTheme="minorEastAsia"/>
        </w:rPr>
        <w:fldChar w:fldCharType="separate"/>
      </w:r>
      <w:r w:rsidR="00DA5C32" w:rsidRPr="00DA5C32">
        <w:rPr>
          <w:rFonts w:eastAsiaTheme="minorEastAsia"/>
          <w:noProof/>
          <w:vertAlign w:val="superscript"/>
        </w:rPr>
        <w:t>31,32</w:t>
      </w:r>
      <w:r>
        <w:rPr>
          <w:rFonts w:eastAsiaTheme="minorEastAsia"/>
        </w:rPr>
        <w:fldChar w:fldCharType="end"/>
      </w:r>
      <w:r>
        <w:rPr>
          <w:rFonts w:eastAsiaTheme="minorEastAsia"/>
        </w:rPr>
        <w:t xml:space="preserve"> or the recently developed parameterized model 7 (PM7)</w:t>
      </w:r>
      <w:r>
        <w:rPr>
          <w:rFonts w:eastAsiaTheme="minorEastAsia"/>
        </w:rPr>
        <w:fldChar w:fldCharType="begin" w:fldLock="1"/>
      </w:r>
      <w:r w:rsidR="00DA5C32">
        <w:rPr>
          <w:rFonts w:eastAsiaTheme="minorEastAsia"/>
        </w:rPr>
        <w:instrText>ADDIN CSL_CITATION {"citationItems":[{"id":"ITEM-1","itemData":{"author":[{"dropping-particle":"","family":"Throssel","given":"K","non-dropping-particle":"","parse-names":false,"suffix":""},{"dropping-particle":"","family":"Frisch","given":"M J","non-dropping-particle":"","parse-names":false,"suffix":""}],"container-title":"Manuscript in Preparation","id":"ITEM-1","issued":{"date-parts":[["0"]]},"title":"Evaluation and Improvement of Semiempirical methods I: PM7R8: A variant of PM7 with numerically stable hydrogen bonding corrections","type":"article-journal"},"uris":["http://www.mendeley.com/documents/?uuid=da861e5c-fdd8-4003-a4e9-63c06b894060"]}],"mendeley":{"formattedCitation":"&lt;sup&gt;33&lt;/sup&gt;","plainTextFormattedCitation":"33","previouslyFormattedCitation":"&lt;sup&gt;32&lt;/sup&gt;"},"properties":{"noteIndex":0},"schema":"https://github.com/citation-style-language/schema/raw/master/csl-citation.json"}</w:instrText>
      </w:r>
      <w:r>
        <w:rPr>
          <w:rFonts w:eastAsiaTheme="minorEastAsia"/>
        </w:rPr>
        <w:fldChar w:fldCharType="separate"/>
      </w:r>
      <w:r w:rsidR="00DA5C32" w:rsidRPr="00DA5C32">
        <w:rPr>
          <w:rFonts w:eastAsiaTheme="minorEastAsia"/>
          <w:noProof/>
          <w:vertAlign w:val="superscript"/>
        </w:rPr>
        <w:t>33</w:t>
      </w:r>
      <w:r>
        <w:rPr>
          <w:rFonts w:eastAsiaTheme="minorEastAsia"/>
        </w:rPr>
        <w:fldChar w:fldCharType="end"/>
      </w:r>
      <w:r>
        <w:rPr>
          <w:rFonts w:eastAsiaTheme="minorEastAsia"/>
        </w:rPr>
        <w:t xml:space="preserve"> often serve as a pre-filter prior to </w:t>
      </w:r>
      <w:r>
        <w:rPr>
          <w:rFonts w:eastAsiaTheme="minorEastAsia"/>
          <w:i/>
        </w:rPr>
        <w:t xml:space="preserve">ab initio </w:t>
      </w:r>
      <w:r>
        <w:rPr>
          <w:rFonts w:eastAsiaTheme="minorEastAsia"/>
        </w:rPr>
        <w:t>calculations to further refine isomer sets obtained from the BH routine. These methods employ approximations to the Hartree-</w:t>
      </w:r>
      <w:proofErr w:type="spellStart"/>
      <w:r>
        <w:rPr>
          <w:rFonts w:eastAsiaTheme="minorEastAsia"/>
        </w:rPr>
        <w:t>Fock</w:t>
      </w:r>
      <w:proofErr w:type="spellEnd"/>
      <w:r>
        <w:rPr>
          <w:rFonts w:eastAsiaTheme="minorEastAsia"/>
        </w:rPr>
        <w:t xml:space="preserve"> (HF) formalism,</w:t>
      </w:r>
      <w:r>
        <w:rPr>
          <w:rFonts w:eastAsiaTheme="minorEastAsia"/>
        </w:rPr>
        <w:fldChar w:fldCharType="begin" w:fldLock="1"/>
      </w:r>
      <w:r w:rsidR="00DA5C32">
        <w:rPr>
          <w:rFonts w:eastAsiaTheme="minorEastAsia"/>
        </w:rPr>
        <w:instrText>ADDIN CSL_CITATION {"citationItems":[{"id":"ITEM-1","itemData":{"DOI":"10.1103/RevModPhys.23.69","ISBN":"0034-6861","ISSN":"00346861","PMID":"1023","abstract":"Reviews of Modern Physics, Vol. 23, No. 2. (Apr 1951), pp. 69-89.CCJ Roothaan","author":[{"dropping-particle":"","family":"Roothaan","given":"C. C.J.","non-dropping-particle":"","parse-names":false,"suffix":""}],"container-title":"Reviews of Modern Physics","id":"ITEM-1","issue":"2","issued":{"date-parts":[["1951"]]},"page":"69-89","title":"New developments in molecular orbital theory","type":"article-journal","volume":"23"},"uris":["http://www.mendeley.com/documents/?uuid=01c82f72-d3f2-4e45-b32a-a57a18a04493"]}],"mendeley":{"formattedCitation":"&lt;sup&gt;34&lt;/sup&gt;","plainTextFormattedCitation":"34","previouslyFormattedCitation":"&lt;sup&gt;33&lt;/sup&gt;"},"properties":{"noteIndex":0},"schema":"https://github.com/citation-style-language/schema/raw/master/csl-citation.json"}</w:instrText>
      </w:r>
      <w:r>
        <w:rPr>
          <w:rFonts w:eastAsiaTheme="minorEastAsia"/>
        </w:rPr>
        <w:fldChar w:fldCharType="separate"/>
      </w:r>
      <w:r w:rsidR="00DA5C32" w:rsidRPr="00DA5C32">
        <w:rPr>
          <w:rFonts w:eastAsiaTheme="minorEastAsia"/>
          <w:noProof/>
          <w:vertAlign w:val="superscript"/>
        </w:rPr>
        <w:t>34</w:t>
      </w:r>
      <w:r>
        <w:rPr>
          <w:rFonts w:eastAsiaTheme="minorEastAsia"/>
        </w:rPr>
        <w:fldChar w:fldCharType="end"/>
      </w:r>
      <w:r>
        <w:rPr>
          <w:rFonts w:eastAsiaTheme="minorEastAsia"/>
        </w:rPr>
        <w:t xml:space="preserve"> where certain 2-electron Hamiltonians are replaced by a set of parameters identified for analogous systems, or are completely omitted. While the cluster geometries predicted by the efficient semi-empirical methods reminisce those of </w:t>
      </w:r>
      <w:r>
        <w:rPr>
          <w:rFonts w:eastAsiaTheme="minorEastAsia"/>
          <w:i/>
        </w:rPr>
        <w:t xml:space="preserve">ab initio </w:t>
      </w:r>
      <w:r>
        <w:rPr>
          <w:rFonts w:eastAsiaTheme="minorEastAsia"/>
        </w:rPr>
        <w:t xml:space="preserve">calculations, they produce unreliable electronic energies and thermochemistry. </w:t>
      </w:r>
      <w:r w:rsidR="00876D69">
        <w:rPr>
          <w:rFonts w:eastAsiaTheme="minorEastAsia"/>
        </w:rPr>
        <w:t xml:space="preserve">The ability to sort unique BH files and convert then to new Gaussian inputs is all possible within the Featherstone Suite. </w:t>
      </w:r>
    </w:p>
    <w:p w14:paraId="5B020BE7" w14:textId="77777777" w:rsidR="00CC3BAF" w:rsidRDefault="00CC3BAF" w:rsidP="006325C3">
      <w:pPr>
        <w:jc w:val="both"/>
        <w:rPr>
          <w:rFonts w:eastAsiaTheme="minorEastAsia"/>
        </w:rPr>
      </w:pPr>
    </w:p>
    <w:p w14:paraId="263AF52E" w14:textId="1EE94722" w:rsidR="00551FBB" w:rsidRDefault="00551FBB" w:rsidP="00551FBB">
      <w:pPr>
        <w:jc w:val="both"/>
      </w:pPr>
      <w:r>
        <w:t xml:space="preserve">Once the PES of the analyte has been thoroughly explored and refined with PM7, representative local minima are ready for refinement at higher levels of computational theory. For this, we recommend the use of Density Functional Theory (DFT). Selecting a DFT functional and basis can seem as daunting as reading Fortran code, but rest assured, there is a method to the madness. Martin Head-Gordon wrote an </w:t>
      </w:r>
      <w:hyperlink r:id="rId43" w:history="1">
        <w:r w:rsidRPr="0099059E">
          <w:rPr>
            <w:rStyle w:val="Hyperlink"/>
          </w:rPr>
          <w:t>excellent review</w:t>
        </w:r>
      </w:hyperlink>
      <w:r>
        <w:t xml:space="preserve"> on the performance of 200 density functional and scored their performance based on their ability to accurately calculate </w:t>
      </w:r>
      <w:r w:rsidRPr="004C3B68">
        <w:t>non-covalent interactions, isomerization energies, thermochemistry, and barrier heights</w:t>
      </w:r>
      <w:r>
        <w:t xml:space="preserve"> based on experimental values.</w:t>
      </w:r>
    </w:p>
    <w:p w14:paraId="3EDCAF24" w14:textId="77777777" w:rsidR="00551FBB" w:rsidRDefault="00551FBB" w:rsidP="00551FBB">
      <w:pPr>
        <w:jc w:val="both"/>
      </w:pPr>
    </w:p>
    <w:p w14:paraId="3337D238" w14:textId="77777777" w:rsidR="00551FBB" w:rsidRDefault="00551FBB" w:rsidP="00551FBB">
      <w:pPr>
        <w:jc w:val="both"/>
        <w:rPr>
          <w:lang w:val="en-CA"/>
        </w:rPr>
      </w:pPr>
      <w:r>
        <w:t xml:space="preserve">To spare you the details, the functionals that are 1) available in Gaussian16 and 2) demonstrate optimal performance for calculation of ion thermochemistry are B3LYP-D3, ωB97X-D, and M06-2X-D3 </w:t>
      </w:r>
      <w:r>
        <w:lastRenderedPageBreak/>
        <w:t xml:space="preserve">when paired with basis sets from </w:t>
      </w:r>
      <w:proofErr w:type="spellStart"/>
      <w:r>
        <w:t>Ahlrichs</w:t>
      </w:r>
      <w:proofErr w:type="spellEnd"/>
      <w:r>
        <w:t xml:space="preserve"> and Weigand (e.g., def2-TZVPP). Specifically, </w:t>
      </w:r>
      <w:r>
        <w:rPr>
          <w:b/>
          <w:bCs/>
        </w:rPr>
        <w:t xml:space="preserve">we </w:t>
      </w:r>
      <w:r w:rsidRPr="00191D95">
        <w:rPr>
          <w:b/>
          <w:bCs/>
        </w:rPr>
        <w:t>recommend ωB97X-D</w:t>
      </w:r>
      <w:r w:rsidRPr="00191D95">
        <w:rPr>
          <w:b/>
          <w:bCs/>
          <w:lang w:val="en-CA"/>
        </w:rPr>
        <w:t>/def2-TZVPP</w:t>
      </w:r>
      <w:r>
        <w:rPr>
          <w:b/>
          <w:bCs/>
          <w:lang w:val="en-CA"/>
        </w:rPr>
        <w:t xml:space="preserve"> </w:t>
      </w:r>
      <w:r>
        <w:rPr>
          <w:lang w:val="en-CA"/>
        </w:rPr>
        <w:t>using partial charges computed using the Merz-Singh Kollman (MK) partition scheme and constrained to reproduce the molecular dipole moment (pop=</w:t>
      </w:r>
      <w:proofErr w:type="spellStart"/>
      <w:proofErr w:type="gramStart"/>
      <w:r>
        <w:rPr>
          <w:lang w:val="en-CA"/>
        </w:rPr>
        <w:t>mk,dipole</w:t>
      </w:r>
      <w:proofErr w:type="spellEnd"/>
      <w:proofErr w:type="gramEnd"/>
      <w:r>
        <w:rPr>
          <w:lang w:val="en-CA"/>
        </w:rPr>
        <w:t>). This option is requested in Gaussian16 using the following calculation line:</w:t>
      </w:r>
    </w:p>
    <w:p w14:paraId="7F887586" w14:textId="77777777" w:rsidR="00551FBB" w:rsidRDefault="00551FBB" w:rsidP="00551FBB">
      <w:pPr>
        <w:jc w:val="both"/>
        <w:rPr>
          <w:lang w:val="en-CA"/>
        </w:rPr>
      </w:pPr>
    </w:p>
    <w:p w14:paraId="311184F3" w14:textId="77777777" w:rsidR="00551FBB" w:rsidRPr="00710F52" w:rsidRDefault="00551FBB" w:rsidP="00551FBB">
      <w:pPr>
        <w:jc w:val="both"/>
        <w:rPr>
          <w:b/>
          <w:bCs/>
          <w:lang w:val="en-CA"/>
        </w:rPr>
      </w:pPr>
      <w:r w:rsidRPr="00710F52">
        <w:rPr>
          <w:b/>
          <w:bCs/>
          <w:lang w:val="en-CA"/>
        </w:rPr>
        <w:t># opt=</w:t>
      </w:r>
      <w:proofErr w:type="spellStart"/>
      <w:r w:rsidRPr="00710F52">
        <w:rPr>
          <w:b/>
          <w:bCs/>
          <w:lang w:val="en-CA"/>
        </w:rPr>
        <w:t>maxcycles</w:t>
      </w:r>
      <w:proofErr w:type="spellEnd"/>
      <w:r w:rsidRPr="00710F52">
        <w:rPr>
          <w:b/>
          <w:bCs/>
          <w:lang w:val="en-CA"/>
        </w:rPr>
        <w:t xml:space="preserve">=100 </w:t>
      </w:r>
      <w:proofErr w:type="spellStart"/>
      <w:r w:rsidRPr="00710F52">
        <w:rPr>
          <w:b/>
          <w:bCs/>
          <w:lang w:val="en-CA"/>
        </w:rPr>
        <w:t>freq</w:t>
      </w:r>
      <w:proofErr w:type="spellEnd"/>
      <w:r w:rsidRPr="00710F52">
        <w:rPr>
          <w:b/>
          <w:bCs/>
          <w:lang w:val="en-CA"/>
        </w:rPr>
        <w:t xml:space="preserve"> wb97xd/def2tzvpp int=ultrafine pop=(</w:t>
      </w:r>
      <w:proofErr w:type="spellStart"/>
      <w:proofErr w:type="gramStart"/>
      <w:r w:rsidRPr="00710F52">
        <w:rPr>
          <w:b/>
          <w:bCs/>
          <w:lang w:val="en-CA"/>
        </w:rPr>
        <w:t>mk,dipole</w:t>
      </w:r>
      <w:proofErr w:type="spellEnd"/>
      <w:proofErr w:type="gramEnd"/>
      <w:r w:rsidRPr="00710F52">
        <w:rPr>
          <w:b/>
          <w:bCs/>
          <w:lang w:val="en-CA"/>
        </w:rPr>
        <w:t>)</w:t>
      </w:r>
    </w:p>
    <w:p w14:paraId="08262E14" w14:textId="77777777" w:rsidR="00551FBB" w:rsidRDefault="00551FBB" w:rsidP="00551FBB">
      <w:pPr>
        <w:jc w:val="both"/>
        <w:rPr>
          <w:lang w:val="en-CA"/>
        </w:rPr>
      </w:pPr>
    </w:p>
    <w:p w14:paraId="3BC279E7" w14:textId="77777777" w:rsidR="00551FBB" w:rsidRDefault="00551FBB" w:rsidP="00551FBB">
      <w:pPr>
        <w:jc w:val="both"/>
        <w:rPr>
          <w:lang w:val="en-CA"/>
        </w:rPr>
      </w:pPr>
      <w:r>
        <w:rPr>
          <w:lang w:val="en-CA"/>
        </w:rPr>
        <w:t xml:space="preserve">The output files generated from DFT calculations performed in Gaussian are imported to the </w:t>
      </w:r>
      <w:proofErr w:type="spellStart"/>
      <w:r>
        <w:rPr>
          <w:b/>
          <w:bCs/>
          <w:lang w:val="en-CA"/>
        </w:rPr>
        <w:t>mfj</w:t>
      </w:r>
      <w:proofErr w:type="spellEnd"/>
      <w:r>
        <w:rPr>
          <w:b/>
          <w:bCs/>
          <w:lang w:val="en-CA"/>
        </w:rPr>
        <w:t xml:space="preserve"> creator</w:t>
      </w:r>
      <w:r>
        <w:rPr>
          <w:lang w:val="en-CA"/>
        </w:rPr>
        <w:t xml:space="preserve"> of the MobCal-MPI GUI to create MobCal-MPI input files (Section </w:t>
      </w:r>
      <w:hyperlink w:anchor="_3.4.1_mfj_Creator" w:history="1">
        <w:r>
          <w:rPr>
            <w:rStyle w:val="Hyperlink"/>
            <w:lang w:val="en-CA"/>
          </w:rPr>
          <w:t>3.4.1</w:t>
        </w:r>
      </w:hyperlink>
      <w:r>
        <w:rPr>
          <w:lang w:val="en-CA"/>
        </w:rPr>
        <w:t xml:space="preserve">). </w:t>
      </w:r>
    </w:p>
    <w:p w14:paraId="2ECB5515" w14:textId="77777777" w:rsidR="00551FBB" w:rsidRPr="00765AB5" w:rsidRDefault="00551FBB" w:rsidP="00551FBB">
      <w:pPr>
        <w:jc w:val="both"/>
        <w:rPr>
          <w:lang w:val="en-CA"/>
        </w:rPr>
      </w:pPr>
    </w:p>
    <w:p w14:paraId="498BC904" w14:textId="77777777" w:rsidR="00551FBB" w:rsidRDefault="00551FBB" w:rsidP="00551FBB">
      <w:pPr>
        <w:jc w:val="both"/>
        <w:rPr>
          <w:lang w:val="en-CA"/>
        </w:rPr>
      </w:pPr>
      <w:r>
        <w:rPr>
          <w:lang w:val="en-CA"/>
        </w:rPr>
        <w:t xml:space="preserve">Other density functional and basis set combinations perform optimally for CCS calculations in MobCal-MPI. This performance is outlined in our latest publication in </w:t>
      </w:r>
      <w:hyperlink r:id="rId44" w:history="1">
        <w:r w:rsidRPr="00D0652E">
          <w:rPr>
            <w:rStyle w:val="Hyperlink"/>
            <w:i/>
            <w:iCs/>
            <w:lang w:val="en-CA"/>
          </w:rPr>
          <w:t>Materials Communications Today</w:t>
        </w:r>
        <w:r w:rsidRPr="00D0652E">
          <w:rPr>
            <w:rStyle w:val="Hyperlink"/>
            <w:lang w:val="en-CA"/>
          </w:rPr>
          <w:t>.</w:t>
        </w:r>
      </w:hyperlink>
      <w:r>
        <w:rPr>
          <w:lang w:val="en-CA"/>
        </w:rPr>
        <w:t xml:space="preserve"> </w:t>
      </w:r>
    </w:p>
    <w:p w14:paraId="12AB75BF" w14:textId="77777777" w:rsidR="00551FBB" w:rsidRDefault="00551FBB" w:rsidP="00551FBB">
      <w:pPr>
        <w:jc w:val="both"/>
        <w:rPr>
          <w:lang w:val="en-CA"/>
        </w:rPr>
      </w:pPr>
    </w:p>
    <w:p w14:paraId="56D0EB50" w14:textId="77777777" w:rsidR="00551FBB" w:rsidRPr="00CA020F" w:rsidRDefault="00551FBB" w:rsidP="00551FBB">
      <w:pPr>
        <w:jc w:val="both"/>
        <w:rPr>
          <w:lang w:val="en-CA"/>
        </w:rPr>
      </w:pPr>
      <w:r>
        <w:rPr>
          <w:lang w:val="en-CA"/>
        </w:rPr>
        <w:t xml:space="preserve">Ieritano, Christian, Hopkins, W. Scott. </w:t>
      </w:r>
      <w:r w:rsidRPr="0055504A">
        <w:rPr>
          <w:lang w:val="en-CA"/>
        </w:rPr>
        <w:t>Assessing collision cross section calculations using MobCal-MPI with a variety of commonly used computational methods</w:t>
      </w:r>
      <w:r>
        <w:rPr>
          <w:lang w:val="en-CA"/>
        </w:rPr>
        <w:t xml:space="preserve">. </w:t>
      </w:r>
      <w:r>
        <w:rPr>
          <w:i/>
          <w:iCs/>
          <w:lang w:val="en-CA"/>
        </w:rPr>
        <w:t>Mat. Comm. Today</w:t>
      </w:r>
      <w:r>
        <w:rPr>
          <w:lang w:val="en-CA"/>
        </w:rPr>
        <w:t xml:space="preserve">. </w:t>
      </w:r>
      <w:r>
        <w:rPr>
          <w:b/>
          <w:bCs/>
          <w:lang w:val="en-CA"/>
        </w:rPr>
        <w:t>2021</w:t>
      </w:r>
      <w:r>
        <w:rPr>
          <w:lang w:val="en-CA"/>
        </w:rPr>
        <w:t xml:space="preserve">, 102226. </w:t>
      </w:r>
    </w:p>
    <w:p w14:paraId="27E04E7B" w14:textId="77777777" w:rsidR="00551FBB" w:rsidRDefault="00551FBB" w:rsidP="00551FBB">
      <w:pPr>
        <w:jc w:val="both"/>
      </w:pPr>
    </w:p>
    <w:p w14:paraId="632F862B" w14:textId="46C588FA" w:rsidR="00551FBB" w:rsidRDefault="00551FBB" w:rsidP="00551FBB">
      <w:pPr>
        <w:jc w:val="both"/>
      </w:pPr>
      <w:r>
        <w:t xml:space="preserve">We have nevertheless summarized the contents of this article in Section </w:t>
      </w:r>
      <w:hyperlink w:anchor="_A2._Which_calculation" w:history="1">
        <w:r w:rsidRPr="00551FBB">
          <w:rPr>
            <w:rStyle w:val="Hyperlink"/>
          </w:rPr>
          <w:t>A2</w:t>
        </w:r>
      </w:hyperlink>
      <w:r>
        <w:t>.</w:t>
      </w:r>
    </w:p>
    <w:p w14:paraId="3B9035F8" w14:textId="77777777" w:rsidR="006325C3" w:rsidRPr="006325C3" w:rsidRDefault="006325C3" w:rsidP="006325C3"/>
    <w:p w14:paraId="22348E20" w14:textId="4A853D8F" w:rsidR="00CA020F" w:rsidRDefault="00CA020F" w:rsidP="001C63BC">
      <w:pPr>
        <w:pStyle w:val="Heading2"/>
        <w:jc w:val="both"/>
      </w:pPr>
      <w:bookmarkStart w:id="46" w:name="_A3._Which_calculation"/>
      <w:bookmarkStart w:id="47" w:name="_A2._Which_calculation"/>
      <w:bookmarkStart w:id="48" w:name="_Toc66269186"/>
      <w:bookmarkEnd w:id="46"/>
      <w:bookmarkEnd w:id="47"/>
      <w:r>
        <w:t>A</w:t>
      </w:r>
      <w:r w:rsidR="00551FBB">
        <w:t>2</w:t>
      </w:r>
      <w:r>
        <w:t xml:space="preserve">. Which calculation method should I use? </w:t>
      </w:r>
      <w:r w:rsidR="00E05D60">
        <w:t>Explained!</w:t>
      </w:r>
      <w:bookmarkEnd w:id="48"/>
    </w:p>
    <w:p w14:paraId="3C99FBE7" w14:textId="77777777" w:rsidR="00E72099" w:rsidRPr="00E72099" w:rsidRDefault="00E72099" w:rsidP="001C63BC">
      <w:pPr>
        <w:jc w:val="both"/>
      </w:pPr>
    </w:p>
    <w:p w14:paraId="0C069981" w14:textId="73330B81" w:rsidR="00724E6D" w:rsidRPr="00724E6D" w:rsidRDefault="00724E6D" w:rsidP="001C63BC">
      <w:pPr>
        <w:pStyle w:val="Heading3"/>
        <w:jc w:val="both"/>
      </w:pPr>
      <w:bookmarkStart w:id="49" w:name="_Toc66269187"/>
      <w:r>
        <w:t>A</w:t>
      </w:r>
      <w:r w:rsidR="00551FBB">
        <w:t>2</w:t>
      </w:r>
      <w:r>
        <w:t xml:space="preserve">.1 – Benchmarking </w:t>
      </w:r>
      <w:r w:rsidR="00750C06">
        <w:t xml:space="preserve">CCS calculations using MobCal-MPI with a variety of </w:t>
      </w:r>
      <w:r w:rsidR="003F7C99">
        <w:t xml:space="preserve">computational </w:t>
      </w:r>
      <w:proofErr w:type="gramStart"/>
      <w:r w:rsidR="003F7C99">
        <w:t>methods</w:t>
      </w:r>
      <w:bookmarkEnd w:id="49"/>
      <w:proofErr w:type="gramEnd"/>
    </w:p>
    <w:p w14:paraId="21784BE5" w14:textId="1E18284F" w:rsidR="00B47EE5" w:rsidRDefault="00B47EE5" w:rsidP="001C63BC">
      <w:pPr>
        <w:jc w:val="both"/>
      </w:pPr>
    </w:p>
    <w:p w14:paraId="1FCF335F" w14:textId="24335931" w:rsidR="00F50A95" w:rsidRDefault="00F50A95" w:rsidP="001C63BC">
      <w:pPr>
        <w:jc w:val="both"/>
      </w:pPr>
      <w:r>
        <w:t xml:space="preserve">The following section is derived from a recent MobCal-MPI publication in </w:t>
      </w:r>
      <w:r>
        <w:rPr>
          <w:i/>
          <w:iCs/>
        </w:rPr>
        <w:t>Materials Today Communications</w:t>
      </w:r>
      <w:r>
        <w:t xml:space="preserve">. </w:t>
      </w:r>
    </w:p>
    <w:p w14:paraId="60F1837E" w14:textId="2C4E58AF" w:rsidR="00F50A95" w:rsidRDefault="00F50A95" w:rsidP="001C63BC">
      <w:pPr>
        <w:jc w:val="both"/>
      </w:pPr>
    </w:p>
    <w:p w14:paraId="54ACF83B" w14:textId="74122771" w:rsidR="00F50A95" w:rsidRPr="00F50A95" w:rsidRDefault="009819D1" w:rsidP="001C63BC">
      <w:pPr>
        <w:jc w:val="both"/>
      </w:pPr>
      <w:r>
        <w:t xml:space="preserve">Ieritano, C.; Hopkins, W. S. Assessing Collision Cross Section Calculations Using MobCal-MPI with a Variety of Commonly Used Computational Methods. </w:t>
      </w:r>
      <w:r>
        <w:rPr>
          <w:i/>
          <w:iCs/>
        </w:rPr>
        <w:t xml:space="preserve">Mater. Today </w:t>
      </w:r>
      <w:proofErr w:type="spellStart"/>
      <w:r>
        <w:rPr>
          <w:i/>
          <w:iCs/>
        </w:rPr>
        <w:t>Commun</w:t>
      </w:r>
      <w:proofErr w:type="spellEnd"/>
      <w:r>
        <w:rPr>
          <w:i/>
          <w:iCs/>
        </w:rPr>
        <w:t>.</w:t>
      </w:r>
      <w:r>
        <w:t xml:space="preserve"> </w:t>
      </w:r>
      <w:r>
        <w:rPr>
          <w:b/>
          <w:bCs/>
        </w:rPr>
        <w:t>2021</w:t>
      </w:r>
      <w:r>
        <w:t xml:space="preserve">, </w:t>
      </w:r>
      <w:r>
        <w:rPr>
          <w:i/>
          <w:iCs/>
        </w:rPr>
        <w:t>27</w:t>
      </w:r>
      <w:r>
        <w:t xml:space="preserve">, 102226. </w:t>
      </w:r>
      <w:hyperlink r:id="rId45" w:history="1">
        <w:r w:rsidRPr="009C3086">
          <w:rPr>
            <w:rStyle w:val="Hyperlink"/>
          </w:rPr>
          <w:t>https://doi.org/10.1016/j.mtcomm.2021.102226</w:t>
        </w:r>
      </w:hyperlink>
      <w:r>
        <w:t xml:space="preserve">. </w:t>
      </w:r>
    </w:p>
    <w:p w14:paraId="744148C4" w14:textId="77777777" w:rsidR="00F50A95" w:rsidRDefault="00F50A95" w:rsidP="001C63BC">
      <w:pPr>
        <w:jc w:val="both"/>
      </w:pPr>
    </w:p>
    <w:p w14:paraId="612B91F5" w14:textId="4279B430" w:rsidR="00011026" w:rsidRDefault="009819D1" w:rsidP="001C63BC">
      <w:pPr>
        <w:jc w:val="both"/>
        <w:rPr>
          <w:iCs/>
          <w:lang w:val="en-CA"/>
        </w:rPr>
      </w:pPr>
      <w:r>
        <w:rPr>
          <w:iCs/>
          <w:lang w:val="en-CA"/>
        </w:rPr>
        <w:t>To assess which computational method is best suited for use with MobCal-MPI</w:t>
      </w:r>
      <w:r w:rsidR="00011026" w:rsidRPr="00011026">
        <w:rPr>
          <w:iCs/>
          <w:lang w:val="en-CA"/>
        </w:rPr>
        <w:t xml:space="preserve">, a series of structurally diverse molecules with reliable experimental CCSs must be examined. The validation set used in </w:t>
      </w:r>
      <w:r w:rsidR="00966881">
        <w:rPr>
          <w:iCs/>
          <w:lang w:val="en-CA"/>
        </w:rPr>
        <w:t xml:space="preserve">this regard is </w:t>
      </w:r>
      <w:r w:rsidR="00011026" w:rsidRPr="00011026">
        <w:rPr>
          <w:iCs/>
          <w:lang w:val="en-CA"/>
        </w:rPr>
        <w:t xml:space="preserve">the </w:t>
      </w:r>
      <w:r w:rsidR="00966881">
        <w:rPr>
          <w:iCs/>
          <w:lang w:val="en-CA"/>
        </w:rPr>
        <w:t xml:space="preserve">same as the original </w:t>
      </w:r>
      <w:r w:rsidR="00011026" w:rsidRPr="00011026">
        <w:rPr>
          <w:iCs/>
          <w:lang w:val="en-CA"/>
        </w:rPr>
        <w:t xml:space="preserve">MobCal-MPI </w:t>
      </w:r>
      <w:r w:rsidR="00966881">
        <w:rPr>
          <w:iCs/>
          <w:lang w:val="en-CA"/>
        </w:rPr>
        <w:t xml:space="preserve">publication </w:t>
      </w:r>
      <w:r w:rsidR="00011026" w:rsidRPr="00011026">
        <w:rPr>
          <w:iCs/>
          <w:lang w:val="en-CA"/>
        </w:rPr>
        <w:t>(50 molecules, 238 total isomers).</w:t>
      </w:r>
      <w:r w:rsidR="00966881">
        <w:rPr>
          <w:iCs/>
          <w:lang w:val="en-CA"/>
        </w:rPr>
        <w:fldChar w:fldCharType="begin" w:fldLock="1"/>
      </w:r>
      <w:r w:rsidR="00DA5C32">
        <w:rPr>
          <w:iCs/>
          <w:lang w:val="en-CA"/>
        </w:rPr>
        <w:instrText>ADDIN CSL_CITATION {"citationItems":[{"id":"ITEM-1","itemData":{"DOI":"10.1039/c8an02150c","ISSN":"13645528","PMID":"30649115","abstract":"Ion mobility-based separation prior to mass spectrometry has become an invaluable tool in the structural elucidation of gas-phase ions and in the characterization of complex mixtures. Application of ion mobility to structural studies requires an accurate methodology to bridge theoretical modelling of chemical structure with experimental determination of an ion's collision cross section (CCS). Herein, we present a refined methodology for calculating ion CCS using parallel computing architectures that makes use of atom specific parameters, which we have called MobCal-MPI. Tuning of ion-nitrogen Van Der Waals potentials on a diverse calibration set of 162 molecules returned a RMSE of 2.60% in CCS calculations of molecules containing the elements C, H, O, N, F, P, S, Cl, Br, and I. External validation of the ion-nitrogen potential was performed on an additional 50 compounds not present in the validation set, returning a RMSE of 2.31% for the CCSs of these compounds. Owing to the use of parameters from the MMFF94 forcefield, the calibration of the Van Der Waals potential can be extended to additional atoms defined in the MMFF94 forcefield (i.e., Li, Na, K, Si, Mg, Ca, Fe, Cu, Zn). We expect that the work presented here will serve as a foundation for facile determination of molecular CCSs, as MobCal-MPI boasts up to 64-fold speedups over traditional calculation packages.","author":[{"dropping-particle":"","family":"Ieritano","given":"Christian","non-dropping-particle":"","parse-names":false,"suffix":""},{"dropping-particle":"","family":"Crouse","given":"Jeff","non-dropping-particle":"","parse-names":false,"suffix":""},{"dropping-particle":"","family":"Campbell","given":"J. Larry","non-dropping-particle":"","parse-names":false,"suffix":""},{"dropping-particle":"","family":"Hopkins","given":"W. Scott","non-dropping-particle":"","parse-names":false,"suffix":""}],"container-title":"Analyst","id":"ITEM-1","issue":"5","issued":{"date-parts":[["2019"]]},"page":"1660-1670","title":"A parallelized molecular collision cross section package with optimized accuracy and efficiency","type":"article-journal","volume":"144"},"uris":["http://www.mendeley.com/documents/?uuid=b5ed14f1-e843-4393-b251-f630877cff0c"]}],"mendeley":{"formattedCitation":"&lt;sup&gt;35&lt;/sup&gt;","plainTextFormattedCitation":"35","previouslyFormattedCitation":"&lt;sup&gt;41&lt;/sup&gt;"},"properties":{"noteIndex":0},"schema":"https://github.com/citation-style-language/schema/raw/master/csl-citation.json"}</w:instrText>
      </w:r>
      <w:r w:rsidR="00966881">
        <w:rPr>
          <w:iCs/>
          <w:lang w:val="en-CA"/>
        </w:rPr>
        <w:fldChar w:fldCharType="separate"/>
      </w:r>
      <w:r w:rsidR="00DA5C32" w:rsidRPr="00DA5C32">
        <w:rPr>
          <w:iCs/>
          <w:noProof/>
          <w:vertAlign w:val="superscript"/>
          <w:lang w:val="en-CA"/>
        </w:rPr>
        <w:t>35</w:t>
      </w:r>
      <w:r w:rsidR="00966881">
        <w:rPr>
          <w:iCs/>
          <w:lang w:val="en-CA"/>
        </w:rPr>
        <w:fldChar w:fldCharType="end"/>
      </w:r>
      <w:r w:rsidR="00011026" w:rsidRPr="00011026">
        <w:rPr>
          <w:iCs/>
          <w:lang w:val="en-CA"/>
        </w:rPr>
        <w:t xml:space="preserve"> The CCS of each of the molecules was procured from reliable literature sources acquired on either drift-tube IMS or travelling-wave IMS systems.</w:t>
      </w:r>
    </w:p>
    <w:p w14:paraId="7D942079" w14:textId="77777777" w:rsidR="00011026" w:rsidRDefault="00011026" w:rsidP="001C63BC">
      <w:pPr>
        <w:jc w:val="both"/>
        <w:rPr>
          <w:iCs/>
          <w:lang w:val="en-CA"/>
        </w:rPr>
      </w:pPr>
    </w:p>
    <w:p w14:paraId="0596D468" w14:textId="04D56237" w:rsidR="00B47EE5" w:rsidRDefault="00B47EE5" w:rsidP="001C63BC">
      <w:pPr>
        <w:jc w:val="both"/>
        <w:rPr>
          <w:iCs/>
          <w:lang w:val="en-CA"/>
        </w:rPr>
      </w:pPr>
      <w:r w:rsidRPr="00B47EE5">
        <w:rPr>
          <w:iCs/>
          <w:lang w:val="en-CA"/>
        </w:rPr>
        <w:t>Given the variety of computational methods and improved functionals available in commercially available computational chemistry packages, we performed an additional validation of the performance of MobCal-MPI using Hartree-</w:t>
      </w:r>
      <w:proofErr w:type="spellStart"/>
      <w:r w:rsidRPr="00B47EE5">
        <w:rPr>
          <w:iCs/>
          <w:lang w:val="en-CA"/>
        </w:rPr>
        <w:t>Fock</w:t>
      </w:r>
      <w:proofErr w:type="spellEnd"/>
      <w:r w:rsidRPr="00B47EE5">
        <w:rPr>
          <w:iCs/>
          <w:lang w:val="en-CA"/>
        </w:rPr>
        <w:t xml:space="preserve"> theory and three different density functionals, each tested with six different basis sets, as well as </w:t>
      </w:r>
      <w:r w:rsidR="00314428">
        <w:rPr>
          <w:iCs/>
          <w:lang w:val="en-CA"/>
        </w:rPr>
        <w:t>using the semi-empirical</w:t>
      </w:r>
      <w:r w:rsidRPr="00B47EE5">
        <w:rPr>
          <w:iCs/>
          <w:lang w:val="en-CA"/>
        </w:rPr>
        <w:t xml:space="preserve"> PM7 method</w:t>
      </w:r>
      <w:r w:rsidR="00314428">
        <w:rPr>
          <w:iCs/>
          <w:lang w:val="en-CA"/>
        </w:rPr>
        <w:t>.</w:t>
      </w:r>
      <w:r w:rsidR="00195574">
        <w:rPr>
          <w:iCs/>
          <w:lang w:val="en-CA"/>
        </w:rPr>
        <w:t xml:space="preserve"> </w:t>
      </w:r>
      <w:r w:rsidRPr="00B47EE5">
        <w:rPr>
          <w:iCs/>
          <w:lang w:val="en-CA"/>
        </w:rPr>
        <w:fldChar w:fldCharType="begin" w:fldLock="1"/>
      </w:r>
      <w:r w:rsidR="00DA5C32">
        <w:rPr>
          <w:iCs/>
          <w:lang w:val="en-CA"/>
        </w:rPr>
        <w:instrText>ADDIN CSL_CITATION {"citationItems":[{"id":"ITEM-1","itemData":{"DOI":"10.1007/s00894-012-1667-x","ISSN":"16102940","PMID":"23187683","abstract":"Modern semiempirical methods are of sufficient accuracy when used in the modeling of molecules of the same type as used as reference data in the parameterization. Outside that subset, however, there is an abundance of evidence that these methods are of very limited utility. In an attempt to expand the range of applicability, a new method called PM7 has been developed. PM7 was parameterized using experimental and high-level ab initio reference data, augmented by a new type of reference data intended to better define the structure of parameter space. The resulting method was tested by modeling crystal structures and heats of formation of solids. Two changes were made to the set of approximations: a modification was made to improve the description of noncovalent interactions, and two minor errors in the NDDO formalism were rectified. Average unsigned errors (AUEs) in geometry and ΔH f for PM7 were reduced relative to PM6; for simple gas-phase organic systems, the AUE in bond lengths decreased by about 5 % and the AUE in ΔH f decreased by about 10 %; for organic solids, the AUE in ΔH f dropped by 60 % and the reduction was 33.3 % for geometries. A two-step process (PM7-TS) for calculating the heights of activation barriers has been developed. Using PM7-TS, the AUE in the barrier heights for simple organic reactions was decreased from values of 12.6 kcal/mol-1 in PM6 and 10.8 kcal/mol-1 in PM7 to 3.8 kcal/mol-1. The origins of the errors in NDDO methods have been examined, and were found to be attributable to inadequate and inaccurate reference data. This conclusion provides insight into how these methods can be improved. © 2012 The Author(s).","author":[{"dropping-particle":"","family":"Stewart","given":"James J.P.","non-dropping-particle":"","parse-names":false,"suffix":""}],"container-title":"Journal of Molecular Modeling","id":"ITEM-1","issue":"1","issued":{"date-parts":[["2013","1"]]},"page":"1-32","publisher":"J Mol Model","title":"Optimization of parameters for semiempirical methods VI: More modifications to the NDDO approximations and re-optimization of parameters","type":"article-journal","volume":"19"},"uris":["http://www.mendeley.com/documents/?uuid=9f3866ae-35c0-37d3-b0b7-346288300044"]},{"id":"ITEM-2","itemData":{"author":[{"dropping-particle":"","family":"Throssel","given":"K","non-dropping-particle":"","parse-names":false,"suffix":""},{"dropping-particle":"","family":"Frisch","given":"M J","non-dropping-particle":"","parse-names":false,"suffix":""}],"container-title":"Manuscript in Preparation","id":"ITEM-2","issued":{"date-parts":[["0"]]},"title":"Evaluation and Improvement of Semiempirical methods I: PM7R8: A variant of PM7 with numerically stable hydrogen bonding corrections","type":"article-journal"},"uris":["http://www.mendeley.com/documents/?uuid=da861e5c-fdd8-4003-a4e9-63c06b894060"]}],"mendeley":{"formattedCitation":"&lt;sup&gt;33,36&lt;/sup&gt;","plainTextFormattedCitation":"33,36","previouslyFormattedCitation":"&lt;sup&gt;32,42&lt;/sup&gt;"},"properties":{"noteIndex":0},"schema":"https://github.com/citation-style-language/schema/raw/master/csl-citation.json"}</w:instrText>
      </w:r>
      <w:r w:rsidRPr="00B47EE5">
        <w:rPr>
          <w:iCs/>
          <w:lang w:val="en-CA"/>
        </w:rPr>
        <w:fldChar w:fldCharType="separate"/>
      </w:r>
      <w:r w:rsidR="00DA5C32" w:rsidRPr="00DA5C32">
        <w:rPr>
          <w:iCs/>
          <w:noProof/>
          <w:vertAlign w:val="superscript"/>
          <w:lang w:val="en-CA"/>
        </w:rPr>
        <w:t>33,36</w:t>
      </w:r>
      <w:r w:rsidRPr="00B47EE5">
        <w:fldChar w:fldCharType="end"/>
      </w:r>
      <w:r w:rsidRPr="00B47EE5">
        <w:rPr>
          <w:iCs/>
          <w:lang w:val="en-CA"/>
        </w:rPr>
        <w:t xml:space="preserve"> DFT calculations on each of the 238 isomers were performed using Gaussian 16 C.01</w:t>
      </w:r>
      <w:r w:rsidRPr="00B47EE5">
        <w:rPr>
          <w:iCs/>
          <w:lang w:val="en-CA"/>
        </w:rPr>
        <w:fldChar w:fldCharType="begin" w:fldLock="1"/>
      </w:r>
      <w:r w:rsidR="00DA5C32">
        <w:rPr>
          <w:iCs/>
          <w:lang w:val="en-CA"/>
        </w:rPr>
        <w:instrText>ADDIN CSL_CITATION {"citationItems":[{"id":"ITEM-1","itemData":{"author":[{"dropping-particle":"","family":"Frisch","given":"M. J.","non-dropping-particle":"","parse-names":false,"suffix":""},{"dropping-particle":"","family":"Trucks","given":"G. W.","non-dropping-particle":"","parse-names":false,"suffix":""},{"dropping-particle":"","family":"Schlegel","given":"H. B.","non-dropping-particle":"","parse-names":false,"suffix":""},{"dropping-particle":"","family":"Scuseria","given":"G. E.","non-dropping-particle":"","parse-names":false,"suffix":""},{"dropping-particle":"","family":"Robb","given":"M. A.","non-dropping-particle":"","parse-names":false,"suffix":""},{"dropping-particle":"","family":"Cheeseman","given":"J. R.","non-dropping-particle":"","parse-names":false,"suffix":""},{"dropping-particle":"","family":"Scalmani","given":"G.","non-dropping-particle":"","parse-names":false,"suffix":""},{"dropping-particle":"","family":"Barone","given":"B.","non-dropping-particle":"V.","parse-names":false,"suffix":""},{"dropping-particle":"","family":"Mennucci","given":"G.","non-dropping-particle":"","parse-names":false,"suffix":""},{"dropping-particle":"","family":"Petersson","given":"A.","non-dropping-particle":"","parse-names":false,"suffix":""}],"id":"ITEM-1","issued":{"date-parts":[["2009"]]},"note":"Gaussian 09 software","publisher":"Gaussian Incorporated","publisher-place":"Wallingford, CT","title":"Gaussian 09","type":"article"},"uris":["http://www.mendeley.com/documents/?uuid=5b9671f5-3f04-433d-9e5d-e62e2b3d7bd8"]}],"mendeley":{"formattedCitation":"&lt;sup&gt;37&lt;/sup&gt;","plainTextFormattedCitation":"37","previouslyFormattedCitation":"&lt;sup&gt;43&lt;/sup&gt;"},"properties":{"noteIndex":0},"schema":"https://github.com/citation-style-language/schema/raw/master/csl-citation.json"}</w:instrText>
      </w:r>
      <w:r w:rsidRPr="00B47EE5">
        <w:rPr>
          <w:iCs/>
          <w:lang w:val="en-CA"/>
        </w:rPr>
        <w:fldChar w:fldCharType="separate"/>
      </w:r>
      <w:r w:rsidR="00DA5C32" w:rsidRPr="00DA5C32">
        <w:rPr>
          <w:iCs/>
          <w:noProof/>
          <w:vertAlign w:val="superscript"/>
          <w:lang w:val="en-CA"/>
        </w:rPr>
        <w:t>37</w:t>
      </w:r>
      <w:r w:rsidRPr="00B47EE5">
        <w:fldChar w:fldCharType="end"/>
      </w:r>
      <w:r w:rsidRPr="00B47EE5">
        <w:rPr>
          <w:iCs/>
          <w:lang w:val="en-CA"/>
        </w:rPr>
        <w:t xml:space="preserve"> using the B3LYP-D3,</w:t>
      </w:r>
      <w:r w:rsidRPr="00B47EE5">
        <w:rPr>
          <w:iCs/>
          <w:lang w:val="en-CA"/>
        </w:rPr>
        <w:fldChar w:fldCharType="begin" w:fldLock="1"/>
      </w:r>
      <w:r w:rsidR="00DA5C32">
        <w:rPr>
          <w:iCs/>
          <w:lang w:val="en-CA"/>
        </w:rPr>
        <w:instrText>ADDIN CSL_CITATION {"citationItems":[{"id":"ITEM-1","itemData":{"DOI":"10.1063/1.464913","ISBN":"0021-9606","ISSN":"00219606","abstract":"Despite the remarkable thermochemical accuracy of Kohn-Sham density-functional theories with gradient corrections for exchange-correlation [see, for example, A. D. Becke, J. Chem. Phys. 96, 2155 (1992)], we believe that further improvements are unlikely unless exact-exchange information is considered. Arguments to support this view are presented, and a semiempirical exchange-correlation functional containing local-spin-density, gradient, and exact-exchange terms is tested on 56 atomization energies, 42 ionization potentials, 8 proton affinities, and 10 total atomic energies of first- and second-row systems. This functional performs significantly better than previous functionals with gradient corrections only, and fits experimental atomization energies with an impressively small average absolute deviation of 2.4 kcal/mol. © 1993 American Institute of Physics.","author":[{"dropping-particle":"","family":"Becke","given":"Axel D.","non-dropping-particle":"","parse-names":false,"suffix":""}],"container-title":"The Journal of Chemical Physics","id":"ITEM-1","issue":"7","issued":{"date-parts":[["1993"]]},"page":"5648-5652","title":"Density-functional thermochemistry. III. The role of exact exchange","type":"article-journal","volume":"98"},"uris":["http://www.mendeley.com/documents/?uuid=2c85897d-b72a-4880-ba44-7e137dea26bb"]},{"id":"ITEM-2","itemData":{"DOI":"10.1103/PhysRevB.37.785","ISBN":"Copyright (C) 2010 The American Physical Society","ISSN":"01631829","PMID":"9944570","abstract":"A correlation-energy formula due to Colle and Salvetti [Theor. Chim. Acta 37, 329 (1975)], in which the correlation energy density is expressed in terms of the electron density and a Laplacian of the second-order Hartree-Fock density matrix, is restated as a formula involving the density and local kinetic-energy density. On insertion of gradient expansions for the local kinetic-energy density, density-functional formulas for the correlation energy and correlation potential are then obtained. Through numerical calculations on a number of atoms, positive ions, and molecules, of both open- and closed-shell type, it is demonstrated that these formulas, like the original Colle-Salvetti formulas, give correlation energies within a few percent. © 1988 The American Physical Society.","author":[{"dropping-particle":"","family":"Lee","given":"Chengteh","non-dropping-particle":"","parse-names":false,"suffix":""},{"dropping-particle":"","family":"Yang","given":"Weitao","non-dropping-particle":"","parse-names":false,"suffix":""},{"dropping-particle":"","family":"Parr","given":"Robert G.","non-dropping-particle":"","parse-names":false,"suffix":""}],"container-title":"Physical Review B","id":"ITEM-2","issue":"2","issued":{"date-parts":[["1988"]]},"note":"LYP of B3LYP","page":"785-789","title":"Development of the Colle-Salvetti correlation-energy formula into a functional of the electron density","type":"article-journal","volume":"37"},"uris":["http://www.mendeley.com/documents/?uuid=49548add-db14-4574-b878-323313b42f78"]},{"id":"ITEM-3","itemData":{"DOI":"10.1063/1.3382344","ISSN":"00219606","PMID":"20423165","abstract":"The method of dispersion correction as an add-on to standard Kohn-Sham density functional theory (DFT-D) has been refined regarding higher accuracy, broader range of applicability, and less empiricism. The main new ingredients are atom-pairwise specific dispersion coefficients and cutoff radii that are both computed from first principles. The coefficients for new eighth-order dispersion terms are computed using established recursion relations. System (geometry) dependent information is used for the first time in a DFT-D type approach by employing the new concept of fractional coordination numbers (CN). They are used to interpolate between dispersion coefficients of atoms in different chemical environments. The method only requires adjustment of two global parameters for each density functional, is asymptotically exact for a gas of weakly interacting neutral atoms, and easily allows the computation of atomic forces. Three-body nonadditivity terms are considered. The method has been assessed on standard benchmark sets for inter- and intramolecular noncovalent interactions with a particular emphasis on a consistent description of light and heavy element systems. The mean absolute deviations for the S22 benchmark set of noncovalent interactions for 11 standard density functionals decrease by 15%-40% compared to the previous (already accurate) DFT-D version. Spectacular improvements are found for a tripeptide-folding model and all tested metallic systems. The rectification of the long-range behavior and the use of more accurate C6 coefficients also lead to a much better description of large (infinite) systems as shown for graphene sheets and the adsorption of benzene on an Ag(111) surface. For graphene it is found that the inclusion of three-body terms substantially (by about 10%) weakens the interlayer binding. We propose the revised DFT-D method as a general tool for the computation of the dispersion energy in molecules and solids of any kind with DFT and related (low-cost) electronic structure methods for large systems. © 2010 American Institute of Physics.","author":[{"dropping-particle":"","family":"Grimme","given":"Stefan","non-dropping-particle":"","parse-names":false,"suffix":""},{"dropping-particle":"","family":"Antony","given":"Jens","non-dropping-particle":"","parse-names":false,"suffix":""},{"dropping-particle":"","family":"Ehrlich","given":"Stephan","non-dropping-particle":"","parse-names":false,"suffix":""},{"dropping-particle":"","family":"Krieg","given":"Helge","non-dropping-particle":"","parse-names":false,"suffix":""}],"container-title":"Journal of Chemical Physics","id":"ITEM-3","issue":"15","issued":{"date-parts":[["2010","4","21"]]},"page":"154104","publisher":"American Institute of PhysicsAIP","title":"A consistent and accurate ab initio parametrization of density functional dispersion correction (DFT-D) for the 94 elements H-Pu","type":"article-journal","volume":"132"},"uris":["http://www.mendeley.com/documents/?uuid=03cb71ca-25be-35f4-ba1f-bf946ec1f872"]}],"mendeley":{"formattedCitation":"&lt;sup&gt;38–40&lt;/sup&gt;","plainTextFormattedCitation":"38–40","previouslyFormattedCitation":"&lt;sup&gt;44–46&lt;/sup&gt;"},"properties":{"noteIndex":0},"schema":"https://github.com/citation-style-language/schema/raw/master/csl-citation.json"}</w:instrText>
      </w:r>
      <w:r w:rsidRPr="00B47EE5">
        <w:rPr>
          <w:iCs/>
          <w:lang w:val="en-CA"/>
        </w:rPr>
        <w:fldChar w:fldCharType="separate"/>
      </w:r>
      <w:r w:rsidR="00DA5C32" w:rsidRPr="00DA5C32">
        <w:rPr>
          <w:iCs/>
          <w:noProof/>
          <w:vertAlign w:val="superscript"/>
          <w:lang w:val="en-CA"/>
        </w:rPr>
        <w:t>38–40</w:t>
      </w:r>
      <w:r w:rsidRPr="00B47EE5">
        <w:fldChar w:fldCharType="end"/>
      </w:r>
      <w:r w:rsidRPr="00B47EE5">
        <w:rPr>
          <w:iCs/>
          <w:lang w:val="en-CA"/>
        </w:rPr>
        <w:t xml:space="preserve">  ωB97X-D,</w:t>
      </w:r>
      <w:r w:rsidRPr="00B47EE5">
        <w:rPr>
          <w:iCs/>
          <w:lang w:val="en-CA"/>
        </w:rPr>
        <w:fldChar w:fldCharType="begin" w:fldLock="1"/>
      </w:r>
      <w:r w:rsidR="00DA5C32">
        <w:rPr>
          <w:iCs/>
          <w:lang w:val="en-CA"/>
        </w:rPr>
        <w:instrText>ADDIN CSL_CITATION {"citationItems":[{"id":"ITEM-1","itemData":{"DOI":"10.1039/b810189b","ISSN":"14639076","PMID":"18989472","abstract":"We report re-optimization of a recently proposed long-range corrected (LC) hybrid density functional [J.-D. Chai and M. Head-Gordon, J. Chem. Phys., 2008, 128, 084106] to include empirical atom-atom dispersion corrections. The resulting functional, ωB97X-D yields satisfactory accuracy for thermochemistry, kinetics, and non-covalent interactions. Tests show that for non-covalent systems, ωB97X-D shows slight improvement over other empirical dispersion-corrected density functionals, while for covalent systems and kinetics it performs noticeably better. Relative to our previous functionals, such as ωB97X, the new functional is significantly superior for non-bonded interactions, and very similar in performance for bonded interactions. © the Owner Societies.","author":[{"dropping-particle":"Da","family":"Chai","given":"Jeng","non-dropping-particle":"","parse-names":false,"suffix":""},{"dropping-particle":"","family":"Head-Gordon","given":"Martin","non-dropping-particle":"","parse-names":false,"suffix":""}],"container-title":"Physical Chemistry Chemical Physics","id":"ITEM-1","issue":"44","issued":{"date-parts":[["2008","11","28"]]},"page":"6615-6620","publisher":"The Royal Society of Chemistry","title":"Long-range corrected hybrid density functionals with damped atom-atom dispersion corrections","type":"article-journal","volume":"10"},"uris":["http://www.mendeley.com/documents/?uuid=d12e721a-12c2-361e-b866-968c3cf52791"]}],"mendeley":{"formattedCitation":"&lt;sup&gt;41&lt;/sup&gt;","plainTextFormattedCitation":"41","previouslyFormattedCitation":"&lt;sup&gt;47&lt;/sup&gt;"},"properties":{"noteIndex":0},"schema":"https://github.com/citation-style-language/schema/raw/master/csl-citation.json"}</w:instrText>
      </w:r>
      <w:r w:rsidRPr="00B47EE5">
        <w:rPr>
          <w:iCs/>
          <w:lang w:val="en-CA"/>
        </w:rPr>
        <w:fldChar w:fldCharType="separate"/>
      </w:r>
      <w:r w:rsidR="00DA5C32" w:rsidRPr="00DA5C32">
        <w:rPr>
          <w:iCs/>
          <w:noProof/>
          <w:vertAlign w:val="superscript"/>
          <w:lang w:val="en-CA"/>
        </w:rPr>
        <w:t>41</w:t>
      </w:r>
      <w:r w:rsidRPr="00B47EE5">
        <w:fldChar w:fldCharType="end"/>
      </w:r>
      <w:r w:rsidRPr="00B47EE5">
        <w:rPr>
          <w:iCs/>
          <w:lang w:val="en-CA"/>
        </w:rPr>
        <w:t xml:space="preserve"> and M06-2X-D3 functionals.</w:t>
      </w:r>
      <w:r w:rsidRPr="00B47EE5">
        <w:rPr>
          <w:iCs/>
          <w:lang w:val="en-CA"/>
        </w:rPr>
        <w:fldChar w:fldCharType="begin" w:fldLock="1"/>
      </w:r>
      <w:r w:rsidR="00DA5C32">
        <w:rPr>
          <w:iCs/>
          <w:lang w:val="en-CA"/>
        </w:rPr>
        <w:instrText>ADDIN CSL_CITATION {"citationItems":[{"id":"ITEM-1","itemData":{"DOI":"10.1063/1.3382344","ISSN":"00219606","PMID":"20423165","abstract":"The method of dispersion correction as an add-on to standard Kohn-Sham density functional theory (DFT-D) has been refined regarding higher accuracy, broader range of applicability, and less empiricism. The main new ingredients are atom-pairwise specific dispersion coefficients and cutoff radii that are both computed from first principles. The coefficients for new eighth-order dispersion terms are computed using established recursion relations. System (geometry) dependent information is used for the first time in a DFT-D type approach by employing the new concept of fractional coordination numbers (CN). They are used to interpolate between dispersion coefficients of atoms in different chemical environments. The method only requires adjustment of two global parameters for each density functional, is asymptotically exact for a gas of weakly interacting neutral atoms, and easily allows the computation of atomic forces. Three-body nonadditivity terms are considered. The method has been assessed on standard benchmark sets for inter- and intramolecular noncovalent interactions with a particular emphasis on a consistent description of light and heavy element systems. The mean absolute deviations for the S22 benchmark set of noncovalent interactions for 11 standard density functionals decrease by 15%-40% compared to the previous (already accurate) DFT-D version. Spectacular improvements are found for a tripeptide-folding model and all tested metallic systems. The rectification of the long-range behavior and the use of more accurate C6 coefficients also lead to a much better description of large (infinite) systems as shown for graphene sheets and the adsorption of benzene on an Ag(111) surface. For graphene it is found that the inclusion of three-body terms substantially (by about 10%) weakens the interlayer binding. We propose the revised DFT-D method as a general tool for the computation of the dispersion energy in molecules and solids of any kind with DFT and related (low-cost) electronic structure methods for large systems. © 2010 American Institute of Physics.","author":[{"dropping-particle":"","family":"Grimme","given":"Stefan","non-dropping-particle":"","parse-names":false,"suffix":""},{"dropping-particle":"","family":"Antony","given":"Jens","non-dropping-particle":"","parse-names":false,"suffix":""},{"dropping-particle":"","family":"Ehrlich","given":"Stephan","non-dropping-particle":"","parse-names":false,"suffix":""},{"dropping-particle":"","family":"Krieg","given":"Helge","non-dropping-particle":"","parse-names":false,"suffix":""}],"container-title":"Journal of Chemical Physics","id":"ITEM-1","issue":"15","issued":{"date-parts":[["2010","4","21"]]},"page":"154104","publisher":"American Institute of PhysicsAIP","title":"A consistent and accurate ab initio parametrization of density functional dispersion correction (DFT-D) for the 94 elements H-Pu","type":"article-journal","volume":"132"},"uris":["http://www.mendeley.com/documents/?uuid=03cb71ca-25be-35f4-ba1f-bf946ec1f872"]},{"id":"ITEM-2","itemData":{"DOI":"10.1007/s00214-007-0401-8","ISSN":"1432881X","author":[{"dropping-particle":"","family":"Zhao","given":"Yan","non-dropping-particle":"","parse-names":false,"suffix":""},{"dropping-particle":"","family":"Truhlar","given":"Donald G.","non-dropping-particle":"","parse-names":false,"suffix":""}],"container-title":"Theoretical Chemistry Accounts","id":"ITEM-2","issue":"5-6","issued":{"date-parts":[["2008"]]},"page":"525","title":"The M06 suite of density functionals for main group thermochemistry, thermochemical kinetics, noncovalent interactions, excited states, and transition elements: Two new functionals and systematic testing of four M06 functionals and 12 other functionals (T","type":"article-journal","volume":"119"},"uris":["http://www.mendeley.com/documents/?uuid=fc34e4a1-6d61-4850-a00e-ce8728583de0","http://www.mendeley.com/documents/?uuid=0bbe97cb-c1ef-43a5-8143-5885ba6a9269"]}],"mendeley":{"formattedCitation":"&lt;sup&gt;40,42&lt;/sup&gt;","plainTextFormattedCitation":"40,42","previouslyFormattedCitation":"&lt;sup&gt;46,48&lt;/sup&gt;"},"properties":{"noteIndex":0},"schema":"https://github.com/citation-style-language/schema/raw/master/csl-citation.json"}</w:instrText>
      </w:r>
      <w:r w:rsidRPr="00B47EE5">
        <w:rPr>
          <w:iCs/>
          <w:lang w:val="en-CA"/>
        </w:rPr>
        <w:fldChar w:fldCharType="separate"/>
      </w:r>
      <w:r w:rsidR="00DA5C32" w:rsidRPr="00DA5C32">
        <w:rPr>
          <w:iCs/>
          <w:noProof/>
          <w:vertAlign w:val="superscript"/>
          <w:lang w:val="en-CA"/>
        </w:rPr>
        <w:t>40,42</w:t>
      </w:r>
      <w:r w:rsidRPr="00B47EE5">
        <w:fldChar w:fldCharType="end"/>
      </w:r>
      <w:r w:rsidRPr="00B47EE5">
        <w:rPr>
          <w:iCs/>
          <w:lang w:val="en-CA"/>
        </w:rPr>
        <w:t xml:space="preserve"> Three </w:t>
      </w:r>
      <w:proofErr w:type="spellStart"/>
      <w:r w:rsidRPr="00B47EE5">
        <w:rPr>
          <w:iCs/>
          <w:lang w:val="en-CA"/>
        </w:rPr>
        <w:t>Pople</w:t>
      </w:r>
      <w:proofErr w:type="spellEnd"/>
      <w:r w:rsidRPr="00B47EE5">
        <w:rPr>
          <w:iCs/>
          <w:lang w:val="en-CA"/>
        </w:rPr>
        <w:t xml:space="preserve"> basis sets (6-31G, 6-31G(</w:t>
      </w:r>
      <w:proofErr w:type="spellStart"/>
      <w:r w:rsidRPr="00B47EE5">
        <w:rPr>
          <w:iCs/>
          <w:lang w:val="en-CA"/>
        </w:rPr>
        <w:t>d,p</w:t>
      </w:r>
      <w:proofErr w:type="spellEnd"/>
      <w:r w:rsidRPr="00B47EE5">
        <w:rPr>
          <w:iCs/>
          <w:lang w:val="en-CA"/>
        </w:rPr>
        <w:t>), and 6-31++G(</w:t>
      </w:r>
      <w:proofErr w:type="spellStart"/>
      <w:r w:rsidRPr="00B47EE5">
        <w:rPr>
          <w:iCs/>
          <w:lang w:val="en-CA"/>
        </w:rPr>
        <w:t>d,p</w:t>
      </w:r>
      <w:proofErr w:type="spellEnd"/>
      <w:r w:rsidRPr="00B47EE5">
        <w:rPr>
          <w:iCs/>
          <w:lang w:val="en-CA"/>
        </w:rPr>
        <w:t xml:space="preserve">)) and three sets from </w:t>
      </w:r>
      <w:proofErr w:type="spellStart"/>
      <w:r w:rsidRPr="00B47EE5">
        <w:rPr>
          <w:iCs/>
          <w:lang w:val="en-CA"/>
        </w:rPr>
        <w:t>Ahlrichs</w:t>
      </w:r>
      <w:proofErr w:type="spellEnd"/>
      <w:r w:rsidRPr="00B47EE5">
        <w:rPr>
          <w:iCs/>
          <w:lang w:val="en-CA"/>
        </w:rPr>
        <w:t xml:space="preserve"> and Weigand (def2-SVP, def2-TZVP, and def2-TZVPP)</w:t>
      </w:r>
      <w:r w:rsidRPr="00B47EE5">
        <w:rPr>
          <w:iCs/>
          <w:lang w:val="en-CA"/>
        </w:rPr>
        <w:fldChar w:fldCharType="begin" w:fldLock="1"/>
      </w:r>
      <w:r w:rsidR="00DA5C32">
        <w:rPr>
          <w:iCs/>
          <w:lang w:val="en-CA"/>
        </w:rPr>
        <w:instrText>ADDIN CSL_CITATION {"citationItems":[{"id":"ITEM-1","itemData":{"DOI":"10.1039/b508541a","ISSN":"14639076","PMID":"16240044","abstract":"Gaussian basis sets of quadruple zeta valence quality for Rb-Rn are presented, as well as bases of split valence and triple zeta valence quality for H-Rn. The latter were obtained by (partly) modifying bases developed previously. A large set of more than 300 molecules representing (nearly) all elements - except lanthanides - in their common oxidation states was used to assess the quality of the bases all across the periodic table. Quantities investigated were atomization energies, dipole moments and structure parameters for Hartree-Fock, density functional theory and correlated methods, for which we had chosen Møller-Plesset perturbation theory as an example. Finally recommendations are given which type of basis set is used best for a certain level of theory and a desired quality of results. © The Owner Societies 2005.","author":[{"dropping-particle":"","family":"Weigend","given":"Florian","non-dropping-particle":"","parse-names":false,"suffix":""},{"dropping-particle":"","family":"Ahlrichs","given":"Reinhart","non-dropping-particle":"","parse-names":false,"suffix":""}],"container-title":"Physical Chemistry Chemical Physics","id":"ITEM-1","issue":"18","issued":{"date-parts":[["2005"]]},"page":"3297-3305","title":"Balanced basis sets of split valence, triple zeta valence and quadruple zeta valence quality for H to Rn: Design and assessment of accuracy","type":"article-journal","volume":"7"},"uris":["http://www.mendeley.com/documents/?uuid=74d527b3-5297-4ae7-a72e-f05564d0bcbd","http://www.mendeley.com/documents/?uuid=18aed074-c9ce-4160-9154-447c76a8870b"]},{"id":"ITEM-2","itemData":{"DOI":"10.1039/b515623h","ISSN":"14639076","abstract":"A series of auxiliary basis sets to fit Coulomb potentials for the elements H to Rn (except lanthanides) is presented. For each element only one auxiliary basis set is needed to approximate Coulomb energies in conjunction with orbital basis sets of split valence, triple zeta valence and quadruple zeta valence quality with errors of typically below ca. 0.15 kJ mol-1 per atom; this was demonstrated in conjunction with the recently developed orbital basis sets of types def2-SV(P), def2-TZVP and def2-QZVPP for a large set of small molecules representing (nearly) each element in all of its common oxidation states. These auxiliary bases are slightly more than three times larger than orbital bases of split valence quality. Compared to non-approximated treatments, computation times for the Coulomb part are reduced by a factor of ca. 8 for def2-SV(P) orbital bases, ca. 25 for def2-TZVP and ca. 100 for def2-QZVPP orbital bases. © the Owner Societies 2006.","author":[{"dropping-particle":"","family":"Weigend","given":"Florian","non-dropping-particle":"","parse-names":false,"suffix":""}],"container-title":"Physical Chemistry Chemical Physics","id":"ITEM-2","issue":"9","issued":{"date-parts":[["2006"]]},"page":"1057-1065","title":"Accurate Coulomb-fitting basis sets for H to Rn","type":"article-journal","volume":"8"},"uris":["http://www.mendeley.com/documents/?uuid=e5a5ea26-62d5-436e-926c-cb1cfe53f310","http://www.mendeley.com/documents/?uuid=b5863bf8-b651-435e-84d3-c6955762ab27"]}],"mendeley":{"formattedCitation":"&lt;sup&gt;43,44&lt;/sup&gt;","plainTextFormattedCitation":"43,44","previouslyFormattedCitation":"&lt;sup&gt;49,50&lt;/sup&gt;"},"properties":{"noteIndex":0},"schema":"https://github.com/citation-style-language/schema/raw/master/csl-citation.json"}</w:instrText>
      </w:r>
      <w:r w:rsidRPr="00B47EE5">
        <w:rPr>
          <w:iCs/>
          <w:lang w:val="en-CA"/>
        </w:rPr>
        <w:fldChar w:fldCharType="separate"/>
      </w:r>
      <w:r w:rsidR="00DA5C32" w:rsidRPr="00DA5C32">
        <w:rPr>
          <w:iCs/>
          <w:noProof/>
          <w:vertAlign w:val="superscript"/>
          <w:lang w:val="en-CA"/>
        </w:rPr>
        <w:t>43,44</w:t>
      </w:r>
      <w:r w:rsidRPr="00B47EE5">
        <w:fldChar w:fldCharType="end"/>
      </w:r>
      <w:r w:rsidRPr="00B47EE5">
        <w:rPr>
          <w:iCs/>
          <w:lang w:val="en-CA"/>
        </w:rPr>
        <w:t xml:space="preserve"> were used with the HF and DFT methods, which comprises methods of low-medium </w:t>
      </w:r>
      <w:r w:rsidRPr="00B47EE5">
        <w:rPr>
          <w:iCs/>
          <w:lang w:val="en-CA"/>
        </w:rPr>
        <w:lastRenderedPageBreak/>
        <w:t>computational cost. Normal mode analyses were also conducted to ensure that structures correspond to true minima and to calculate thermochemical corrections. Each of the 238 isomers calculated was supplemented with partial charges determined using the MK partition scheme and constrained to reproduce the molecular dipole moment.</w:t>
      </w:r>
      <w:r w:rsidRPr="00B47EE5">
        <w:rPr>
          <w:lang w:val="en-CA"/>
        </w:rPr>
        <w:fldChar w:fldCharType="begin" w:fldLock="1"/>
      </w:r>
      <w:r w:rsidR="006B4206">
        <w:rPr>
          <w:lang w:val="en-CA"/>
        </w:rPr>
        <w:instrText>ADDIN CSL_CITATION {"citationItems":[{"id":"ITEM-1","itemData":{"DOI":"10.1002/jcc.540050204","ISBN":"1096-987X","ISSN":"1096987X","PMID":"3143","abstract":"We present an approach for deriving net atomic charges from ab initio quantum mechanical calculations using a least squares fit of the quantum mechanically calculated electrostatic potential to that of the partial charge model. Our computational approach is similar to those presented by Momany [J. Phys. Chem., 82, 592 (1978)], Smit, Derissen, and van Duijneveldt [Mol. Phys., 37, 521 (1979)], and Cox and Williams [J. Comput. Chem., 2, 304 (1981)], but differs in the approach to choosing the positions for evaluating the potential. In this article, we present applications to the molecules H2O, CH3OH, (CH3)2O, H2CO, NH3, (CH3O)2PO</w:instrText>
      </w:r>
      <w:r w:rsidR="006B4206">
        <w:rPr>
          <w:rFonts w:ascii="Times New Roman" w:hAnsi="Times New Roman"/>
          <w:lang w:val="en-CA"/>
        </w:rPr>
        <w:instrText> </w:instrText>
      </w:r>
      <w:r w:rsidR="006B4206">
        <w:rPr>
          <w:lang w:val="en-CA"/>
        </w:rPr>
        <w:instrText>2</w:instrText>
      </w:r>
      <w:r w:rsidR="006B4206">
        <w:rPr>
          <w:rFonts w:cs="Garamond"/>
          <w:lang w:val="en-CA"/>
        </w:rPr>
        <w:instrText>−</w:instrText>
      </w:r>
      <w:r w:rsidR="006B4206">
        <w:rPr>
          <w:lang w:val="en-CA"/>
        </w:rPr>
        <w:instrText>, deoxyribose, ribose, adenine, 9</w:instrText>
      </w:r>
      <w:r w:rsidR="006B4206">
        <w:rPr>
          <w:rFonts w:ascii="Times New Roman" w:hAnsi="Times New Roman"/>
          <w:lang w:val="en-CA"/>
        </w:rPr>
        <w:instrText>‐</w:instrText>
      </w:r>
      <w:r w:rsidR="006B4206">
        <w:rPr>
          <w:lang w:val="en-CA"/>
        </w:rPr>
        <w:instrText>CH3 adenine, thymine, 1</w:instrText>
      </w:r>
      <w:r w:rsidR="006B4206">
        <w:rPr>
          <w:rFonts w:ascii="Times New Roman" w:hAnsi="Times New Roman"/>
          <w:lang w:val="en-CA"/>
        </w:rPr>
        <w:instrText>‐</w:instrText>
      </w:r>
      <w:r w:rsidR="006B4206">
        <w:rPr>
          <w:lang w:val="en-CA"/>
        </w:rPr>
        <w:instrText>CH3 thymine, guanine, 9</w:instrText>
      </w:r>
      <w:r w:rsidR="006B4206">
        <w:rPr>
          <w:rFonts w:ascii="Times New Roman" w:hAnsi="Times New Roman"/>
          <w:lang w:val="en-CA"/>
        </w:rPr>
        <w:instrText>‐</w:instrText>
      </w:r>
      <w:r w:rsidR="006B4206">
        <w:rPr>
          <w:lang w:val="en-CA"/>
        </w:rPr>
        <w:instrText>CH3 guanine, cytosine, 1</w:instrText>
      </w:r>
      <w:r w:rsidR="006B4206">
        <w:rPr>
          <w:rFonts w:ascii="Times New Roman" w:hAnsi="Times New Roman"/>
          <w:lang w:val="en-CA"/>
        </w:rPr>
        <w:instrText>‐</w:instrText>
      </w:r>
      <w:r w:rsidR="006B4206">
        <w:rPr>
          <w:lang w:val="en-CA"/>
        </w:rPr>
        <w:instrText>CH3 cytosine, uracil, and 1</w:instrText>
      </w:r>
      <w:r w:rsidR="006B4206">
        <w:rPr>
          <w:rFonts w:ascii="Times New Roman" w:hAnsi="Times New Roman"/>
          <w:lang w:val="en-CA"/>
        </w:rPr>
        <w:instrText>‐</w:instrText>
      </w:r>
      <w:r w:rsidR="006B4206">
        <w:rPr>
          <w:lang w:val="en-CA"/>
        </w:rPr>
        <w:instrText xml:space="preserve">CH3 uracil. We also address the question of inclusion of </w:instrText>
      </w:r>
      <w:r w:rsidR="006B4206">
        <w:rPr>
          <w:rFonts w:cs="Garamond"/>
          <w:lang w:val="en-CA"/>
        </w:rPr>
        <w:instrText>“</w:instrText>
      </w:r>
      <w:r w:rsidR="006B4206">
        <w:rPr>
          <w:lang w:val="en-CA"/>
        </w:rPr>
        <w:instrText>lone pairs,</w:instrText>
      </w:r>
      <w:r w:rsidR="006B4206">
        <w:rPr>
          <w:rFonts w:cs="Garamond"/>
          <w:lang w:val="en-CA"/>
        </w:rPr>
        <w:instrText>”</w:instrText>
      </w:r>
      <w:r w:rsidR="006B4206">
        <w:rPr>
          <w:lang w:val="en-CA"/>
        </w:rPr>
        <w:instrText xml:space="preserve"> their location and charge. Copyright </w:instrText>
      </w:r>
      <w:r w:rsidR="006B4206">
        <w:rPr>
          <w:rFonts w:cs="Garamond"/>
          <w:lang w:val="en-CA"/>
        </w:rPr>
        <w:instrText>©</w:instrText>
      </w:r>
      <w:r w:rsidR="006B4206">
        <w:rPr>
          <w:lang w:val="en-CA"/>
        </w:rPr>
        <w:instrText xml:space="preserve"> 1984 John Wiley &amp; Sons, Inc.","author":[{"dropping-particle":"","family":"Singh","given":"U. Chandra","non-dropping-particle":"","parse-names":false,"suffix":""},{"dropping-particle":"","family":"Kollman","given":"Peter A.","non-dropping-particle":"","parse-names":false,"suffix":""}],"container-title":"Journal of Computational Chemistry","id":"ITEM-1","issue":"2","issued":{"date-parts":[["1984"]]},"page":"129-145","title":"An approach to computing electrostatic charges for molecules","type":"article-journal","volume":"5"},"uris":["http://www.mendeley.com/documents/?uuid=5199a929-ab60-4652-b945-7a6c3d1065ba"]},{"id":"ITEM-2","itemData":{"DOI":"10.1002/jcc.540110404","ISBN":"1096-987X","ISSN":"1096987X","PMID":"2714","abstract":"It is demonstrated that semiempirical methods give electrostatic potential (ESP) derived atomic point charges that are in reasonable agreement with ab initio ESP charges. Furthermore, we find that MNDO ESP charges are superior to AM1 ESP charges in correlating with ESP charges derived from the 6</w:instrText>
      </w:r>
      <w:r w:rsidR="006B4206">
        <w:rPr>
          <w:rFonts w:ascii="Times New Roman" w:hAnsi="Times New Roman"/>
          <w:lang w:val="en-CA"/>
        </w:rPr>
        <w:instrText>‐</w:instrText>
      </w:r>
      <w:r w:rsidR="006B4206">
        <w:rPr>
          <w:lang w:val="en-CA"/>
        </w:rPr>
        <w:instrText>31G* basis set. Thus, it is possible to obtain 6</w:instrText>
      </w:r>
      <w:r w:rsidR="006B4206">
        <w:rPr>
          <w:rFonts w:ascii="Times New Roman" w:hAnsi="Times New Roman"/>
          <w:lang w:val="en-CA"/>
        </w:rPr>
        <w:instrText>‐</w:instrText>
      </w:r>
      <w:r w:rsidR="006B4206">
        <w:rPr>
          <w:lang w:val="en-CA"/>
        </w:rPr>
        <w:instrText>31G* quality point charges by simply scaling MNDO ESP charges. The charges are scaled in a linear (y = Mx) manner to conserve charge. In this way researchers desiring to carry out force field simulations or minimizations can obtain charges by using MNDO, which requires much less computer time than the corresponding 6</w:instrText>
      </w:r>
      <w:r w:rsidR="006B4206">
        <w:rPr>
          <w:rFonts w:ascii="Times New Roman" w:hAnsi="Times New Roman"/>
          <w:lang w:val="en-CA"/>
        </w:rPr>
        <w:instrText>‐</w:instrText>
      </w:r>
      <w:r w:rsidR="006B4206">
        <w:rPr>
          <w:lang w:val="en-CA"/>
        </w:rPr>
        <w:instrText xml:space="preserve">31G* calculation. Copyright </w:instrText>
      </w:r>
      <w:r w:rsidR="006B4206">
        <w:rPr>
          <w:rFonts w:cs="Garamond"/>
          <w:lang w:val="en-CA"/>
        </w:rPr>
        <w:instrText>©</w:instrText>
      </w:r>
      <w:r w:rsidR="006B4206">
        <w:rPr>
          <w:lang w:val="en-CA"/>
        </w:rPr>
        <w:instrText xml:space="preserve"> 1990 John Wiley &amp; Sons, Inc.","author":[{"dropping-particle":"","family":"Besler","given":"Brent H.","non-dropping-particle":"","parse-names":false,"suffix":""},{"dropping-particle":"","family":"Merz","given":"Kenneth M.","non-dropping-particle":"","parse-names":false,"suffix":""},{"dropping-particle":"","family":"Kollman","given":"Peter A.","non-dropping-particle":"","parse-names":false,"suffix":""}],"container-title":"Journal of Computational Chemistry","id":"ITEM-2","issue":"4","issued":{"date-parts":[["1990"]]},"page":"431-439","title":"Atomic charges derived from semiempirical methods","type":"article-journal","volume":"11"},"uris":["http://www.mendeley.com/documents/?uuid=778831d4-abdd-41ef-8e54-63527084a752"]}],"mendeley":{"formattedCitation":"&lt;sup&gt;24,25&lt;/sup&gt;","plainTextFormattedCitation":"24,25","previouslyFormattedCitation":"&lt;sup&gt;24,25&lt;/sup&gt;"},"properties":{"noteIndex":0},"schema":"https://github.com/citation-style-language/schema/raw/master/csl-citation.json"}</w:instrText>
      </w:r>
      <w:r w:rsidRPr="00B47EE5">
        <w:rPr>
          <w:lang w:val="en-CA"/>
        </w:rPr>
        <w:fldChar w:fldCharType="separate"/>
      </w:r>
      <w:r w:rsidR="006B4206" w:rsidRPr="006B4206">
        <w:rPr>
          <w:noProof/>
          <w:vertAlign w:val="superscript"/>
          <w:lang w:val="en-CA"/>
        </w:rPr>
        <w:t>24,25</w:t>
      </w:r>
      <w:r w:rsidRPr="00B47EE5">
        <w:fldChar w:fldCharType="end"/>
      </w:r>
      <w:r w:rsidRPr="00B47EE5">
        <w:rPr>
          <w:iCs/>
          <w:lang w:val="en-CA"/>
        </w:rPr>
        <w:t xml:space="preserve"> Mulliken charges were used with the PM7 method, as this is the only partial charge assignment scheme available. </w:t>
      </w:r>
    </w:p>
    <w:p w14:paraId="1CDE3388" w14:textId="77777777" w:rsidR="00195574" w:rsidRPr="00B47EE5" w:rsidRDefault="00195574" w:rsidP="001C63BC">
      <w:pPr>
        <w:jc w:val="both"/>
        <w:rPr>
          <w:iCs/>
          <w:lang w:val="en-CA"/>
        </w:rPr>
      </w:pPr>
    </w:p>
    <w:p w14:paraId="01C46760" w14:textId="136BAD32" w:rsidR="00B47EE5" w:rsidRDefault="00B47EE5" w:rsidP="001C63BC">
      <w:pPr>
        <w:jc w:val="both"/>
        <w:rPr>
          <w:lang w:val="en-CA"/>
        </w:rPr>
      </w:pPr>
      <w:r w:rsidRPr="00B47EE5">
        <w:rPr>
          <w:lang w:val="en-CA"/>
        </w:rPr>
        <w:t>Theoretical N</w:t>
      </w:r>
      <w:r w:rsidRPr="00B47EE5">
        <w:rPr>
          <w:vertAlign w:val="subscript"/>
          <w:lang w:val="en-CA"/>
        </w:rPr>
        <w:t>2</w:t>
      </w:r>
      <w:r w:rsidRPr="00B47EE5">
        <w:rPr>
          <w:lang w:val="en-CA"/>
        </w:rPr>
        <w:t xml:space="preserve"> CCSs (Ω</w:t>
      </w:r>
      <w:r w:rsidRPr="00B47EE5">
        <w:rPr>
          <w:vertAlign w:val="subscript"/>
          <w:lang w:val="en-CA"/>
        </w:rPr>
        <w:t>N2</w:t>
      </w:r>
      <w:r w:rsidRPr="00B47EE5">
        <w:rPr>
          <w:lang w:val="en-CA"/>
        </w:rPr>
        <w:t>) were calculated using the trajectory method implementation in MobCal-</w:t>
      </w:r>
      <w:proofErr w:type="gramStart"/>
      <w:r w:rsidRPr="00B47EE5">
        <w:rPr>
          <w:lang w:val="en-CA"/>
        </w:rPr>
        <w:t>MPI.[</w:t>
      </w:r>
      <w:proofErr w:type="gramEnd"/>
      <w:r w:rsidRPr="00B47EE5">
        <w:rPr>
          <w:lang w:val="en-CA"/>
        </w:rPr>
        <w:t>10, 12] All CCS calculations employed 10 complete cycles of mobility calculations that used 48 points of velocity integration and either 512 points Calculated Ω</w:t>
      </w:r>
      <w:r w:rsidRPr="00B47EE5">
        <w:rPr>
          <w:vertAlign w:val="subscript"/>
          <w:lang w:val="en-CA"/>
        </w:rPr>
        <w:t>N2</w:t>
      </w:r>
      <w:r w:rsidRPr="00B47EE5">
        <w:rPr>
          <w:lang w:val="en-CA"/>
        </w:rPr>
        <w:t xml:space="preserve"> are reported as average values with statistical errors assessed from the ten cycles of calculation. For ions exhibiting multiple low-energy conformations or </w:t>
      </w:r>
      <w:proofErr w:type="spellStart"/>
      <w:r w:rsidRPr="00B47EE5">
        <w:rPr>
          <w:lang w:val="en-CA"/>
        </w:rPr>
        <w:t>prototropic</w:t>
      </w:r>
      <w:proofErr w:type="spellEnd"/>
      <w:r w:rsidRPr="00B47EE5">
        <w:rPr>
          <w:lang w:val="en-CA"/>
        </w:rPr>
        <w:t xml:space="preserve"> isomers, a Boltzmann-weighted CCS is reported based on the standard Gibbs corrected energies (T = 298.15 K). Total error for a corresponding Boltzmann-weighted CCS was calculated from the standard errors for the Boltzmann-weighted CCSs of the low-energy isomers.</w:t>
      </w:r>
    </w:p>
    <w:p w14:paraId="7EA681FD" w14:textId="54D5C4F0" w:rsidR="004E1326" w:rsidRDefault="004E1326" w:rsidP="001C63BC">
      <w:pPr>
        <w:jc w:val="both"/>
        <w:rPr>
          <w:lang w:val="en-CA"/>
        </w:rPr>
      </w:pPr>
    </w:p>
    <w:p w14:paraId="3096E99C" w14:textId="57A69184" w:rsidR="004E1326" w:rsidRDefault="004E1326" w:rsidP="001C63BC">
      <w:pPr>
        <w:jc w:val="both"/>
        <w:rPr>
          <w:lang w:val="en-CA"/>
        </w:rPr>
      </w:pPr>
      <w:r w:rsidRPr="004E1326">
        <w:rPr>
          <w:lang w:val="en-CA"/>
        </w:rPr>
        <w:t xml:space="preserve">The relative deviations of MobCal-MPI CCSs compared to those measured experimentally are shown for each computational method as a violin plot in Figure </w:t>
      </w:r>
      <w:r w:rsidR="00195574">
        <w:rPr>
          <w:lang w:val="en-CA"/>
        </w:rPr>
        <w:t>S</w:t>
      </w:r>
      <w:r w:rsidRPr="004E1326">
        <w:rPr>
          <w:lang w:val="en-CA"/>
        </w:rPr>
        <w:t xml:space="preserve">1. In all cases, including the PM7 method employing Mulliken charges, the majority of calculated CCSs are within 2.5% of the reported experimental value. The largest deviations of 4.0 % and 3.0 % were observed for the HF/6-31G and PM7 methods, respectively. </w:t>
      </w:r>
    </w:p>
    <w:p w14:paraId="2C296C9D" w14:textId="77777777" w:rsidR="009D408C" w:rsidRPr="004E1326" w:rsidRDefault="009D408C" w:rsidP="001C63BC">
      <w:pPr>
        <w:jc w:val="both"/>
        <w:rPr>
          <w:lang w:val="en-CA"/>
        </w:rPr>
      </w:pPr>
    </w:p>
    <w:p w14:paraId="1F361708" w14:textId="77777777" w:rsidR="009D408C" w:rsidRPr="007D4A17" w:rsidRDefault="009D408C" w:rsidP="009D408C">
      <w:pPr>
        <w:jc w:val="both"/>
        <w:rPr>
          <w:lang w:val="en-CA"/>
        </w:rPr>
      </w:pPr>
      <w:r w:rsidRPr="007D4A17">
        <w:rPr>
          <w:lang w:val="en-CA"/>
        </w:rPr>
        <w:t>The agreement of MobCal-MPI to experiment across the 25 model chemistries employed indicates that any one of the methods can be used to calculate CCSs. This is because changing the basis set or level of computational theory within the 25 model chemistries explored here is unlikely to have a major effect on the calculated geometry. Thus, changing the model chemistry should only change the calculated CCS if either: 1) the relative energies of local minima differ drastically, since this would influence Boltzmann-weighted CCSs, or 2) the partial charge assignments differ. The latter issue is relatively insensitive to partial charge assignment schemes that map partial charges based on the electrostatic potential (</w:t>
      </w:r>
      <w:r w:rsidRPr="007D4A17">
        <w:rPr>
          <w:i/>
          <w:iCs/>
          <w:lang w:val="en-CA"/>
        </w:rPr>
        <w:t>i.e.</w:t>
      </w:r>
      <w:r w:rsidRPr="007D4A17">
        <w:rPr>
          <w:lang w:val="en-CA"/>
        </w:rPr>
        <w:t>, the MK partition scheme). However, since Mulliken charges depend on the basis set, errors in excess of 10 % have been observed when they are used with B3LYP-D3.</w:t>
      </w:r>
      <w:r w:rsidRPr="007D4A17">
        <w:rPr>
          <w:lang w:val="en-CA"/>
        </w:rPr>
        <w:fldChar w:fldCharType="begin" w:fldLock="1"/>
      </w:r>
      <w:r>
        <w:rPr>
          <w:lang w:val="en-CA"/>
        </w:rPr>
        <w:instrText>ADDIN CSL_CITATION {"citationItems":[{"id":"ITEM-1","itemData":{"DOI":"10.1039/c8an02150c","ISSN":"13645528","PMID":"30649115","abstract":"Ion mobility-based separation prior to mass spectrometry has become an invaluable tool in the structural elucidation of gas-phase ions and in the characterization of complex mixtures. Application of ion mobility to structural studies requires an accurate methodology to bridge theoretical modelling of chemical structure with experimental determination of an ion's collision cross section (CCS). Herein, we present a refined methodology for calculating ion CCS using parallel computing architectures that makes use of atom specific parameters, which we have called MobCal-MPI. Tuning of ion-nitrogen Van Der Waals potentials on a diverse calibration set of 162 molecules returned a RMSE of 2.60% in CCS calculations of molecules containing the elements C, H, O, N, F, P, S, Cl, Br, and I. External validation of the ion-nitrogen potential was performed on an additional 50 compounds not present in the validation set, returning a RMSE of 2.31% for the CCSs of these compounds. Owing to the use of parameters from the MMFF94 forcefield, the calibration of the Van Der Waals potential can be extended to additional atoms defined in the MMFF94 forcefield (i.e., Li, Na, K, Si, Mg, Ca, Fe, Cu, Zn). We expect that the work presented here will serve as a foundation for facile determination of molecular CCSs, as MobCal-MPI boasts up to 64-fold speedups over traditional calculation packages.","author":[{"dropping-particle":"","family":"Ieritano","given":"Christian","non-dropping-particle":"","parse-names":false,"suffix":""},{"dropping-particle":"","family":"Crouse","given":"Jeff","non-dropping-particle":"","parse-names":false,"suffix":""},{"dropping-particle":"","family":"Campbell","given":"J. Larry","non-dropping-particle":"","parse-names":false,"suffix":""},{"dropping-particle":"","family":"Hopkins","given":"W. Scott","non-dropping-particle":"","parse-names":false,"suffix":""}],"container-title":"Analyst","id":"ITEM-1","issue":"5","issued":{"date-parts":[["2019"]]},"page":"1660-1670","title":"A parallelized molecular collision cross section package with optimized accuracy and efficiency","type":"article-journal","volume":"144"},"uris":["http://www.mendeley.com/documents/?uuid=b5ed14f1-e843-4393-b251-f630877cff0c"]}],"mendeley":{"formattedCitation":"&lt;sup&gt;35&lt;/sup&gt;","plainTextFormattedCitation":"35","previouslyFormattedCitation":"&lt;sup&gt;41&lt;/sup&gt;"},"properties":{"noteIndex":0},"schema":"https://github.com/citation-style-language/schema/raw/master/csl-citation.json"}</w:instrText>
      </w:r>
      <w:r w:rsidRPr="007D4A17">
        <w:rPr>
          <w:lang w:val="en-CA"/>
        </w:rPr>
        <w:fldChar w:fldCharType="separate"/>
      </w:r>
      <w:r w:rsidRPr="00DA5C32">
        <w:rPr>
          <w:noProof/>
          <w:vertAlign w:val="superscript"/>
          <w:lang w:val="en-CA"/>
        </w:rPr>
        <w:t>35</w:t>
      </w:r>
      <w:r w:rsidRPr="007D4A17">
        <w:fldChar w:fldCharType="end"/>
      </w:r>
      <w:r w:rsidRPr="007D4A17">
        <w:rPr>
          <w:lang w:val="en-CA"/>
        </w:rPr>
        <w:t xml:space="preserve"> </w:t>
      </w:r>
    </w:p>
    <w:p w14:paraId="791E58C2" w14:textId="77777777" w:rsidR="009D408C" w:rsidRDefault="009D408C" w:rsidP="009D408C">
      <w:pPr>
        <w:jc w:val="both"/>
      </w:pPr>
    </w:p>
    <w:p w14:paraId="1C3FF5ED" w14:textId="77777777" w:rsidR="009D408C" w:rsidRDefault="009D408C" w:rsidP="009D408C">
      <w:pPr>
        <w:jc w:val="both"/>
        <w:rPr>
          <w:iCs/>
          <w:lang w:val="en-CA"/>
        </w:rPr>
      </w:pPr>
      <w:proofErr w:type="gramStart"/>
      <w:r w:rsidRPr="00D00B16">
        <w:rPr>
          <w:lang w:val="en-CA"/>
        </w:rPr>
        <w:t>In order to</w:t>
      </w:r>
      <w:proofErr w:type="gramEnd"/>
      <w:r w:rsidRPr="00D00B16">
        <w:rPr>
          <w:lang w:val="en-CA"/>
        </w:rPr>
        <w:t xml:space="preserve"> examine to robustness of MobCal-MPI, a comparison of the CCS determined at each model chemistry must be compared to the level of theory used in the original parameterization. Figure S2 assesses the deviation of each CCS calculation for the 238 isomers between one model chemistry and B3LYP-D3/6-31++G(</w:t>
      </w:r>
      <w:proofErr w:type="spellStart"/>
      <w:proofErr w:type="gramStart"/>
      <w:r w:rsidRPr="00D00B16">
        <w:rPr>
          <w:lang w:val="en-CA"/>
        </w:rPr>
        <w:t>d,p</w:t>
      </w:r>
      <w:proofErr w:type="spellEnd"/>
      <w:proofErr w:type="gramEnd"/>
      <w:r w:rsidRPr="00D00B16">
        <w:rPr>
          <w:lang w:val="en-CA"/>
        </w:rPr>
        <w:t xml:space="preserve">). </w:t>
      </w:r>
      <w:r w:rsidRPr="00D00B16">
        <w:rPr>
          <w:iCs/>
          <w:lang w:val="en-CA"/>
        </w:rPr>
        <w:t>Most model chemistries produces CCSs within 1% RMSD of B3LYP-D3/6-31++G(</w:t>
      </w:r>
      <w:proofErr w:type="spellStart"/>
      <w:proofErr w:type="gramStart"/>
      <w:r w:rsidRPr="00D00B16">
        <w:rPr>
          <w:iCs/>
          <w:lang w:val="en-CA"/>
        </w:rPr>
        <w:t>d,p</w:t>
      </w:r>
      <w:proofErr w:type="spellEnd"/>
      <w:proofErr w:type="gramEnd"/>
      <w:r w:rsidRPr="00D00B16">
        <w:rPr>
          <w:iCs/>
          <w:lang w:val="en-CA"/>
        </w:rPr>
        <w:t>). Notable exceptions include HF and any method employing the 6-31G basis set, which produces slightly overestimated CCSs when compared to other model chemistries. Nevertheless, the majority of calculated CCSs lie within ± 2.5% of the value calculated at the B3LYP/6-31++G(</w:t>
      </w:r>
      <w:proofErr w:type="spellStart"/>
      <w:proofErr w:type="gramStart"/>
      <w:r w:rsidRPr="00D00B16">
        <w:rPr>
          <w:iCs/>
          <w:lang w:val="en-CA"/>
        </w:rPr>
        <w:t>d,p</w:t>
      </w:r>
      <w:proofErr w:type="spellEnd"/>
      <w:proofErr w:type="gramEnd"/>
      <w:r w:rsidRPr="00D00B16">
        <w:rPr>
          <w:iCs/>
          <w:lang w:val="en-CA"/>
        </w:rPr>
        <w:t xml:space="preserve">) level of theory, further supporting that any of the 25 model chemistries can be coupled with MobCal-MPI. However, caution should be exercised when PM7 and HF methods are used with MobCal-MPI, in addition to any basis set that lacks polarization functions. </w:t>
      </w:r>
    </w:p>
    <w:p w14:paraId="5CCA4ADB" w14:textId="77777777" w:rsidR="009D408C" w:rsidRPr="006B4206" w:rsidRDefault="009D408C" w:rsidP="009D408C">
      <w:pPr>
        <w:jc w:val="both"/>
        <w:rPr>
          <w:iCs/>
          <w:lang w:val="en-CA"/>
        </w:rPr>
      </w:pPr>
    </w:p>
    <w:p w14:paraId="27F1191C" w14:textId="777AA020" w:rsidR="004E1326" w:rsidRDefault="004E1326" w:rsidP="001C63BC">
      <w:pPr>
        <w:jc w:val="both"/>
      </w:pPr>
    </w:p>
    <w:p w14:paraId="365DD2A7" w14:textId="68FCFBA4" w:rsidR="004E1326" w:rsidRDefault="009F2783" w:rsidP="00966881">
      <w:pPr>
        <w:jc w:val="center"/>
      </w:pPr>
      <w:r>
        <w:rPr>
          <w:noProof/>
        </w:rPr>
        <w:lastRenderedPageBreak/>
        <w:drawing>
          <wp:inline distT="0" distB="0" distL="0" distR="0" wp14:anchorId="7AD7DD2A" wp14:editId="206F4D80">
            <wp:extent cx="59245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4550" cy="5924550"/>
                    </a:xfrm>
                    <a:prstGeom prst="rect">
                      <a:avLst/>
                    </a:prstGeom>
                    <a:noFill/>
                    <a:ln>
                      <a:noFill/>
                    </a:ln>
                  </pic:spPr>
                </pic:pic>
              </a:graphicData>
            </a:graphic>
          </wp:inline>
        </w:drawing>
      </w:r>
    </w:p>
    <w:p w14:paraId="4C4EC21B" w14:textId="77777777" w:rsidR="009D408C" w:rsidRDefault="009D408C" w:rsidP="00966881">
      <w:pPr>
        <w:jc w:val="center"/>
      </w:pPr>
    </w:p>
    <w:p w14:paraId="1C4540A7" w14:textId="24B30A00" w:rsidR="009F2783" w:rsidRDefault="00215B53" w:rsidP="001C63BC">
      <w:pPr>
        <w:jc w:val="both"/>
      </w:pPr>
      <w:r w:rsidRPr="00724E6D">
        <w:rPr>
          <w:b/>
          <w:bCs/>
        </w:rPr>
        <w:t>Figure S1.</w:t>
      </w:r>
      <w:r w:rsidRPr="00215B53">
        <w:t xml:space="preserve"> Violin plot showing the relative accuracy of MobCal-MPI when employing (A) Hartree-</w:t>
      </w:r>
      <w:proofErr w:type="spellStart"/>
      <w:r w:rsidRPr="00215B53">
        <w:t>Fock</w:t>
      </w:r>
      <w:proofErr w:type="spellEnd"/>
      <w:r w:rsidRPr="00215B53">
        <w:t>, (B) B3LYP-D3, (C) wB97X-D, and (D) M06-2X-D3 computational methods with the basis sets provided across the bottom of the plot. Results for the PM7 method are shown in Panel A in red. The probability density of the dataset is overlayed with a box plot; the dot within the box represents the mean deviation for the set. The boundaries of the box indicate the 25th to 75th percentile and the whiskers indicate the highest and lowest observed relative standard deviations. The ± 2.5 % deviation region is highlighted in green. Root mean square deviations (RMSD) to experimental CCS for the various sets are provide</w:t>
      </w:r>
      <w:r w:rsidR="008A67DD">
        <w:t>d</w:t>
      </w:r>
      <w:r w:rsidRPr="00215B53">
        <w:t xml:space="preserve"> in blue text on the plot.</w:t>
      </w:r>
    </w:p>
    <w:p w14:paraId="7A620D65" w14:textId="1EA8CB69" w:rsidR="007D4A17" w:rsidRDefault="007D4A17" w:rsidP="001C63BC">
      <w:pPr>
        <w:jc w:val="both"/>
      </w:pPr>
    </w:p>
    <w:p w14:paraId="3B693F22" w14:textId="0479657F" w:rsidR="008A67DD" w:rsidRDefault="0074619F" w:rsidP="001C63BC">
      <w:pPr>
        <w:jc w:val="both"/>
        <w:rPr>
          <w:iCs/>
          <w:lang w:val="en-CA"/>
        </w:rPr>
      </w:pPr>
      <w:r>
        <w:rPr>
          <w:noProof/>
        </w:rPr>
        <w:lastRenderedPageBreak/>
        <w:drawing>
          <wp:inline distT="0" distB="0" distL="0" distR="0" wp14:anchorId="7563BC0C" wp14:editId="183AF673">
            <wp:extent cx="5943600" cy="594360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0376AE4" w14:textId="77777777" w:rsidR="009D408C" w:rsidRDefault="009D408C" w:rsidP="001C63BC">
      <w:pPr>
        <w:jc w:val="both"/>
        <w:rPr>
          <w:iCs/>
          <w:lang w:val="en-CA"/>
        </w:rPr>
      </w:pPr>
    </w:p>
    <w:p w14:paraId="5626416E" w14:textId="4A6E947C" w:rsidR="00E75976" w:rsidRDefault="00E75976" w:rsidP="001C63BC">
      <w:pPr>
        <w:jc w:val="both"/>
      </w:pPr>
      <w:r w:rsidRPr="00B30E24">
        <w:rPr>
          <w:b/>
          <w:bCs/>
        </w:rPr>
        <w:t xml:space="preserve">Figure </w:t>
      </w:r>
      <w:r>
        <w:rPr>
          <w:b/>
          <w:bCs/>
        </w:rPr>
        <w:t>S2</w:t>
      </w:r>
      <w:r w:rsidRPr="00B30E24">
        <w:rPr>
          <w:b/>
          <w:bCs/>
        </w:rPr>
        <w:t>.</w:t>
      </w:r>
      <w:r w:rsidRPr="00B30E24">
        <w:t xml:space="preserve"> Violin plot showing the </w:t>
      </w:r>
      <w:r>
        <w:t>deviation</w:t>
      </w:r>
      <w:r w:rsidRPr="00B30E24">
        <w:t xml:space="preserve"> of </w:t>
      </w:r>
      <w:r>
        <w:t xml:space="preserve">CCSs calculated by </w:t>
      </w:r>
      <w:r w:rsidRPr="00B30E24">
        <w:t xml:space="preserve">MobCal-MPI </w:t>
      </w:r>
      <w:r>
        <w:t>for each of the 238 isomers considered in this study when employing (A) Hartree-</w:t>
      </w:r>
      <w:proofErr w:type="spellStart"/>
      <w:r>
        <w:t>Fock</w:t>
      </w:r>
      <w:proofErr w:type="spellEnd"/>
      <w:r>
        <w:t>, (B) B3LYP-D3, (C) wB97X-D, and (D) M06-2X-D3 computational methods with the basis sets provided across the bottom of the plot compared to the B3LYP-D3/6-31++G(</w:t>
      </w:r>
      <w:proofErr w:type="spellStart"/>
      <w:proofErr w:type="gramStart"/>
      <w:r>
        <w:t>d,p</w:t>
      </w:r>
      <w:proofErr w:type="spellEnd"/>
      <w:proofErr w:type="gramEnd"/>
      <w:r>
        <w:t>) level of theory. T</w:t>
      </w:r>
      <w:r w:rsidRPr="00B30E24">
        <w:t>he probability density of the dataset is overlayed with a box plot; the dot within the box represents the mean</w:t>
      </w:r>
      <w:r>
        <w:t xml:space="preserve"> deviation for the set</w:t>
      </w:r>
      <w:r w:rsidRPr="00B30E24">
        <w:t>. The boundaries of the box indicate the 25</w:t>
      </w:r>
      <w:r w:rsidRPr="00B30E24">
        <w:rPr>
          <w:vertAlign w:val="superscript"/>
        </w:rPr>
        <w:t>th</w:t>
      </w:r>
      <w:r w:rsidRPr="00B30E24">
        <w:t xml:space="preserve"> to 75</w:t>
      </w:r>
      <w:r w:rsidRPr="00B30E24">
        <w:rPr>
          <w:vertAlign w:val="superscript"/>
        </w:rPr>
        <w:t>th</w:t>
      </w:r>
      <w:r w:rsidRPr="00B30E24">
        <w:t xml:space="preserve"> percentile and the whiskers indicate the highest and lowest observed relative standard deviations.</w:t>
      </w:r>
      <w:r>
        <w:t xml:space="preserve"> The </w:t>
      </w:r>
      <w:r>
        <w:rPr>
          <w:rFonts w:cstheme="minorHAnsi"/>
        </w:rPr>
        <w:t>±</w:t>
      </w:r>
      <w:r>
        <w:t>2.5% deviation region is highlighted in green. Root mean square deviations (RMSD) of CCS calculated at the specified level of theory compared to B3LYP-D3/6-31++G(</w:t>
      </w:r>
      <w:proofErr w:type="spellStart"/>
      <w:proofErr w:type="gramStart"/>
      <w:r>
        <w:t>d,p</w:t>
      </w:r>
      <w:proofErr w:type="spellEnd"/>
      <w:proofErr w:type="gramEnd"/>
      <w:r>
        <w:t>) for the various sets are provided in blue text on the plot.</w:t>
      </w:r>
    </w:p>
    <w:p w14:paraId="59D832EB" w14:textId="77777777" w:rsidR="00E75976" w:rsidRDefault="00E75976" w:rsidP="001C63BC">
      <w:pPr>
        <w:jc w:val="both"/>
        <w:rPr>
          <w:iCs/>
          <w:lang w:val="en-CA"/>
        </w:rPr>
      </w:pPr>
    </w:p>
    <w:p w14:paraId="40B2FB89" w14:textId="1A3FDAAF" w:rsidR="007C6C7D" w:rsidRDefault="003F7C99" w:rsidP="001C63BC">
      <w:pPr>
        <w:pStyle w:val="Heading3"/>
        <w:jc w:val="both"/>
        <w:rPr>
          <w:lang w:val="en-CA"/>
        </w:rPr>
      </w:pPr>
      <w:bookmarkStart w:id="50" w:name="_A2.2_–_What"/>
      <w:bookmarkStart w:id="51" w:name="_Toc66269188"/>
      <w:bookmarkEnd w:id="50"/>
      <w:r>
        <w:rPr>
          <w:lang w:val="en-CA"/>
        </w:rPr>
        <w:lastRenderedPageBreak/>
        <w:t>A</w:t>
      </w:r>
      <w:r w:rsidR="00551FBB">
        <w:rPr>
          <w:lang w:val="en-CA"/>
        </w:rPr>
        <w:t>2</w:t>
      </w:r>
      <w:r>
        <w:rPr>
          <w:lang w:val="en-CA"/>
        </w:rPr>
        <w:t xml:space="preserve">.2 – What </w:t>
      </w:r>
      <w:r w:rsidR="001C63BC">
        <w:rPr>
          <w:lang w:val="en-CA"/>
        </w:rPr>
        <w:t xml:space="preserve">DFT </w:t>
      </w:r>
      <w:r>
        <w:rPr>
          <w:lang w:val="en-CA"/>
        </w:rPr>
        <w:t>method should I use?</w:t>
      </w:r>
      <w:r w:rsidR="00BB7A0B">
        <w:rPr>
          <w:lang w:val="en-CA"/>
        </w:rPr>
        <w:t xml:space="preserve"> Recommendations for MobCal-MPI compatibility</w:t>
      </w:r>
      <w:bookmarkEnd w:id="51"/>
      <w:r w:rsidR="00BB7A0B">
        <w:rPr>
          <w:lang w:val="en-CA"/>
        </w:rPr>
        <w:t xml:space="preserve"> </w:t>
      </w:r>
    </w:p>
    <w:p w14:paraId="7B096DF4" w14:textId="33CC1F34" w:rsidR="003F7C99" w:rsidRDefault="003F7C99" w:rsidP="001C63BC">
      <w:pPr>
        <w:jc w:val="both"/>
        <w:rPr>
          <w:lang w:val="en-CA"/>
        </w:rPr>
      </w:pPr>
    </w:p>
    <w:p w14:paraId="38D5E795" w14:textId="3E787CEC" w:rsidR="003F7C99" w:rsidRDefault="009C05FB" w:rsidP="001C63BC">
      <w:pPr>
        <w:jc w:val="both"/>
      </w:pPr>
      <w:r w:rsidRPr="009C05FB">
        <w:t>In summary, we have demonstrated that MobCal-MPI performs within the expected error of the method (ca. 2.5 %) for 25 different model chemistries. Even when employing the relatively low level PM7 semi-empirical method and Mulliken partial charges, MobCal-MPI calculated CCS values within 3% of those determined experimentally. Ultimately, users can employ MobCal-MPI with any one of the 25 model chemistries tested in this study and expect accurate CCSs, though caution should be exercised when using methods with systematic deviations from B3LYP/6-31++G(</w:t>
      </w:r>
      <w:proofErr w:type="spellStart"/>
      <w:proofErr w:type="gramStart"/>
      <w:r w:rsidRPr="009C05FB">
        <w:t>d,p</w:t>
      </w:r>
      <w:proofErr w:type="spellEnd"/>
      <w:proofErr w:type="gramEnd"/>
      <w:r w:rsidRPr="009C05FB">
        <w:t>). These include PM7, HF, and any basis set that does not include polarization functions.</w:t>
      </w:r>
    </w:p>
    <w:p w14:paraId="2F5D43B9" w14:textId="27FBEFD1" w:rsidR="00E53D16" w:rsidRDefault="00E53D16" w:rsidP="001C63BC">
      <w:pPr>
        <w:jc w:val="both"/>
      </w:pPr>
    </w:p>
    <w:p w14:paraId="072BF614" w14:textId="50EEDDB9" w:rsidR="00E53D16" w:rsidRDefault="00E53D16" w:rsidP="001C63BC">
      <w:pPr>
        <w:jc w:val="both"/>
      </w:pPr>
      <w:r>
        <w:t xml:space="preserve">Specifically, </w:t>
      </w:r>
      <w:r>
        <w:rPr>
          <w:b/>
          <w:bCs/>
        </w:rPr>
        <w:t>we recommend the following options</w:t>
      </w:r>
      <w:r w:rsidR="00E72099">
        <w:rPr>
          <w:b/>
          <w:bCs/>
        </w:rPr>
        <w:t xml:space="preserve"> in order of confidence: </w:t>
      </w:r>
    </w:p>
    <w:p w14:paraId="39BF40F4" w14:textId="792BB1D2" w:rsidR="00E53D16" w:rsidRDefault="00E53D16" w:rsidP="001C63BC">
      <w:pPr>
        <w:jc w:val="both"/>
      </w:pPr>
    </w:p>
    <w:p w14:paraId="1C51B5AF" w14:textId="5F738B4F" w:rsidR="00E53D16" w:rsidRPr="00E72099" w:rsidRDefault="001335E5" w:rsidP="001C63BC">
      <w:pPr>
        <w:pStyle w:val="ListParagraph"/>
        <w:numPr>
          <w:ilvl w:val="0"/>
          <w:numId w:val="11"/>
        </w:numPr>
        <w:jc w:val="both"/>
        <w:rPr>
          <w:lang w:val="en-CA"/>
        </w:rPr>
      </w:pPr>
      <w:r w:rsidRPr="00E72099">
        <w:rPr>
          <w:lang w:val="en-CA"/>
        </w:rPr>
        <w:t>ωB97X-D/def2-TZVPP</w:t>
      </w:r>
    </w:p>
    <w:p w14:paraId="6EB44424" w14:textId="78DE9697" w:rsidR="001335E5" w:rsidRPr="00E72099" w:rsidRDefault="001335E5" w:rsidP="001C63BC">
      <w:pPr>
        <w:pStyle w:val="ListParagraph"/>
        <w:numPr>
          <w:ilvl w:val="0"/>
          <w:numId w:val="11"/>
        </w:numPr>
        <w:jc w:val="both"/>
        <w:rPr>
          <w:lang w:val="en-CA"/>
        </w:rPr>
      </w:pPr>
      <w:r w:rsidRPr="00E72099">
        <w:rPr>
          <w:lang w:val="en-CA"/>
        </w:rPr>
        <w:t>B3LYP-D3/6-31++G(</w:t>
      </w:r>
      <w:proofErr w:type="spellStart"/>
      <w:proofErr w:type="gramStart"/>
      <w:r w:rsidRPr="00E72099">
        <w:rPr>
          <w:lang w:val="en-CA"/>
        </w:rPr>
        <w:t>d,p</w:t>
      </w:r>
      <w:proofErr w:type="spellEnd"/>
      <w:proofErr w:type="gramEnd"/>
      <w:r w:rsidRPr="00E72099">
        <w:rPr>
          <w:lang w:val="en-CA"/>
        </w:rPr>
        <w:t>)</w:t>
      </w:r>
    </w:p>
    <w:p w14:paraId="0E441685" w14:textId="7C02352B" w:rsidR="0055227B" w:rsidRPr="00E72099" w:rsidRDefault="0055227B" w:rsidP="001C63BC">
      <w:pPr>
        <w:pStyle w:val="ListParagraph"/>
        <w:numPr>
          <w:ilvl w:val="0"/>
          <w:numId w:val="11"/>
        </w:numPr>
        <w:jc w:val="both"/>
        <w:rPr>
          <w:lang w:val="en-CA"/>
        </w:rPr>
      </w:pPr>
      <w:r w:rsidRPr="00E72099">
        <w:rPr>
          <w:lang w:val="en-CA"/>
        </w:rPr>
        <w:t>M06-2X-D3/6-31++G(</w:t>
      </w:r>
      <w:proofErr w:type="spellStart"/>
      <w:proofErr w:type="gramStart"/>
      <w:r w:rsidRPr="00E72099">
        <w:rPr>
          <w:lang w:val="en-CA"/>
        </w:rPr>
        <w:t>d,p</w:t>
      </w:r>
      <w:proofErr w:type="spellEnd"/>
      <w:proofErr w:type="gramEnd"/>
      <w:r w:rsidRPr="00E72099">
        <w:rPr>
          <w:lang w:val="en-CA"/>
        </w:rPr>
        <w:t>)</w:t>
      </w:r>
    </w:p>
    <w:p w14:paraId="7BBEA2A3" w14:textId="7AAEC36C" w:rsidR="0055227B" w:rsidRDefault="0055227B" w:rsidP="001C63BC">
      <w:pPr>
        <w:pStyle w:val="ListParagraph"/>
        <w:numPr>
          <w:ilvl w:val="0"/>
          <w:numId w:val="11"/>
        </w:numPr>
        <w:jc w:val="both"/>
        <w:rPr>
          <w:lang w:val="en-CA"/>
        </w:rPr>
      </w:pPr>
      <w:r w:rsidRPr="00E72099">
        <w:rPr>
          <w:lang w:val="en-CA"/>
        </w:rPr>
        <w:t>PM7</w:t>
      </w:r>
      <w:r w:rsidR="00E72099">
        <w:rPr>
          <w:lang w:val="en-CA"/>
        </w:rPr>
        <w:t xml:space="preserve"> (Mulliken charges)</w:t>
      </w:r>
    </w:p>
    <w:p w14:paraId="1D8C108E" w14:textId="64A883D9" w:rsidR="00BB7A0B" w:rsidRDefault="00BB7A0B" w:rsidP="00BB7A0B">
      <w:pPr>
        <w:jc w:val="both"/>
        <w:rPr>
          <w:lang w:val="en-CA"/>
        </w:rPr>
      </w:pPr>
    </w:p>
    <w:p w14:paraId="63C29923" w14:textId="77777777" w:rsidR="00BB7A0B" w:rsidRDefault="00BB7A0B" w:rsidP="00BB7A0B">
      <w:pPr>
        <w:jc w:val="both"/>
        <w:rPr>
          <w:lang w:val="en-CA"/>
        </w:rPr>
        <w:sectPr w:rsidR="00BB7A0B">
          <w:pgSz w:w="12240" w:h="15840"/>
          <w:pgMar w:top="1440" w:right="1440" w:bottom="1440" w:left="1440" w:header="720" w:footer="720" w:gutter="0"/>
          <w:cols w:space="720"/>
          <w:docGrid w:linePitch="360"/>
        </w:sectPr>
      </w:pPr>
    </w:p>
    <w:p w14:paraId="1DB4970A" w14:textId="34130EEC" w:rsidR="007C6C7D" w:rsidRDefault="007C6C7D" w:rsidP="001C63BC">
      <w:pPr>
        <w:pStyle w:val="Heading1"/>
        <w:jc w:val="both"/>
        <w:rPr>
          <w:lang w:val="en-CA"/>
        </w:rPr>
      </w:pPr>
      <w:bookmarkStart w:id="52" w:name="_Appendix_B_–"/>
      <w:bookmarkStart w:id="53" w:name="_Toc66269189"/>
      <w:bookmarkEnd w:id="52"/>
      <w:r>
        <w:rPr>
          <w:lang w:val="en-CA"/>
        </w:rPr>
        <w:lastRenderedPageBreak/>
        <w:t>Appendix B – Citing MobCal-MPI</w:t>
      </w:r>
      <w:bookmarkEnd w:id="53"/>
      <w:r>
        <w:rPr>
          <w:lang w:val="en-CA"/>
        </w:rPr>
        <w:t xml:space="preserve"> </w:t>
      </w:r>
    </w:p>
    <w:p w14:paraId="6DDA1E1E" w14:textId="77777777" w:rsidR="00E05D60" w:rsidRDefault="00E05D60" w:rsidP="001C63BC">
      <w:pPr>
        <w:jc w:val="both"/>
        <w:rPr>
          <w:lang w:val="en-CA"/>
        </w:rPr>
      </w:pPr>
    </w:p>
    <w:p w14:paraId="5A303E83" w14:textId="05F7D727" w:rsidR="007C6C7D" w:rsidRDefault="00E05D60" w:rsidP="001C63BC">
      <w:pPr>
        <w:jc w:val="both"/>
        <w:rPr>
          <w:lang w:val="en-CA"/>
        </w:rPr>
      </w:pPr>
      <w:r>
        <w:rPr>
          <w:lang w:val="en-CA"/>
        </w:rPr>
        <w:t xml:space="preserve">Any usage of MobCal-MPI should cite the </w:t>
      </w:r>
      <w:r w:rsidR="009730B6">
        <w:rPr>
          <w:lang w:val="en-CA"/>
        </w:rPr>
        <w:t>following papers:</w:t>
      </w:r>
    </w:p>
    <w:p w14:paraId="4185D392" w14:textId="4612519E" w:rsidR="004977ED" w:rsidRDefault="004977ED" w:rsidP="001C63BC">
      <w:pPr>
        <w:jc w:val="both"/>
        <w:rPr>
          <w:lang w:val="en-CA"/>
        </w:rPr>
      </w:pPr>
    </w:p>
    <w:p w14:paraId="47D20279" w14:textId="79B7ECF9" w:rsidR="004977ED" w:rsidRDefault="006B1833" w:rsidP="001C63BC">
      <w:pPr>
        <w:pStyle w:val="ListParagraph"/>
        <w:numPr>
          <w:ilvl w:val="0"/>
          <w:numId w:val="10"/>
        </w:numPr>
        <w:jc w:val="both"/>
      </w:pPr>
      <w:r>
        <w:t xml:space="preserve">Ieritano, C.; Crouse, J.; Campbell, J. L.; Hopkins, W. S. A Parallelized Molecular Collision Cross Section Package with Optimized Accuracy and Efficiency. </w:t>
      </w:r>
      <w:r w:rsidRPr="006B1833">
        <w:rPr>
          <w:i/>
          <w:iCs/>
        </w:rPr>
        <w:t>Analyst</w:t>
      </w:r>
      <w:r>
        <w:t xml:space="preserve"> </w:t>
      </w:r>
      <w:r w:rsidRPr="006B1833">
        <w:rPr>
          <w:b/>
          <w:bCs/>
        </w:rPr>
        <w:t>2019</w:t>
      </w:r>
      <w:r>
        <w:t xml:space="preserve">, </w:t>
      </w:r>
      <w:r w:rsidRPr="006B1833">
        <w:rPr>
          <w:i/>
          <w:iCs/>
        </w:rPr>
        <w:t>144</w:t>
      </w:r>
      <w:r>
        <w:t xml:space="preserve"> (5), 1660–1670. </w:t>
      </w:r>
      <w:hyperlink r:id="rId48" w:history="1">
        <w:r w:rsidRPr="003E698A">
          <w:rPr>
            <w:rStyle w:val="Hyperlink"/>
          </w:rPr>
          <w:t>https://doi.org/10.1039/c8an02150c</w:t>
        </w:r>
      </w:hyperlink>
      <w:r>
        <w:t>.</w:t>
      </w:r>
      <w:r w:rsidR="00FB61DB">
        <w:br/>
      </w:r>
    </w:p>
    <w:p w14:paraId="0F90C670" w14:textId="701F2B01" w:rsidR="006B1833" w:rsidRPr="00FB61DB" w:rsidRDefault="00FB61DB" w:rsidP="001C63BC">
      <w:pPr>
        <w:pStyle w:val="ListParagraph"/>
        <w:numPr>
          <w:ilvl w:val="0"/>
          <w:numId w:val="10"/>
        </w:numPr>
        <w:jc w:val="both"/>
        <w:rPr>
          <w:lang w:val="en-CA"/>
        </w:rPr>
      </w:pPr>
      <w:r>
        <w:t xml:space="preserve">(1) </w:t>
      </w:r>
      <w:r>
        <w:tab/>
        <w:t xml:space="preserve">Ieritano, C.; Hopkins, W. S. Assessing Collision Cross Section Calculations Using MobCal-MPI with a Variety of Commonly Used Computational Methods. </w:t>
      </w:r>
      <w:r>
        <w:rPr>
          <w:i/>
          <w:iCs/>
        </w:rPr>
        <w:t xml:space="preserve">Mater. Today </w:t>
      </w:r>
      <w:proofErr w:type="spellStart"/>
      <w:r>
        <w:rPr>
          <w:i/>
          <w:iCs/>
        </w:rPr>
        <w:t>Commun</w:t>
      </w:r>
      <w:proofErr w:type="spellEnd"/>
      <w:r>
        <w:rPr>
          <w:i/>
          <w:iCs/>
        </w:rPr>
        <w:t>.</w:t>
      </w:r>
      <w:r>
        <w:t xml:space="preserve"> </w:t>
      </w:r>
      <w:r>
        <w:rPr>
          <w:b/>
          <w:bCs/>
        </w:rPr>
        <w:t>2021</w:t>
      </w:r>
      <w:r>
        <w:t xml:space="preserve">, </w:t>
      </w:r>
      <w:r>
        <w:rPr>
          <w:i/>
          <w:iCs/>
        </w:rPr>
        <w:t>27</w:t>
      </w:r>
      <w:r>
        <w:t xml:space="preserve">, 102226. </w:t>
      </w:r>
      <w:hyperlink r:id="rId49" w:history="1">
        <w:r w:rsidRPr="003E698A">
          <w:rPr>
            <w:rStyle w:val="Hyperlink"/>
          </w:rPr>
          <w:t>https://doi.org/10.1016/j.mtcomm.2021.102226</w:t>
        </w:r>
      </w:hyperlink>
      <w:r>
        <w:t>.</w:t>
      </w:r>
    </w:p>
    <w:p w14:paraId="2E33408E" w14:textId="19E32F6E" w:rsidR="006B4206" w:rsidRDefault="006B4206" w:rsidP="001C63BC">
      <w:pPr>
        <w:jc w:val="both"/>
        <w:rPr>
          <w:lang w:val="en-CA"/>
        </w:rPr>
      </w:pPr>
    </w:p>
    <w:p w14:paraId="6F9699FF" w14:textId="77777777" w:rsidR="00BB7A0B" w:rsidRDefault="00BB7A0B" w:rsidP="001C63BC">
      <w:pPr>
        <w:jc w:val="both"/>
        <w:rPr>
          <w:lang w:val="en-CA"/>
        </w:rPr>
        <w:sectPr w:rsidR="00BB7A0B">
          <w:pgSz w:w="12240" w:h="15840"/>
          <w:pgMar w:top="1440" w:right="1440" w:bottom="1440" w:left="1440" w:header="720" w:footer="720" w:gutter="0"/>
          <w:cols w:space="720"/>
          <w:docGrid w:linePitch="360"/>
        </w:sectPr>
      </w:pPr>
    </w:p>
    <w:p w14:paraId="6BAC379E" w14:textId="0E9A9E22" w:rsidR="006B4206" w:rsidRDefault="006B4206" w:rsidP="001C63BC">
      <w:pPr>
        <w:pStyle w:val="Heading1"/>
        <w:jc w:val="both"/>
        <w:rPr>
          <w:lang w:val="en-CA"/>
        </w:rPr>
      </w:pPr>
      <w:bookmarkStart w:id="54" w:name="_Appendix_C_–"/>
      <w:bookmarkStart w:id="55" w:name="_Toc66269190"/>
      <w:bookmarkEnd w:id="54"/>
      <w:r>
        <w:rPr>
          <w:lang w:val="en-CA"/>
        </w:rPr>
        <w:lastRenderedPageBreak/>
        <w:t>Appendix C – References</w:t>
      </w:r>
      <w:bookmarkEnd w:id="55"/>
      <w:r>
        <w:rPr>
          <w:lang w:val="en-CA"/>
        </w:rPr>
        <w:t xml:space="preserve"> </w:t>
      </w:r>
    </w:p>
    <w:p w14:paraId="5CB13D11" w14:textId="1680904B" w:rsidR="006B4206" w:rsidRDefault="006B4206" w:rsidP="001C63BC">
      <w:pPr>
        <w:jc w:val="both"/>
        <w:rPr>
          <w:lang w:val="en-CA"/>
        </w:rPr>
      </w:pPr>
    </w:p>
    <w:p w14:paraId="32F95E0D" w14:textId="7023252E" w:rsidR="00DA5C32" w:rsidRPr="00DA5C32" w:rsidRDefault="00C36517" w:rsidP="00DA5C32">
      <w:pPr>
        <w:widowControl w:val="0"/>
        <w:autoSpaceDE w:val="0"/>
        <w:autoSpaceDN w:val="0"/>
        <w:adjustRightInd w:val="0"/>
        <w:ind w:left="640" w:hanging="640"/>
        <w:jc w:val="both"/>
        <w:rPr>
          <w:noProof/>
          <w:szCs w:val="24"/>
        </w:rPr>
      </w:pPr>
      <w:r>
        <w:rPr>
          <w:lang w:val="en-CA"/>
        </w:rPr>
        <w:fldChar w:fldCharType="begin" w:fldLock="1"/>
      </w:r>
      <w:r>
        <w:rPr>
          <w:lang w:val="en-CA"/>
        </w:rPr>
        <w:instrText xml:space="preserve">ADDIN Mendeley Bibliography CSL_BIBLIOGRAPHY </w:instrText>
      </w:r>
      <w:r>
        <w:rPr>
          <w:lang w:val="en-CA"/>
        </w:rPr>
        <w:fldChar w:fldCharType="separate"/>
      </w:r>
      <w:r w:rsidR="00DA5C32" w:rsidRPr="00DA5C32">
        <w:rPr>
          <w:noProof/>
          <w:szCs w:val="24"/>
        </w:rPr>
        <w:t xml:space="preserve">(1) </w:t>
      </w:r>
      <w:r w:rsidR="00DA5C32" w:rsidRPr="00DA5C32">
        <w:rPr>
          <w:noProof/>
          <w:szCs w:val="24"/>
        </w:rPr>
        <w:tab/>
        <w:t xml:space="preserve">Mason, E. A.; McDaniel, E. W. </w:t>
      </w:r>
      <w:r w:rsidR="00DA5C32" w:rsidRPr="00DA5C32">
        <w:rPr>
          <w:i/>
          <w:iCs/>
          <w:noProof/>
          <w:szCs w:val="24"/>
        </w:rPr>
        <w:t>Transport Properties of Ions in Gases</w:t>
      </w:r>
      <w:r w:rsidR="00DA5C32" w:rsidRPr="00DA5C32">
        <w:rPr>
          <w:noProof/>
          <w:szCs w:val="24"/>
        </w:rPr>
        <w:t>; John Wiley and Sons: New York, 1988.</w:t>
      </w:r>
    </w:p>
    <w:p w14:paraId="2399F5DC"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 </w:t>
      </w:r>
      <w:r w:rsidRPr="00DA5C32">
        <w:rPr>
          <w:noProof/>
          <w:szCs w:val="24"/>
        </w:rPr>
        <w:tab/>
        <w:t xml:space="preserve">Wyttenbach, T.; Von Helden, G.; Batka, J. J.; Carlat, D.; Bowers, M. T. Effect of the Long-Range Potential on Ion Mobility Measurements. </w:t>
      </w:r>
      <w:r w:rsidRPr="00DA5C32">
        <w:rPr>
          <w:i/>
          <w:iCs/>
          <w:noProof/>
          <w:szCs w:val="24"/>
        </w:rPr>
        <w:t>J. Am. Soc. Mass Spectrom.</w:t>
      </w:r>
      <w:r w:rsidRPr="00DA5C32">
        <w:rPr>
          <w:noProof/>
          <w:szCs w:val="24"/>
        </w:rPr>
        <w:t xml:space="preserve"> </w:t>
      </w:r>
      <w:r w:rsidRPr="00DA5C32">
        <w:rPr>
          <w:b/>
          <w:bCs/>
          <w:noProof/>
          <w:szCs w:val="24"/>
        </w:rPr>
        <w:t>1997</w:t>
      </w:r>
      <w:r w:rsidRPr="00DA5C32">
        <w:rPr>
          <w:noProof/>
          <w:szCs w:val="24"/>
        </w:rPr>
        <w:t xml:space="preserve">, </w:t>
      </w:r>
      <w:r w:rsidRPr="00DA5C32">
        <w:rPr>
          <w:i/>
          <w:iCs/>
          <w:noProof/>
          <w:szCs w:val="24"/>
        </w:rPr>
        <w:t>8</w:t>
      </w:r>
      <w:r w:rsidRPr="00DA5C32">
        <w:rPr>
          <w:noProof/>
          <w:szCs w:val="24"/>
        </w:rPr>
        <w:t xml:space="preserve"> (3), 275–282. https://doi.org/10.1016/S1044-0305(96)00236-X.</w:t>
      </w:r>
    </w:p>
    <w:p w14:paraId="6479CA4B"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 </w:t>
      </w:r>
      <w:r w:rsidRPr="00DA5C32">
        <w:rPr>
          <w:noProof/>
          <w:szCs w:val="24"/>
        </w:rPr>
        <w:tab/>
        <w:t xml:space="preserve">Shvartsburg, A. A.; Jarrold, M. F. An Exact Hard-Spheres Scattering Model for the Mobilities of Polyatomic Ions. </w:t>
      </w:r>
      <w:r w:rsidRPr="00DA5C32">
        <w:rPr>
          <w:i/>
          <w:iCs/>
          <w:noProof/>
          <w:szCs w:val="24"/>
        </w:rPr>
        <w:t>Chem. Phys. Lett.</w:t>
      </w:r>
      <w:r w:rsidRPr="00DA5C32">
        <w:rPr>
          <w:noProof/>
          <w:szCs w:val="24"/>
        </w:rPr>
        <w:t xml:space="preserve"> </w:t>
      </w:r>
      <w:r w:rsidRPr="00DA5C32">
        <w:rPr>
          <w:b/>
          <w:bCs/>
          <w:noProof/>
          <w:szCs w:val="24"/>
        </w:rPr>
        <w:t>1996</w:t>
      </w:r>
      <w:r w:rsidRPr="00DA5C32">
        <w:rPr>
          <w:noProof/>
          <w:szCs w:val="24"/>
        </w:rPr>
        <w:t xml:space="preserve">, </w:t>
      </w:r>
      <w:r w:rsidRPr="00DA5C32">
        <w:rPr>
          <w:i/>
          <w:iCs/>
          <w:noProof/>
          <w:szCs w:val="24"/>
        </w:rPr>
        <w:t>261</w:t>
      </w:r>
      <w:r w:rsidRPr="00DA5C32">
        <w:rPr>
          <w:noProof/>
          <w:szCs w:val="24"/>
        </w:rPr>
        <w:t xml:space="preserve"> (1–2), 86–91. https://doi.org/10.1016/0009-2614(96)00941-4.</w:t>
      </w:r>
    </w:p>
    <w:p w14:paraId="2F528320"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(4) </w:t>
      </w:r>
      <w:r w:rsidRPr="00DA5C32">
        <w:rPr>
          <w:noProof/>
          <w:szCs w:val="24"/>
        </w:rPr>
        <w:tab/>
        <w:t xml:space="preserve">Li, Z.; Wang, H. Drag Force, Diffusion Coefficient, and Electric Mobility of Small Particles. I. Theory Applicable to the Free-Molecule Regime. </w:t>
      </w:r>
      <w:r w:rsidRPr="00DA5C32">
        <w:rPr>
          <w:i/>
          <w:iCs/>
          <w:noProof/>
          <w:szCs w:val="24"/>
        </w:rPr>
        <w:t>Phys. Rev. E - Stat. Physics, Plasmas, Fluids, Relat. Interdiscip. Top.</w:t>
      </w:r>
      <w:r w:rsidRPr="00DA5C32">
        <w:rPr>
          <w:noProof/>
          <w:szCs w:val="24"/>
        </w:rPr>
        <w:t xml:space="preserve"> </w:t>
      </w:r>
      <w:r w:rsidRPr="00DA5C32">
        <w:rPr>
          <w:b/>
          <w:bCs/>
          <w:noProof/>
          <w:szCs w:val="24"/>
        </w:rPr>
        <w:t>2003</w:t>
      </w:r>
      <w:r w:rsidRPr="00DA5C32">
        <w:rPr>
          <w:noProof/>
          <w:szCs w:val="24"/>
        </w:rPr>
        <w:t xml:space="preserve">, </w:t>
      </w:r>
      <w:r w:rsidRPr="00DA5C32">
        <w:rPr>
          <w:i/>
          <w:iCs/>
          <w:noProof/>
          <w:szCs w:val="24"/>
        </w:rPr>
        <w:t>68</w:t>
      </w:r>
      <w:r w:rsidRPr="00DA5C32">
        <w:rPr>
          <w:noProof/>
          <w:szCs w:val="24"/>
        </w:rPr>
        <w:t xml:space="preserve"> (6), 061206. https://doi.org/10.1103/PhysRevE.68.061206.</w:t>
      </w:r>
    </w:p>
    <w:p w14:paraId="0B7D4157"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(5) </w:t>
      </w:r>
      <w:r w:rsidRPr="00DA5C32">
        <w:rPr>
          <w:noProof/>
          <w:szCs w:val="24"/>
        </w:rPr>
        <w:tab/>
        <w:t xml:space="preserve">Lee, J. W.; Davidson, K. L.; Bush, M. F.; Kim, H. I. Collision Cross Sections and Ion Structures: Development of a General Calculation Method via High-Quality Ion Mobility Measurements and Theoretical Modeling. </w:t>
      </w:r>
      <w:r w:rsidRPr="00DA5C32">
        <w:rPr>
          <w:i/>
          <w:iCs/>
          <w:noProof/>
          <w:szCs w:val="24"/>
        </w:rPr>
        <w:t>Analyst</w:t>
      </w:r>
      <w:r w:rsidRPr="00DA5C32">
        <w:rPr>
          <w:noProof/>
          <w:szCs w:val="24"/>
        </w:rPr>
        <w:t xml:space="preserve"> </w:t>
      </w:r>
      <w:r w:rsidRPr="00DA5C32">
        <w:rPr>
          <w:b/>
          <w:bCs/>
          <w:noProof/>
          <w:szCs w:val="24"/>
        </w:rPr>
        <w:t>2017</w:t>
      </w:r>
      <w:r w:rsidRPr="00DA5C32">
        <w:rPr>
          <w:noProof/>
          <w:szCs w:val="24"/>
        </w:rPr>
        <w:t xml:space="preserve">, </w:t>
      </w:r>
      <w:r w:rsidRPr="00DA5C32">
        <w:rPr>
          <w:i/>
          <w:iCs/>
          <w:noProof/>
          <w:szCs w:val="24"/>
        </w:rPr>
        <w:t>142</w:t>
      </w:r>
      <w:r w:rsidRPr="00DA5C32">
        <w:rPr>
          <w:noProof/>
          <w:szCs w:val="24"/>
        </w:rPr>
        <w:t xml:space="preserve"> (22), 4289–4298. https://doi.org/10.1039/c7an01276d.</w:t>
      </w:r>
    </w:p>
    <w:p w14:paraId="5F404A7F"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(6) </w:t>
      </w:r>
      <w:r w:rsidRPr="00DA5C32">
        <w:rPr>
          <w:noProof/>
          <w:szCs w:val="24"/>
        </w:rPr>
        <w:tab/>
        <w:t xml:space="preserve">Lii, J. H.; Allinger, N. L. Molecular Mechanics. The MM3 Force Field for Hydrocarbons. 3. The van Der Waals’ Potentials and Crystal Data for Aliphatic and Aromatic Hydrocarbons. </w:t>
      </w:r>
      <w:r w:rsidRPr="00DA5C32">
        <w:rPr>
          <w:i/>
          <w:iCs/>
          <w:noProof/>
          <w:szCs w:val="24"/>
        </w:rPr>
        <w:t>J. Am. Chem. Soc.</w:t>
      </w:r>
      <w:r w:rsidRPr="00DA5C32">
        <w:rPr>
          <w:noProof/>
          <w:szCs w:val="24"/>
        </w:rPr>
        <w:t xml:space="preserve"> </w:t>
      </w:r>
      <w:r w:rsidRPr="00DA5C32">
        <w:rPr>
          <w:b/>
          <w:bCs/>
          <w:noProof/>
          <w:szCs w:val="24"/>
        </w:rPr>
        <w:t>1989</w:t>
      </w:r>
      <w:r w:rsidRPr="00DA5C32">
        <w:rPr>
          <w:noProof/>
          <w:szCs w:val="24"/>
        </w:rPr>
        <w:t xml:space="preserve">, </w:t>
      </w:r>
      <w:r w:rsidRPr="00DA5C32">
        <w:rPr>
          <w:i/>
          <w:iCs/>
          <w:noProof/>
          <w:szCs w:val="24"/>
        </w:rPr>
        <w:t>111</w:t>
      </w:r>
      <w:r w:rsidRPr="00DA5C32">
        <w:rPr>
          <w:noProof/>
          <w:szCs w:val="24"/>
        </w:rPr>
        <w:t xml:space="preserve"> (23), 8576–8582. https://doi.org/10.1021/ja00205a003.</w:t>
      </w:r>
    </w:p>
    <w:p w14:paraId="4076C433"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(7) </w:t>
      </w:r>
      <w:r w:rsidRPr="00DA5C32">
        <w:rPr>
          <w:noProof/>
          <w:szCs w:val="24"/>
        </w:rPr>
        <w:tab/>
        <w:t xml:space="preserve">Siu, C. K.; Guo, Y.; Saminathan, I. S.; Hopkinson, A. C.; Siu, K. W. M. Optimization of Parameters Used in Algorithms of Ion-Mobility Calculation for Conformational Analyses. </w:t>
      </w:r>
      <w:r w:rsidRPr="00DA5C32">
        <w:rPr>
          <w:i/>
          <w:iCs/>
          <w:noProof/>
          <w:szCs w:val="24"/>
        </w:rPr>
        <w:t>J. Phys. Chem. B</w:t>
      </w:r>
      <w:r w:rsidRPr="00DA5C32">
        <w:rPr>
          <w:noProof/>
          <w:szCs w:val="24"/>
        </w:rPr>
        <w:t xml:space="preserve"> </w:t>
      </w:r>
      <w:r w:rsidRPr="00DA5C32">
        <w:rPr>
          <w:b/>
          <w:bCs/>
          <w:noProof/>
          <w:szCs w:val="24"/>
        </w:rPr>
        <w:t>2010</w:t>
      </w:r>
      <w:r w:rsidRPr="00DA5C32">
        <w:rPr>
          <w:noProof/>
          <w:szCs w:val="24"/>
        </w:rPr>
        <w:t xml:space="preserve">, </w:t>
      </w:r>
      <w:r w:rsidRPr="00DA5C32">
        <w:rPr>
          <w:i/>
          <w:iCs/>
          <w:noProof/>
          <w:szCs w:val="24"/>
        </w:rPr>
        <w:t>114</w:t>
      </w:r>
      <w:r w:rsidRPr="00DA5C32">
        <w:rPr>
          <w:noProof/>
          <w:szCs w:val="24"/>
        </w:rPr>
        <w:t xml:space="preserve"> (2), 1204–1212. https://doi.org/10.1021/jp910858z.</w:t>
      </w:r>
    </w:p>
    <w:p w14:paraId="2751BF1B"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(8) </w:t>
      </w:r>
      <w:r w:rsidRPr="00DA5C32">
        <w:rPr>
          <w:noProof/>
          <w:szCs w:val="24"/>
        </w:rPr>
        <w:tab/>
        <w:t xml:space="preserve">Campuzano, I.; Bush, M. F.; Robinson, C. V.; Beaumont, C.; Richardson, K.; Kim, H.; Kim, H. I. Structural Characterization of Drug-like Compounds by Ion Mobility Mass Spectrometry: Comparison of Theoretical and Experimentally Derived Nitrogen Collision Cross Sections. </w:t>
      </w:r>
      <w:r w:rsidRPr="00DA5C32">
        <w:rPr>
          <w:i/>
          <w:iCs/>
          <w:noProof/>
          <w:szCs w:val="24"/>
        </w:rPr>
        <w:t>Anal. Chem.</w:t>
      </w:r>
      <w:r w:rsidRPr="00DA5C32">
        <w:rPr>
          <w:noProof/>
          <w:szCs w:val="24"/>
        </w:rPr>
        <w:t xml:space="preserve"> </w:t>
      </w:r>
      <w:r w:rsidRPr="00DA5C32">
        <w:rPr>
          <w:b/>
          <w:bCs/>
          <w:noProof/>
          <w:szCs w:val="24"/>
        </w:rPr>
        <w:t>2012</w:t>
      </w:r>
      <w:r w:rsidRPr="00DA5C32">
        <w:rPr>
          <w:noProof/>
          <w:szCs w:val="24"/>
        </w:rPr>
        <w:t xml:space="preserve">, </w:t>
      </w:r>
      <w:r w:rsidRPr="00DA5C32">
        <w:rPr>
          <w:i/>
          <w:iCs/>
          <w:noProof/>
          <w:szCs w:val="24"/>
        </w:rPr>
        <w:t>84</w:t>
      </w:r>
      <w:r w:rsidRPr="00DA5C32">
        <w:rPr>
          <w:noProof/>
          <w:szCs w:val="24"/>
        </w:rPr>
        <w:t xml:space="preserve"> (2), 1026–1033. https://doi.org/10.1021/ac202625t.</w:t>
      </w:r>
    </w:p>
    <w:p w14:paraId="061D3BD7"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(9) </w:t>
      </w:r>
      <w:r w:rsidRPr="00DA5C32">
        <w:rPr>
          <w:noProof/>
          <w:szCs w:val="24"/>
        </w:rPr>
        <w:tab/>
        <w:t xml:space="preserve">Wu, T.; Derrick, J.; Nahin, M.; Chen, X.; Larriba-Andaluz, C. Optimization of Long Range Potential Interaction Parameters in Ion Mobility Spectrometry. </w:t>
      </w:r>
      <w:r w:rsidRPr="00DA5C32">
        <w:rPr>
          <w:i/>
          <w:iCs/>
          <w:noProof/>
          <w:szCs w:val="24"/>
        </w:rPr>
        <w:t>J. Chem. Phys.</w:t>
      </w:r>
      <w:r w:rsidRPr="00DA5C32">
        <w:rPr>
          <w:noProof/>
          <w:szCs w:val="24"/>
        </w:rPr>
        <w:t xml:space="preserve"> </w:t>
      </w:r>
      <w:r w:rsidRPr="00DA5C32">
        <w:rPr>
          <w:b/>
          <w:bCs/>
          <w:noProof/>
          <w:szCs w:val="24"/>
        </w:rPr>
        <w:t>2018</w:t>
      </w:r>
      <w:r w:rsidRPr="00DA5C32">
        <w:rPr>
          <w:noProof/>
          <w:szCs w:val="24"/>
        </w:rPr>
        <w:t xml:space="preserve">, </w:t>
      </w:r>
      <w:r w:rsidRPr="00DA5C32">
        <w:rPr>
          <w:i/>
          <w:iCs/>
          <w:noProof/>
          <w:szCs w:val="24"/>
        </w:rPr>
        <w:t>148</w:t>
      </w:r>
      <w:r w:rsidRPr="00DA5C32">
        <w:rPr>
          <w:noProof/>
          <w:szCs w:val="24"/>
        </w:rPr>
        <w:t xml:space="preserve"> (7), 074102. https://doi.org/10.1063/1.5016170.</w:t>
      </w:r>
    </w:p>
    <w:p w14:paraId="2A8D5018"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(10) </w:t>
      </w:r>
      <w:r w:rsidRPr="00DA5C32">
        <w:rPr>
          <w:noProof/>
          <w:szCs w:val="24"/>
        </w:rPr>
        <w:tab/>
        <w:t xml:space="preserve">Paglia, G.; Williams, J. P.; Menikarachchi, L.; Thompson, J. W.; Tyldesley-Worster, R.; Halldórsson, S.; Rolfsson, O.; Moseley, A.; Grant, D.; Langridge, J.; Palsson, B. O.; Astarita, G. Ion Mobility Derived Collision Cross Sections to Support Metabolomics Applications. </w:t>
      </w:r>
      <w:r w:rsidRPr="00DA5C32">
        <w:rPr>
          <w:i/>
          <w:iCs/>
          <w:noProof/>
          <w:szCs w:val="24"/>
        </w:rPr>
        <w:t>Anal. Chem.</w:t>
      </w:r>
      <w:r w:rsidRPr="00DA5C32">
        <w:rPr>
          <w:noProof/>
          <w:szCs w:val="24"/>
        </w:rPr>
        <w:t xml:space="preserve"> </w:t>
      </w:r>
      <w:r w:rsidRPr="00DA5C32">
        <w:rPr>
          <w:b/>
          <w:bCs/>
          <w:noProof/>
          <w:szCs w:val="24"/>
        </w:rPr>
        <w:t>2014</w:t>
      </w:r>
      <w:r w:rsidRPr="00DA5C32">
        <w:rPr>
          <w:noProof/>
          <w:szCs w:val="24"/>
        </w:rPr>
        <w:t xml:space="preserve">, </w:t>
      </w:r>
      <w:r w:rsidRPr="00DA5C32">
        <w:rPr>
          <w:i/>
          <w:iCs/>
          <w:noProof/>
          <w:szCs w:val="24"/>
        </w:rPr>
        <w:t>86</w:t>
      </w:r>
      <w:r w:rsidRPr="00DA5C32">
        <w:rPr>
          <w:noProof/>
          <w:szCs w:val="24"/>
        </w:rPr>
        <w:t xml:space="preserve"> (8), 3985–3993. https://doi.org/10.1021/ac500405x.</w:t>
      </w:r>
    </w:p>
    <w:p w14:paraId="0A4669E9"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(11) </w:t>
      </w:r>
      <w:r w:rsidRPr="00DA5C32">
        <w:rPr>
          <w:noProof/>
          <w:szCs w:val="24"/>
        </w:rPr>
        <w:tab/>
        <w:t xml:space="preserve">Lavanant, H.; Tognetti, V.; Afonso, C. Traveling Wave Ion Mobility Mass Spectrometry and Ab Initio Calculations of Phosphoric Acid Clusters. </w:t>
      </w:r>
      <w:r w:rsidRPr="00DA5C32">
        <w:rPr>
          <w:i/>
          <w:iCs/>
          <w:noProof/>
          <w:szCs w:val="24"/>
        </w:rPr>
        <w:t>J. Am. Soc. Mass Spectrom.</w:t>
      </w:r>
      <w:r w:rsidRPr="00DA5C32">
        <w:rPr>
          <w:noProof/>
          <w:szCs w:val="24"/>
        </w:rPr>
        <w:t xml:space="preserve"> </w:t>
      </w:r>
      <w:r w:rsidRPr="00DA5C32">
        <w:rPr>
          <w:b/>
          <w:bCs/>
          <w:noProof/>
          <w:szCs w:val="24"/>
        </w:rPr>
        <w:t>2014</w:t>
      </w:r>
      <w:r w:rsidRPr="00DA5C32">
        <w:rPr>
          <w:noProof/>
          <w:szCs w:val="24"/>
        </w:rPr>
        <w:t xml:space="preserve">, </w:t>
      </w:r>
      <w:r w:rsidRPr="00DA5C32">
        <w:rPr>
          <w:i/>
          <w:iCs/>
          <w:noProof/>
          <w:szCs w:val="24"/>
        </w:rPr>
        <w:t>25</w:t>
      </w:r>
      <w:r w:rsidRPr="00DA5C32">
        <w:rPr>
          <w:noProof/>
          <w:szCs w:val="24"/>
        </w:rPr>
        <w:t xml:space="preserve"> (4), 572–580. https://doi.org/10.1007/s13361-013-0818-3.</w:t>
      </w:r>
    </w:p>
    <w:p w14:paraId="4A59C42B" w14:textId="6E18000D" w:rsid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(12) </w:t>
      </w:r>
      <w:r w:rsidRPr="00DA5C32">
        <w:rPr>
          <w:noProof/>
          <w:szCs w:val="24"/>
        </w:rPr>
        <w:tab/>
        <w:t xml:space="preserve">Poyer, S.; Lopin-Bon, C.; Jacquinet, J. C.; Salpin, J. Y.; Daniel, R. Isomer Separation and Effect of the Degree of Polymerization on the Gas-Phase Structure of Chondroitin Sulfate Oligosaccharides Analyzed by Ion Mobility and Tandem Mass Spectrometry. </w:t>
      </w:r>
      <w:r w:rsidRPr="00DA5C32">
        <w:rPr>
          <w:i/>
          <w:iCs/>
          <w:noProof/>
          <w:szCs w:val="24"/>
        </w:rPr>
        <w:t>Rapid Commun. Mass Spectrom.</w:t>
      </w:r>
      <w:r w:rsidRPr="00DA5C32">
        <w:rPr>
          <w:noProof/>
          <w:szCs w:val="24"/>
        </w:rPr>
        <w:t xml:space="preserve"> </w:t>
      </w:r>
      <w:r w:rsidRPr="00DA5C32">
        <w:rPr>
          <w:b/>
          <w:bCs/>
          <w:noProof/>
          <w:szCs w:val="24"/>
        </w:rPr>
        <w:t>2017</w:t>
      </w:r>
      <w:r w:rsidRPr="00DA5C32">
        <w:rPr>
          <w:noProof/>
          <w:szCs w:val="24"/>
        </w:rPr>
        <w:t xml:space="preserve">, </w:t>
      </w:r>
      <w:r w:rsidRPr="00DA5C32">
        <w:rPr>
          <w:i/>
          <w:iCs/>
          <w:noProof/>
          <w:szCs w:val="24"/>
        </w:rPr>
        <w:t>31</w:t>
      </w:r>
      <w:r w:rsidRPr="00DA5C32">
        <w:rPr>
          <w:noProof/>
          <w:szCs w:val="24"/>
        </w:rPr>
        <w:t xml:space="preserve"> (23), 2003–2010. https://doi.org/10.1002/rcm.7987.</w:t>
      </w:r>
    </w:p>
    <w:p w14:paraId="29C6E5E4" w14:textId="4E6E1659" w:rsidR="009D408C" w:rsidRDefault="009D408C" w:rsidP="00DA5C32">
      <w:pPr>
        <w:widowControl w:val="0"/>
        <w:autoSpaceDE w:val="0"/>
        <w:autoSpaceDN w:val="0"/>
        <w:adjustRightInd w:val="0"/>
        <w:ind w:left="640" w:hanging="640"/>
        <w:jc w:val="both"/>
        <w:rPr>
          <w:noProof/>
          <w:szCs w:val="24"/>
        </w:rPr>
      </w:pPr>
    </w:p>
    <w:p w14:paraId="705C28D9" w14:textId="1A9808D7" w:rsidR="009D408C" w:rsidRDefault="009D408C" w:rsidP="00DA5C32">
      <w:pPr>
        <w:widowControl w:val="0"/>
        <w:autoSpaceDE w:val="0"/>
        <w:autoSpaceDN w:val="0"/>
        <w:adjustRightInd w:val="0"/>
        <w:ind w:left="640" w:hanging="640"/>
        <w:jc w:val="both"/>
        <w:rPr>
          <w:noProof/>
          <w:szCs w:val="24"/>
        </w:rPr>
      </w:pPr>
    </w:p>
    <w:p w14:paraId="5597EB42" w14:textId="402923EF" w:rsidR="009D408C" w:rsidRDefault="009D408C" w:rsidP="00DA5C32">
      <w:pPr>
        <w:widowControl w:val="0"/>
        <w:autoSpaceDE w:val="0"/>
        <w:autoSpaceDN w:val="0"/>
        <w:adjustRightInd w:val="0"/>
        <w:ind w:left="640" w:hanging="640"/>
        <w:jc w:val="both"/>
        <w:rPr>
          <w:noProof/>
          <w:szCs w:val="24"/>
        </w:rPr>
      </w:pPr>
    </w:p>
    <w:p w14:paraId="05546351" w14:textId="77777777" w:rsidR="009D408C" w:rsidRPr="00DA5C32" w:rsidRDefault="009D408C" w:rsidP="00DA5C32">
      <w:pPr>
        <w:widowControl w:val="0"/>
        <w:autoSpaceDE w:val="0"/>
        <w:autoSpaceDN w:val="0"/>
        <w:adjustRightInd w:val="0"/>
        <w:ind w:left="640" w:hanging="640"/>
        <w:jc w:val="both"/>
        <w:rPr>
          <w:noProof/>
          <w:szCs w:val="24"/>
        </w:rPr>
      </w:pPr>
    </w:p>
    <w:p w14:paraId="70C78C1F"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lastRenderedPageBreak/>
        <w:t xml:space="preserve">(13) </w:t>
      </w:r>
      <w:r w:rsidRPr="00DA5C32">
        <w:rPr>
          <w:noProof/>
          <w:szCs w:val="24"/>
        </w:rPr>
        <w:tab/>
        <w:t xml:space="preserve">Zhang, X.; Krechmer, J.; Groessl, M.; Xu, W.; Graf, S.; Cubison, M.; Jayne, J. T.; Jimenez, J. L.; Worsnop, D. R.; Canagaratna, M. R. A Novel Framework for Molecular Characterization of Atmospherically Relevant Organic Compounds Based on Collision Cross Section and Mass-to-Charge Ratio. </w:t>
      </w:r>
      <w:r w:rsidRPr="00DA5C32">
        <w:rPr>
          <w:i/>
          <w:iCs/>
          <w:noProof/>
          <w:szCs w:val="24"/>
        </w:rPr>
        <w:t>Atmos. Chem. Phys.</w:t>
      </w:r>
      <w:r w:rsidRPr="00DA5C32">
        <w:rPr>
          <w:noProof/>
          <w:szCs w:val="24"/>
        </w:rPr>
        <w:t xml:space="preserve"> </w:t>
      </w:r>
      <w:r w:rsidRPr="00DA5C32">
        <w:rPr>
          <w:b/>
          <w:bCs/>
          <w:noProof/>
          <w:szCs w:val="24"/>
        </w:rPr>
        <w:t>2016</w:t>
      </w:r>
      <w:r w:rsidRPr="00DA5C32">
        <w:rPr>
          <w:noProof/>
          <w:szCs w:val="24"/>
        </w:rPr>
        <w:t xml:space="preserve">, </w:t>
      </w:r>
      <w:r w:rsidRPr="00DA5C32">
        <w:rPr>
          <w:i/>
          <w:iCs/>
          <w:noProof/>
          <w:szCs w:val="24"/>
        </w:rPr>
        <w:t>16</w:t>
      </w:r>
      <w:r w:rsidRPr="00DA5C32">
        <w:rPr>
          <w:noProof/>
          <w:szCs w:val="24"/>
        </w:rPr>
        <w:t xml:space="preserve"> (20), 12945–12959. https://doi.org/10.5194/acp-16-12945-2016.</w:t>
      </w:r>
    </w:p>
    <w:p w14:paraId="32576DAF"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(14) </w:t>
      </w:r>
      <w:r w:rsidRPr="00DA5C32">
        <w:rPr>
          <w:noProof/>
          <w:szCs w:val="24"/>
        </w:rPr>
        <w:tab/>
        <w:t xml:space="preserve">Lee, J. W.; Lee, H. H. L.; Davidson, K. L.; Bush, M. F.; Kim, H. I. Structural Characterization of Small Molecular Ions by Ion Mobility Mass Spectrometry in Nitrogen Drift Gas: Improving the Accuracy of Trajectory Method Calculations. </w:t>
      </w:r>
      <w:r w:rsidRPr="00DA5C32">
        <w:rPr>
          <w:i/>
          <w:iCs/>
          <w:noProof/>
          <w:szCs w:val="24"/>
        </w:rPr>
        <w:t>Analyst</w:t>
      </w:r>
      <w:r w:rsidRPr="00DA5C32">
        <w:rPr>
          <w:noProof/>
          <w:szCs w:val="24"/>
        </w:rPr>
        <w:t xml:space="preserve"> </w:t>
      </w:r>
      <w:r w:rsidRPr="00DA5C32">
        <w:rPr>
          <w:b/>
          <w:bCs/>
          <w:noProof/>
          <w:szCs w:val="24"/>
        </w:rPr>
        <w:t>2018</w:t>
      </w:r>
      <w:r w:rsidRPr="00DA5C32">
        <w:rPr>
          <w:noProof/>
          <w:szCs w:val="24"/>
        </w:rPr>
        <w:t xml:space="preserve">, </w:t>
      </w:r>
      <w:r w:rsidRPr="00DA5C32">
        <w:rPr>
          <w:i/>
          <w:iCs/>
          <w:noProof/>
          <w:szCs w:val="24"/>
        </w:rPr>
        <w:t>143</w:t>
      </w:r>
      <w:r w:rsidRPr="00DA5C32">
        <w:rPr>
          <w:noProof/>
          <w:szCs w:val="24"/>
        </w:rPr>
        <w:t xml:space="preserve"> (8), 1786–1796. https://doi.org/10.1039/c8an00270c.</w:t>
      </w:r>
    </w:p>
    <w:p w14:paraId="5F17A61E"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(15) </w:t>
      </w:r>
      <w:r w:rsidRPr="00DA5C32">
        <w:rPr>
          <w:noProof/>
          <w:szCs w:val="24"/>
        </w:rPr>
        <w:tab/>
        <w:t xml:space="preserve">Halgren, T. A. Merck Molecular Force Field. II. MMFF94 van Der Waals and Electrostatic Parameters for Intermolecular Interactions. </w:t>
      </w:r>
      <w:r w:rsidRPr="00DA5C32">
        <w:rPr>
          <w:i/>
          <w:iCs/>
          <w:noProof/>
          <w:szCs w:val="24"/>
        </w:rPr>
        <w:t>J. Comput. Chem.</w:t>
      </w:r>
      <w:r w:rsidRPr="00DA5C32">
        <w:rPr>
          <w:noProof/>
          <w:szCs w:val="24"/>
        </w:rPr>
        <w:t xml:space="preserve"> </w:t>
      </w:r>
      <w:r w:rsidRPr="00DA5C32">
        <w:rPr>
          <w:b/>
          <w:bCs/>
          <w:noProof/>
          <w:szCs w:val="24"/>
        </w:rPr>
        <w:t>1996</w:t>
      </w:r>
      <w:r w:rsidRPr="00DA5C32">
        <w:rPr>
          <w:noProof/>
          <w:szCs w:val="24"/>
        </w:rPr>
        <w:t xml:space="preserve">, </w:t>
      </w:r>
      <w:r w:rsidRPr="00DA5C32">
        <w:rPr>
          <w:i/>
          <w:iCs/>
          <w:noProof/>
          <w:szCs w:val="24"/>
        </w:rPr>
        <w:t>17</w:t>
      </w:r>
      <w:r w:rsidRPr="00DA5C32">
        <w:rPr>
          <w:noProof/>
          <w:szCs w:val="24"/>
        </w:rPr>
        <w:t xml:space="preserve"> (5–6), 520–552. https://doi.org/10.1002/(SICI)1096-987X(199604)17:5/6&lt;520::AID-JCC2&gt;3.0.CO;2-W.</w:t>
      </w:r>
    </w:p>
    <w:p w14:paraId="294CBB0B"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(16) </w:t>
      </w:r>
      <w:r w:rsidRPr="00DA5C32">
        <w:rPr>
          <w:noProof/>
          <w:szCs w:val="24"/>
        </w:rPr>
        <w:tab/>
        <w:t xml:space="preserve">Kim, H.; Kim, H. I.; Johnson, P. V.; Beegle, L. W.; Beauchamp, J. L.; Goddard, W. A.; Kanik, I. Experimental and Theoretical Investigation into the Correlation between Mass and Ion Mobility for Choline and Other Ammonium Cations in N2. </w:t>
      </w:r>
      <w:r w:rsidRPr="00DA5C32">
        <w:rPr>
          <w:i/>
          <w:iCs/>
          <w:noProof/>
          <w:szCs w:val="24"/>
        </w:rPr>
        <w:t>Anal. Chem.</w:t>
      </w:r>
      <w:r w:rsidRPr="00DA5C32">
        <w:rPr>
          <w:noProof/>
          <w:szCs w:val="24"/>
        </w:rPr>
        <w:t xml:space="preserve"> </w:t>
      </w:r>
      <w:r w:rsidRPr="00DA5C32">
        <w:rPr>
          <w:b/>
          <w:bCs/>
          <w:noProof/>
          <w:szCs w:val="24"/>
        </w:rPr>
        <w:t>2008</w:t>
      </w:r>
      <w:r w:rsidRPr="00DA5C32">
        <w:rPr>
          <w:noProof/>
          <w:szCs w:val="24"/>
        </w:rPr>
        <w:t xml:space="preserve">, </w:t>
      </w:r>
      <w:r w:rsidRPr="00DA5C32">
        <w:rPr>
          <w:i/>
          <w:iCs/>
          <w:noProof/>
          <w:szCs w:val="24"/>
        </w:rPr>
        <w:t>80</w:t>
      </w:r>
      <w:r w:rsidRPr="00DA5C32">
        <w:rPr>
          <w:noProof/>
          <w:szCs w:val="24"/>
        </w:rPr>
        <w:t xml:space="preserve"> (6), 1928–1936. https://doi.org/10.1021/ac701888e.</w:t>
      </w:r>
    </w:p>
    <w:p w14:paraId="7FB06F48"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(17) </w:t>
      </w:r>
      <w:r w:rsidRPr="00DA5C32">
        <w:rPr>
          <w:noProof/>
          <w:szCs w:val="24"/>
        </w:rPr>
        <w:tab/>
        <w:t xml:space="preserve">Kim, H. I.; Kim, H.; Pang, E. S.; Ryu, E. K.; Beegle, L. W.; Loo, J. A.; Goddard, W. A.; Kanik, I. Structural Characterization of Unsaturated Phosphatidylcholines Using Traveling Wave Ion Mobility Spectrometry. </w:t>
      </w:r>
      <w:r w:rsidRPr="00DA5C32">
        <w:rPr>
          <w:i/>
          <w:iCs/>
          <w:noProof/>
          <w:szCs w:val="24"/>
        </w:rPr>
        <w:t>Anal. Chem.</w:t>
      </w:r>
      <w:r w:rsidRPr="00DA5C32">
        <w:rPr>
          <w:noProof/>
          <w:szCs w:val="24"/>
        </w:rPr>
        <w:t xml:space="preserve"> </w:t>
      </w:r>
      <w:r w:rsidRPr="00DA5C32">
        <w:rPr>
          <w:b/>
          <w:bCs/>
          <w:noProof/>
          <w:szCs w:val="24"/>
        </w:rPr>
        <w:t>2009</w:t>
      </w:r>
      <w:r w:rsidRPr="00DA5C32">
        <w:rPr>
          <w:noProof/>
          <w:szCs w:val="24"/>
        </w:rPr>
        <w:t xml:space="preserve">, </w:t>
      </w:r>
      <w:r w:rsidRPr="00DA5C32">
        <w:rPr>
          <w:i/>
          <w:iCs/>
          <w:noProof/>
          <w:szCs w:val="24"/>
        </w:rPr>
        <w:t>81</w:t>
      </w:r>
      <w:r w:rsidRPr="00DA5C32">
        <w:rPr>
          <w:noProof/>
          <w:szCs w:val="24"/>
        </w:rPr>
        <w:t xml:space="preserve"> (20), 8289–8297. https://doi.org/10.1021/ac900672a.</w:t>
      </w:r>
    </w:p>
    <w:p w14:paraId="2EAA18A4"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(18) </w:t>
      </w:r>
      <w:r w:rsidRPr="00DA5C32">
        <w:rPr>
          <w:noProof/>
          <w:szCs w:val="24"/>
        </w:rPr>
        <w:tab/>
        <w:t xml:space="preserve">Djoumbou Feunang, Y.; Eisner, R.; Knox, C.; Chepelev, L.; Hastings, J.; Owen, G.; Fahy, E.; Steinbeck, C.; Subramanian, S.; Bolton, E.; Greiner, R.; Wishart, D. S. ClassyFire: Automated Chemical Classification with a Comprehensive, Computable Taxonomy. </w:t>
      </w:r>
      <w:r w:rsidRPr="00DA5C32">
        <w:rPr>
          <w:i/>
          <w:iCs/>
          <w:noProof/>
          <w:szCs w:val="24"/>
        </w:rPr>
        <w:t>J. Cheminform.</w:t>
      </w:r>
      <w:r w:rsidRPr="00DA5C32">
        <w:rPr>
          <w:noProof/>
          <w:szCs w:val="24"/>
        </w:rPr>
        <w:t xml:space="preserve"> </w:t>
      </w:r>
      <w:r w:rsidRPr="00DA5C32">
        <w:rPr>
          <w:b/>
          <w:bCs/>
          <w:noProof/>
          <w:szCs w:val="24"/>
        </w:rPr>
        <w:t>2016</w:t>
      </w:r>
      <w:r w:rsidRPr="00DA5C32">
        <w:rPr>
          <w:noProof/>
          <w:szCs w:val="24"/>
        </w:rPr>
        <w:t xml:space="preserve">, </w:t>
      </w:r>
      <w:r w:rsidRPr="00DA5C32">
        <w:rPr>
          <w:i/>
          <w:iCs/>
          <w:noProof/>
          <w:szCs w:val="24"/>
        </w:rPr>
        <w:t>8</w:t>
      </w:r>
      <w:r w:rsidRPr="00DA5C32">
        <w:rPr>
          <w:noProof/>
          <w:szCs w:val="24"/>
        </w:rPr>
        <w:t xml:space="preserve"> (1), 1–20. https://doi.org/10.1186/s13321-016-0174-y.</w:t>
      </w:r>
    </w:p>
    <w:p w14:paraId="4E800C3E"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(19) </w:t>
      </w:r>
      <w:r w:rsidRPr="00DA5C32">
        <w:rPr>
          <w:noProof/>
          <w:szCs w:val="24"/>
        </w:rPr>
        <w:tab/>
        <w:t xml:space="preserve">Akashi, S.; Downard, K. M. Effect of Charge on the Conformation of Highly Basic Peptides Including the Tail Regions of Histone Proteins by Ion Mobility Mass Spectrometry. </w:t>
      </w:r>
      <w:r w:rsidRPr="00DA5C32">
        <w:rPr>
          <w:i/>
          <w:iCs/>
          <w:noProof/>
          <w:szCs w:val="24"/>
        </w:rPr>
        <w:t>Anal. Bioanal. Chem.</w:t>
      </w:r>
      <w:r w:rsidRPr="00DA5C32">
        <w:rPr>
          <w:noProof/>
          <w:szCs w:val="24"/>
        </w:rPr>
        <w:t xml:space="preserve"> </w:t>
      </w:r>
      <w:r w:rsidRPr="00DA5C32">
        <w:rPr>
          <w:b/>
          <w:bCs/>
          <w:noProof/>
          <w:szCs w:val="24"/>
        </w:rPr>
        <w:t>2016</w:t>
      </w:r>
      <w:r w:rsidRPr="00DA5C32">
        <w:rPr>
          <w:noProof/>
          <w:szCs w:val="24"/>
        </w:rPr>
        <w:t xml:space="preserve">, </w:t>
      </w:r>
      <w:r w:rsidRPr="00DA5C32">
        <w:rPr>
          <w:i/>
          <w:iCs/>
          <w:noProof/>
          <w:szCs w:val="24"/>
        </w:rPr>
        <w:t>408</w:t>
      </w:r>
      <w:r w:rsidRPr="00DA5C32">
        <w:rPr>
          <w:noProof/>
          <w:szCs w:val="24"/>
        </w:rPr>
        <w:t xml:space="preserve"> (24), 6637–6648. https://doi.org/10.1007/s00216-016-9777-4.</w:t>
      </w:r>
    </w:p>
    <w:p w14:paraId="21627700"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(20) </w:t>
      </w:r>
      <w:r w:rsidRPr="00DA5C32">
        <w:rPr>
          <w:noProof/>
          <w:szCs w:val="24"/>
        </w:rPr>
        <w:tab/>
        <w:t xml:space="preserve">Boschmans, J.; Jacobs, S.; Williams, J. P.; Palmer, M.; Richardson, K.; Giles, K.; Lapthorn, C.; Herrebout, W. A.; Lemière, F.; Sobott, F. Combining Density Functional Theory (DFT) and Collision Cross-Section (CCS) Calculations to Analyze the Gas-Phase Behaviour of Small Molecules and Their Protonation Site Isomers. </w:t>
      </w:r>
      <w:r w:rsidRPr="00DA5C32">
        <w:rPr>
          <w:i/>
          <w:iCs/>
          <w:noProof/>
          <w:szCs w:val="24"/>
        </w:rPr>
        <w:t>Analyst</w:t>
      </w:r>
      <w:r w:rsidRPr="00DA5C32">
        <w:rPr>
          <w:noProof/>
          <w:szCs w:val="24"/>
        </w:rPr>
        <w:t xml:space="preserve"> </w:t>
      </w:r>
      <w:r w:rsidRPr="00DA5C32">
        <w:rPr>
          <w:b/>
          <w:bCs/>
          <w:noProof/>
          <w:szCs w:val="24"/>
        </w:rPr>
        <w:t>2016</w:t>
      </w:r>
      <w:r w:rsidRPr="00DA5C32">
        <w:rPr>
          <w:noProof/>
          <w:szCs w:val="24"/>
        </w:rPr>
        <w:t xml:space="preserve">, </w:t>
      </w:r>
      <w:r w:rsidRPr="00DA5C32">
        <w:rPr>
          <w:i/>
          <w:iCs/>
          <w:noProof/>
          <w:szCs w:val="24"/>
        </w:rPr>
        <w:t>141</w:t>
      </w:r>
      <w:r w:rsidRPr="00DA5C32">
        <w:rPr>
          <w:noProof/>
          <w:szCs w:val="24"/>
        </w:rPr>
        <w:t xml:space="preserve"> (13), 4044–4054. https://doi.org/10.1039/c5an02456k.</w:t>
      </w:r>
    </w:p>
    <w:p w14:paraId="597BF19F"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(21) </w:t>
      </w:r>
      <w:r w:rsidRPr="00DA5C32">
        <w:rPr>
          <w:noProof/>
          <w:szCs w:val="24"/>
        </w:rPr>
        <w:tab/>
        <w:t xml:space="preserve">Gonzales, G. B.; Smagghe, G.; Coelus, S.; Adriaenssens, D.; De Winter, K.; Desmet, T.; Raes, K.; Van Camp, J. Collision Cross Section Prediction of Deprotonated Phenolics in a Travelling-Wave Ion Mobility Spectrometer Using Molecular Descriptors and Chemometrics. </w:t>
      </w:r>
      <w:r w:rsidRPr="00DA5C32">
        <w:rPr>
          <w:i/>
          <w:iCs/>
          <w:noProof/>
          <w:szCs w:val="24"/>
        </w:rPr>
        <w:t>Anal. Chim. Acta</w:t>
      </w:r>
      <w:r w:rsidRPr="00DA5C32">
        <w:rPr>
          <w:noProof/>
          <w:szCs w:val="24"/>
        </w:rPr>
        <w:t xml:space="preserve"> </w:t>
      </w:r>
      <w:r w:rsidRPr="00DA5C32">
        <w:rPr>
          <w:b/>
          <w:bCs/>
          <w:noProof/>
          <w:szCs w:val="24"/>
        </w:rPr>
        <w:t>2016</w:t>
      </w:r>
      <w:r w:rsidRPr="00DA5C32">
        <w:rPr>
          <w:noProof/>
          <w:szCs w:val="24"/>
        </w:rPr>
        <w:t xml:space="preserve">, </w:t>
      </w:r>
      <w:r w:rsidRPr="00DA5C32">
        <w:rPr>
          <w:i/>
          <w:iCs/>
          <w:noProof/>
          <w:szCs w:val="24"/>
        </w:rPr>
        <w:t>924</w:t>
      </w:r>
      <w:r w:rsidRPr="00DA5C32">
        <w:rPr>
          <w:noProof/>
          <w:szCs w:val="24"/>
        </w:rPr>
        <w:t>, 68–76. https://doi.org/10.1016/j.aca.2016.04.020.</w:t>
      </w:r>
    </w:p>
    <w:p w14:paraId="02F14A91"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(22) </w:t>
      </w:r>
      <w:r w:rsidRPr="00DA5C32">
        <w:rPr>
          <w:noProof/>
          <w:szCs w:val="24"/>
        </w:rPr>
        <w:tab/>
        <w:t xml:space="preserve">Lapthorn, C.; Pullen, F. S.; Chowdhry, B. Z.; Wright, P.; Perkins, G. L.; Heredia, Y. How Useful Is Molecular Modelling in Combination with Ion Mobility Mass Spectrometry for “small Molecule” Ion Mobility Collision Cross-Sections? </w:t>
      </w:r>
      <w:r w:rsidRPr="00DA5C32">
        <w:rPr>
          <w:i/>
          <w:iCs/>
          <w:noProof/>
          <w:szCs w:val="24"/>
        </w:rPr>
        <w:t>Analyst</w:t>
      </w:r>
      <w:r w:rsidRPr="00DA5C32">
        <w:rPr>
          <w:noProof/>
          <w:szCs w:val="24"/>
        </w:rPr>
        <w:t xml:space="preserve"> </w:t>
      </w:r>
      <w:r w:rsidRPr="00DA5C32">
        <w:rPr>
          <w:b/>
          <w:bCs/>
          <w:noProof/>
          <w:szCs w:val="24"/>
        </w:rPr>
        <w:t>2015</w:t>
      </w:r>
      <w:r w:rsidRPr="00DA5C32">
        <w:rPr>
          <w:noProof/>
          <w:szCs w:val="24"/>
        </w:rPr>
        <w:t xml:space="preserve">, </w:t>
      </w:r>
      <w:r w:rsidRPr="00DA5C32">
        <w:rPr>
          <w:i/>
          <w:iCs/>
          <w:noProof/>
          <w:szCs w:val="24"/>
        </w:rPr>
        <w:t>140</w:t>
      </w:r>
      <w:r w:rsidRPr="00DA5C32">
        <w:rPr>
          <w:noProof/>
          <w:szCs w:val="24"/>
        </w:rPr>
        <w:t xml:space="preserve"> (20), 6814–6823. https://doi.org/10.1039/c5an00411j.</w:t>
      </w:r>
    </w:p>
    <w:p w14:paraId="7DC63C11"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(23) </w:t>
      </w:r>
      <w:r w:rsidRPr="00DA5C32">
        <w:rPr>
          <w:noProof/>
          <w:szCs w:val="24"/>
        </w:rPr>
        <w:tab/>
        <w:t xml:space="preserve">Weitzel, K.; Chemie, F.; Rev, M. S.; Introduction, I.; Reference, C. Bond-Dissociation Energies of Cations — Pushing The. </w:t>
      </w:r>
      <w:r w:rsidRPr="00DA5C32">
        <w:rPr>
          <w:i/>
          <w:iCs/>
          <w:noProof/>
          <w:szCs w:val="24"/>
        </w:rPr>
        <w:t>WHO Libr. Cat. Data</w:t>
      </w:r>
      <w:r w:rsidRPr="00DA5C32">
        <w:rPr>
          <w:noProof/>
          <w:szCs w:val="24"/>
        </w:rPr>
        <w:t xml:space="preserve"> </w:t>
      </w:r>
      <w:r w:rsidRPr="00DA5C32">
        <w:rPr>
          <w:b/>
          <w:bCs/>
          <w:noProof/>
          <w:szCs w:val="24"/>
        </w:rPr>
        <w:t>2011</w:t>
      </w:r>
      <w:r w:rsidRPr="00DA5C32">
        <w:rPr>
          <w:noProof/>
          <w:szCs w:val="24"/>
        </w:rPr>
        <w:t xml:space="preserve">, </w:t>
      </w:r>
      <w:r w:rsidRPr="00DA5C32">
        <w:rPr>
          <w:i/>
          <w:iCs/>
          <w:noProof/>
          <w:szCs w:val="24"/>
        </w:rPr>
        <w:t>32</w:t>
      </w:r>
      <w:r w:rsidRPr="00DA5C32">
        <w:rPr>
          <w:noProof/>
          <w:szCs w:val="24"/>
        </w:rPr>
        <w:t xml:space="preserve"> (i), 221–235. https://doi.org/10.1002/mas.</w:t>
      </w:r>
    </w:p>
    <w:p w14:paraId="38FB5C81"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(24) </w:t>
      </w:r>
      <w:r w:rsidRPr="00DA5C32">
        <w:rPr>
          <w:noProof/>
          <w:szCs w:val="24"/>
        </w:rPr>
        <w:tab/>
        <w:t xml:space="preserve">Singh, U. C.; Kollman, P. A. An Approach to Computing Electrostatic Charges for Molecules. </w:t>
      </w:r>
      <w:r w:rsidRPr="00DA5C32">
        <w:rPr>
          <w:i/>
          <w:iCs/>
          <w:noProof/>
          <w:szCs w:val="24"/>
        </w:rPr>
        <w:t>J. Comput. Chem.</w:t>
      </w:r>
      <w:r w:rsidRPr="00DA5C32">
        <w:rPr>
          <w:noProof/>
          <w:szCs w:val="24"/>
        </w:rPr>
        <w:t xml:space="preserve"> </w:t>
      </w:r>
      <w:r w:rsidRPr="00DA5C32">
        <w:rPr>
          <w:b/>
          <w:bCs/>
          <w:noProof/>
          <w:szCs w:val="24"/>
        </w:rPr>
        <w:t>1984</w:t>
      </w:r>
      <w:r w:rsidRPr="00DA5C32">
        <w:rPr>
          <w:noProof/>
          <w:szCs w:val="24"/>
        </w:rPr>
        <w:t xml:space="preserve">, </w:t>
      </w:r>
      <w:r w:rsidRPr="00DA5C32">
        <w:rPr>
          <w:i/>
          <w:iCs/>
          <w:noProof/>
          <w:szCs w:val="24"/>
        </w:rPr>
        <w:t>5</w:t>
      </w:r>
      <w:r w:rsidRPr="00DA5C32">
        <w:rPr>
          <w:noProof/>
          <w:szCs w:val="24"/>
        </w:rPr>
        <w:t xml:space="preserve"> (2), 129–145. https://doi.org/10.1002/jcc.540050204.</w:t>
      </w:r>
    </w:p>
    <w:p w14:paraId="1E1882E1"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(25) </w:t>
      </w:r>
      <w:r w:rsidRPr="00DA5C32">
        <w:rPr>
          <w:noProof/>
          <w:szCs w:val="24"/>
        </w:rPr>
        <w:tab/>
        <w:t xml:space="preserve">Besler, B. H.; Merz, K. M.; Kollman, P. A. Atomic Charges Derived from Semiempirical Methods. </w:t>
      </w:r>
      <w:r w:rsidRPr="00DA5C32">
        <w:rPr>
          <w:i/>
          <w:iCs/>
          <w:noProof/>
          <w:szCs w:val="24"/>
        </w:rPr>
        <w:t>J. Comput. Chem.</w:t>
      </w:r>
      <w:r w:rsidRPr="00DA5C32">
        <w:rPr>
          <w:noProof/>
          <w:szCs w:val="24"/>
        </w:rPr>
        <w:t xml:space="preserve"> </w:t>
      </w:r>
      <w:r w:rsidRPr="00DA5C32">
        <w:rPr>
          <w:b/>
          <w:bCs/>
          <w:noProof/>
          <w:szCs w:val="24"/>
        </w:rPr>
        <w:t>1990</w:t>
      </w:r>
      <w:r w:rsidRPr="00DA5C32">
        <w:rPr>
          <w:noProof/>
          <w:szCs w:val="24"/>
        </w:rPr>
        <w:t xml:space="preserve">, </w:t>
      </w:r>
      <w:r w:rsidRPr="00DA5C32">
        <w:rPr>
          <w:i/>
          <w:iCs/>
          <w:noProof/>
          <w:szCs w:val="24"/>
        </w:rPr>
        <w:t>11</w:t>
      </w:r>
      <w:r w:rsidRPr="00DA5C32">
        <w:rPr>
          <w:noProof/>
          <w:szCs w:val="24"/>
        </w:rPr>
        <w:t xml:space="preserve"> (4), 431–439. https://doi.org/10.1002/jcc.540110404.</w:t>
      </w:r>
    </w:p>
    <w:p w14:paraId="742FF006" w14:textId="1CCCD862" w:rsidR="009D408C" w:rsidRPr="00DA5C32" w:rsidRDefault="00DA5C32" w:rsidP="009D408C">
      <w:pPr>
        <w:widowControl w:val="0"/>
        <w:autoSpaceDE w:val="0"/>
        <w:autoSpaceDN w:val="0"/>
        <w:adjustRightInd w:val="0"/>
        <w:ind w:left="640" w:hanging="640"/>
        <w:jc w:val="both"/>
        <w:rPr>
          <w:noProof/>
          <w:szCs w:val="24"/>
        </w:rPr>
      </w:pPr>
      <w:r w:rsidRPr="00DA5C32">
        <w:rPr>
          <w:noProof/>
          <w:szCs w:val="24"/>
        </w:rPr>
        <w:lastRenderedPageBreak/>
        <w:t xml:space="preserve">(26) </w:t>
      </w:r>
      <w:r w:rsidRPr="00DA5C32">
        <w:rPr>
          <w:noProof/>
          <w:szCs w:val="24"/>
        </w:rPr>
        <w:tab/>
        <w:t>Breneman, C. M.; Wiberg, K. B. Determining Atom</w:t>
      </w:r>
      <w:r w:rsidRPr="00DA5C32">
        <w:rPr>
          <w:rFonts w:ascii="Times New Roman" w:hAnsi="Times New Roman"/>
          <w:noProof/>
          <w:szCs w:val="24"/>
        </w:rPr>
        <w:t>‐</w:t>
      </w:r>
      <w:r w:rsidRPr="00DA5C32">
        <w:rPr>
          <w:noProof/>
          <w:szCs w:val="24"/>
        </w:rPr>
        <w:t xml:space="preserve">centered Monopoles from Molecular Electrostatic Potentials. The Need for High Sampling Density in Formamide Conformational Analysis. </w:t>
      </w:r>
      <w:r w:rsidRPr="00DA5C32">
        <w:rPr>
          <w:i/>
          <w:iCs/>
          <w:noProof/>
          <w:szCs w:val="24"/>
        </w:rPr>
        <w:t>J. Comput. Chem.</w:t>
      </w:r>
      <w:r w:rsidRPr="00DA5C32">
        <w:rPr>
          <w:noProof/>
          <w:szCs w:val="24"/>
        </w:rPr>
        <w:t xml:space="preserve"> </w:t>
      </w:r>
      <w:r w:rsidRPr="00DA5C32">
        <w:rPr>
          <w:b/>
          <w:bCs/>
          <w:noProof/>
          <w:szCs w:val="24"/>
        </w:rPr>
        <w:t>1990</w:t>
      </w:r>
      <w:r w:rsidRPr="00DA5C32">
        <w:rPr>
          <w:noProof/>
          <w:szCs w:val="24"/>
        </w:rPr>
        <w:t xml:space="preserve">, </w:t>
      </w:r>
      <w:r w:rsidRPr="00DA5C32">
        <w:rPr>
          <w:i/>
          <w:iCs/>
          <w:noProof/>
          <w:szCs w:val="24"/>
        </w:rPr>
        <w:t>11</w:t>
      </w:r>
      <w:r w:rsidRPr="00DA5C32">
        <w:rPr>
          <w:noProof/>
          <w:szCs w:val="24"/>
        </w:rPr>
        <w:t xml:space="preserve"> (3), 361–373. https://doi.org/10.1002/jcc.540110311.</w:t>
      </w:r>
    </w:p>
    <w:p w14:paraId="16315EF9"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(27) </w:t>
      </w:r>
      <w:r w:rsidRPr="00DA5C32">
        <w:rPr>
          <w:noProof/>
          <w:szCs w:val="24"/>
        </w:rPr>
        <w:tab/>
        <w:t xml:space="preserve">Canzani, D.; Laszlo, K. J.; Bush, M. F. Ion Mobility of Proteins in Nitrogen Gas: Effects of Charge State, Charge Distribution, and Structure. </w:t>
      </w:r>
      <w:r w:rsidRPr="00DA5C32">
        <w:rPr>
          <w:i/>
          <w:iCs/>
          <w:noProof/>
          <w:szCs w:val="24"/>
        </w:rPr>
        <w:t>J. Phys. Chem. A</w:t>
      </w:r>
      <w:r w:rsidRPr="00DA5C32">
        <w:rPr>
          <w:noProof/>
          <w:szCs w:val="24"/>
        </w:rPr>
        <w:t xml:space="preserve"> </w:t>
      </w:r>
      <w:r w:rsidRPr="00DA5C32">
        <w:rPr>
          <w:b/>
          <w:bCs/>
          <w:noProof/>
          <w:szCs w:val="24"/>
        </w:rPr>
        <w:t>2018</w:t>
      </w:r>
      <w:r w:rsidRPr="00DA5C32">
        <w:rPr>
          <w:noProof/>
          <w:szCs w:val="24"/>
        </w:rPr>
        <w:t xml:space="preserve">, </w:t>
      </w:r>
      <w:r w:rsidRPr="00DA5C32">
        <w:rPr>
          <w:i/>
          <w:iCs/>
          <w:noProof/>
          <w:szCs w:val="24"/>
        </w:rPr>
        <w:t>122</w:t>
      </w:r>
      <w:r w:rsidRPr="00DA5C32">
        <w:rPr>
          <w:noProof/>
          <w:szCs w:val="24"/>
        </w:rPr>
        <w:t xml:space="preserve"> (25), 5625–5634. https://doi.org/10.1021/acs.jpca.8b04474.</w:t>
      </w:r>
    </w:p>
    <w:p w14:paraId="7F1540A2"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(28) </w:t>
      </w:r>
      <w:r w:rsidRPr="00DA5C32">
        <w:rPr>
          <w:noProof/>
          <w:szCs w:val="24"/>
        </w:rPr>
        <w:tab/>
        <w:t xml:space="preserve">Wales, D. </w:t>
      </w:r>
      <w:r w:rsidRPr="00DA5C32">
        <w:rPr>
          <w:i/>
          <w:iCs/>
          <w:noProof/>
          <w:szCs w:val="24"/>
        </w:rPr>
        <w:t>Energy Landscapes</w:t>
      </w:r>
      <w:r w:rsidRPr="00DA5C32">
        <w:rPr>
          <w:noProof/>
          <w:szCs w:val="24"/>
        </w:rPr>
        <w:t>; Cambridge University Press, 2004. https://doi.org/10.1017/cbo9780511721724.</w:t>
      </w:r>
    </w:p>
    <w:p w14:paraId="6D5D804F"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(29) </w:t>
      </w:r>
      <w:r w:rsidRPr="00DA5C32">
        <w:rPr>
          <w:noProof/>
          <w:szCs w:val="24"/>
        </w:rPr>
        <w:tab/>
        <w:t xml:space="preserve">Metropolis, N.; Rosenbluth, A. W.; Rosenbluth, M. N.; Teller, A. H.; Teller, E. Equation of State Calculations by Fast Computing Machines. </w:t>
      </w:r>
      <w:r w:rsidRPr="00DA5C32">
        <w:rPr>
          <w:i/>
          <w:iCs/>
          <w:noProof/>
          <w:szCs w:val="24"/>
        </w:rPr>
        <w:t>J. Chem. Phys.</w:t>
      </w:r>
      <w:r w:rsidRPr="00DA5C32">
        <w:rPr>
          <w:noProof/>
          <w:szCs w:val="24"/>
        </w:rPr>
        <w:t xml:space="preserve"> </w:t>
      </w:r>
      <w:r w:rsidRPr="00DA5C32">
        <w:rPr>
          <w:b/>
          <w:bCs/>
          <w:noProof/>
          <w:szCs w:val="24"/>
        </w:rPr>
        <w:t>1953</w:t>
      </w:r>
      <w:r w:rsidRPr="00DA5C32">
        <w:rPr>
          <w:noProof/>
          <w:szCs w:val="24"/>
        </w:rPr>
        <w:t xml:space="preserve">, </w:t>
      </w:r>
      <w:r w:rsidRPr="00DA5C32">
        <w:rPr>
          <w:i/>
          <w:iCs/>
          <w:noProof/>
          <w:szCs w:val="24"/>
        </w:rPr>
        <w:t>21</w:t>
      </w:r>
      <w:r w:rsidRPr="00DA5C32">
        <w:rPr>
          <w:noProof/>
          <w:szCs w:val="24"/>
        </w:rPr>
        <w:t xml:space="preserve"> (6), 1087–1092. https://doi.org/10.1063/1.1699114.</w:t>
      </w:r>
    </w:p>
    <w:p w14:paraId="37104179"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(30) </w:t>
      </w:r>
      <w:r w:rsidRPr="00DA5C32">
        <w:rPr>
          <w:noProof/>
          <w:szCs w:val="24"/>
        </w:rPr>
        <w:tab/>
        <w:t xml:space="preserve">Zhou, C.; Ieritano, C.; Hopkins, W. S. Augmenting Basin-Hopping With Techniques From Unsupervised Machine Learning: Applications in Spectroscopy and Ion Mobility. </w:t>
      </w:r>
      <w:r w:rsidRPr="00DA5C32">
        <w:rPr>
          <w:i/>
          <w:iCs/>
          <w:noProof/>
          <w:szCs w:val="24"/>
        </w:rPr>
        <w:t>Front. Chem.</w:t>
      </w:r>
      <w:r w:rsidRPr="00DA5C32">
        <w:rPr>
          <w:noProof/>
          <w:szCs w:val="24"/>
        </w:rPr>
        <w:t xml:space="preserve"> </w:t>
      </w:r>
      <w:r w:rsidRPr="00DA5C32">
        <w:rPr>
          <w:b/>
          <w:bCs/>
          <w:noProof/>
          <w:szCs w:val="24"/>
        </w:rPr>
        <w:t>2019</w:t>
      </w:r>
      <w:r w:rsidRPr="00DA5C32">
        <w:rPr>
          <w:noProof/>
          <w:szCs w:val="24"/>
        </w:rPr>
        <w:t xml:space="preserve">, </w:t>
      </w:r>
      <w:r w:rsidRPr="00DA5C32">
        <w:rPr>
          <w:i/>
          <w:iCs/>
          <w:noProof/>
          <w:szCs w:val="24"/>
        </w:rPr>
        <w:t>7</w:t>
      </w:r>
      <w:r w:rsidRPr="00DA5C32">
        <w:rPr>
          <w:noProof/>
          <w:szCs w:val="24"/>
        </w:rPr>
        <w:t>, 519. https://doi.org/10.3389/fchem.2019.00519.</w:t>
      </w:r>
    </w:p>
    <w:p w14:paraId="05AC92A8"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(31) </w:t>
      </w:r>
      <w:r w:rsidRPr="00DA5C32">
        <w:rPr>
          <w:noProof/>
          <w:szCs w:val="24"/>
        </w:rPr>
        <w:tab/>
        <w:t xml:space="preserve">Porezag, D.; Frauenheim, T.; Köhler, T.; Seifert, G.; Kaschner, R. Construction of Tight-Binding-like Potentials on the Basis of Density-Functional Theory: Application to Carbon. </w:t>
      </w:r>
      <w:r w:rsidRPr="00DA5C32">
        <w:rPr>
          <w:i/>
          <w:iCs/>
          <w:noProof/>
          <w:szCs w:val="24"/>
        </w:rPr>
        <w:t>Phys. Rev. B</w:t>
      </w:r>
      <w:r w:rsidRPr="00DA5C32">
        <w:rPr>
          <w:noProof/>
          <w:szCs w:val="24"/>
        </w:rPr>
        <w:t xml:space="preserve"> </w:t>
      </w:r>
      <w:r w:rsidRPr="00DA5C32">
        <w:rPr>
          <w:b/>
          <w:bCs/>
          <w:noProof/>
          <w:szCs w:val="24"/>
        </w:rPr>
        <w:t>1995</w:t>
      </w:r>
      <w:r w:rsidRPr="00DA5C32">
        <w:rPr>
          <w:noProof/>
          <w:szCs w:val="24"/>
        </w:rPr>
        <w:t xml:space="preserve">, </w:t>
      </w:r>
      <w:r w:rsidRPr="00DA5C32">
        <w:rPr>
          <w:i/>
          <w:iCs/>
          <w:noProof/>
          <w:szCs w:val="24"/>
        </w:rPr>
        <w:t>51</w:t>
      </w:r>
      <w:r w:rsidRPr="00DA5C32">
        <w:rPr>
          <w:noProof/>
          <w:szCs w:val="24"/>
        </w:rPr>
        <w:t xml:space="preserve"> (19), 12947–12957. https://doi.org/10.1103/PhysRevB.51.12947.</w:t>
      </w:r>
    </w:p>
    <w:p w14:paraId="4882E663"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(32) </w:t>
      </w:r>
      <w:r w:rsidRPr="00DA5C32">
        <w:rPr>
          <w:noProof/>
          <w:szCs w:val="24"/>
        </w:rPr>
        <w:tab/>
        <w:t xml:space="preserve">Elstner, M.; Porezag, D.; Jungnickel, G.; Elsner, J.; Haugk, M.; Frauenheim, T. Self-Consistent-Charge Density-Functional Tight-Binding Method for Simulations of Complex Materials Properties. </w:t>
      </w:r>
      <w:r w:rsidRPr="00DA5C32">
        <w:rPr>
          <w:i/>
          <w:iCs/>
          <w:noProof/>
          <w:szCs w:val="24"/>
        </w:rPr>
        <w:t>Phys. Rev. B - Condens. Matter Mater. Phys.</w:t>
      </w:r>
      <w:r w:rsidRPr="00DA5C32">
        <w:rPr>
          <w:noProof/>
          <w:szCs w:val="24"/>
        </w:rPr>
        <w:t xml:space="preserve"> </w:t>
      </w:r>
      <w:r w:rsidRPr="00DA5C32">
        <w:rPr>
          <w:b/>
          <w:bCs/>
          <w:noProof/>
          <w:szCs w:val="24"/>
        </w:rPr>
        <w:t>1998</w:t>
      </w:r>
      <w:r w:rsidRPr="00DA5C32">
        <w:rPr>
          <w:noProof/>
          <w:szCs w:val="24"/>
        </w:rPr>
        <w:t xml:space="preserve">, </w:t>
      </w:r>
      <w:r w:rsidRPr="00DA5C32">
        <w:rPr>
          <w:i/>
          <w:iCs/>
          <w:noProof/>
          <w:szCs w:val="24"/>
        </w:rPr>
        <w:t>58</w:t>
      </w:r>
      <w:r w:rsidRPr="00DA5C32">
        <w:rPr>
          <w:noProof/>
          <w:szCs w:val="24"/>
        </w:rPr>
        <w:t xml:space="preserve"> (11), 7260–7268. https://doi.org/10.1103/PhysRevB.58.7260.</w:t>
      </w:r>
    </w:p>
    <w:p w14:paraId="60CD3602"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(33) </w:t>
      </w:r>
      <w:r w:rsidRPr="00DA5C32">
        <w:rPr>
          <w:noProof/>
          <w:szCs w:val="24"/>
        </w:rPr>
        <w:tab/>
        <w:t xml:space="preserve">Throssel, K.; Frisch, M. J. Evaluation and Improvement of Semiempirical Methods I: PM7R8: A Variant of PM7 with Numerically Stable Hydrogen Bonding Corrections. </w:t>
      </w:r>
      <w:r w:rsidRPr="00DA5C32">
        <w:rPr>
          <w:i/>
          <w:iCs/>
          <w:noProof/>
          <w:szCs w:val="24"/>
        </w:rPr>
        <w:t>Manuscr. Prep.</w:t>
      </w:r>
    </w:p>
    <w:p w14:paraId="3B9DE6F5"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(34) </w:t>
      </w:r>
      <w:r w:rsidRPr="00DA5C32">
        <w:rPr>
          <w:noProof/>
          <w:szCs w:val="24"/>
        </w:rPr>
        <w:tab/>
        <w:t xml:space="preserve">Roothaan, C. C. J. New Developments in Molecular Orbital Theory. </w:t>
      </w:r>
      <w:r w:rsidRPr="00DA5C32">
        <w:rPr>
          <w:i/>
          <w:iCs/>
          <w:noProof/>
          <w:szCs w:val="24"/>
        </w:rPr>
        <w:t>Rev. Mod. Phys.</w:t>
      </w:r>
      <w:r w:rsidRPr="00DA5C32">
        <w:rPr>
          <w:noProof/>
          <w:szCs w:val="24"/>
        </w:rPr>
        <w:t xml:space="preserve"> </w:t>
      </w:r>
      <w:r w:rsidRPr="00DA5C32">
        <w:rPr>
          <w:b/>
          <w:bCs/>
          <w:noProof/>
          <w:szCs w:val="24"/>
        </w:rPr>
        <w:t>1951</w:t>
      </w:r>
      <w:r w:rsidRPr="00DA5C32">
        <w:rPr>
          <w:noProof/>
          <w:szCs w:val="24"/>
        </w:rPr>
        <w:t xml:space="preserve">, </w:t>
      </w:r>
      <w:r w:rsidRPr="00DA5C32">
        <w:rPr>
          <w:i/>
          <w:iCs/>
          <w:noProof/>
          <w:szCs w:val="24"/>
        </w:rPr>
        <w:t>23</w:t>
      </w:r>
      <w:r w:rsidRPr="00DA5C32">
        <w:rPr>
          <w:noProof/>
          <w:szCs w:val="24"/>
        </w:rPr>
        <w:t xml:space="preserve"> (2), 69–89. https://doi.org/10.1103/RevModPhys.23.69.</w:t>
      </w:r>
    </w:p>
    <w:p w14:paraId="33B224FD"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(35) </w:t>
      </w:r>
      <w:r w:rsidRPr="00DA5C32">
        <w:rPr>
          <w:noProof/>
          <w:szCs w:val="24"/>
        </w:rPr>
        <w:tab/>
        <w:t xml:space="preserve">Ieritano, C.; Crouse, J.; Campbell, J. L.; Hopkins, W. S. A Parallelized Molecular Collision Cross Section Package with Optimized Accuracy and Efficiency. </w:t>
      </w:r>
      <w:r w:rsidRPr="00DA5C32">
        <w:rPr>
          <w:i/>
          <w:iCs/>
          <w:noProof/>
          <w:szCs w:val="24"/>
        </w:rPr>
        <w:t>Analyst</w:t>
      </w:r>
      <w:r w:rsidRPr="00DA5C32">
        <w:rPr>
          <w:noProof/>
          <w:szCs w:val="24"/>
        </w:rPr>
        <w:t xml:space="preserve"> </w:t>
      </w:r>
      <w:r w:rsidRPr="00DA5C32">
        <w:rPr>
          <w:b/>
          <w:bCs/>
          <w:noProof/>
          <w:szCs w:val="24"/>
        </w:rPr>
        <w:t>2019</w:t>
      </w:r>
      <w:r w:rsidRPr="00DA5C32">
        <w:rPr>
          <w:noProof/>
          <w:szCs w:val="24"/>
        </w:rPr>
        <w:t xml:space="preserve">, </w:t>
      </w:r>
      <w:r w:rsidRPr="00DA5C32">
        <w:rPr>
          <w:i/>
          <w:iCs/>
          <w:noProof/>
          <w:szCs w:val="24"/>
        </w:rPr>
        <w:t>144</w:t>
      </w:r>
      <w:r w:rsidRPr="00DA5C32">
        <w:rPr>
          <w:noProof/>
          <w:szCs w:val="24"/>
        </w:rPr>
        <w:t xml:space="preserve"> (5), 1660–1670. https://doi.org/10.1039/c8an02150c.</w:t>
      </w:r>
    </w:p>
    <w:p w14:paraId="5441CB89"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(36) </w:t>
      </w:r>
      <w:r w:rsidRPr="00DA5C32">
        <w:rPr>
          <w:noProof/>
          <w:szCs w:val="24"/>
        </w:rPr>
        <w:tab/>
        <w:t xml:space="preserve">Stewart, J. J. P. Optimization of Parameters for Semiempirical Methods VI: More Modifications to the NDDO Approximations and Re-Optimization of Parameters. </w:t>
      </w:r>
      <w:r w:rsidRPr="00DA5C32">
        <w:rPr>
          <w:i/>
          <w:iCs/>
          <w:noProof/>
          <w:szCs w:val="24"/>
        </w:rPr>
        <w:t>J. Mol. Model.</w:t>
      </w:r>
      <w:r w:rsidRPr="00DA5C32">
        <w:rPr>
          <w:noProof/>
          <w:szCs w:val="24"/>
        </w:rPr>
        <w:t xml:space="preserve"> </w:t>
      </w:r>
      <w:r w:rsidRPr="00DA5C32">
        <w:rPr>
          <w:b/>
          <w:bCs/>
          <w:noProof/>
          <w:szCs w:val="24"/>
        </w:rPr>
        <w:t>2013</w:t>
      </w:r>
      <w:r w:rsidRPr="00DA5C32">
        <w:rPr>
          <w:noProof/>
          <w:szCs w:val="24"/>
        </w:rPr>
        <w:t xml:space="preserve">, </w:t>
      </w:r>
      <w:r w:rsidRPr="00DA5C32">
        <w:rPr>
          <w:i/>
          <w:iCs/>
          <w:noProof/>
          <w:szCs w:val="24"/>
        </w:rPr>
        <w:t>19</w:t>
      </w:r>
      <w:r w:rsidRPr="00DA5C32">
        <w:rPr>
          <w:noProof/>
          <w:szCs w:val="24"/>
        </w:rPr>
        <w:t xml:space="preserve"> (1), 1–32. https://doi.org/10.1007/s00894-012-1667-x.</w:t>
      </w:r>
    </w:p>
    <w:p w14:paraId="7B2A2780"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(37) </w:t>
      </w:r>
      <w:r w:rsidRPr="00DA5C32">
        <w:rPr>
          <w:noProof/>
          <w:szCs w:val="24"/>
        </w:rPr>
        <w:tab/>
        <w:t>Frisch, M. J.; Trucks, G. W.; Schlegel, H. B.; Scuseria, G. E.; Robb, M. A.; Cheeseman, J. R.; Scalmani, G.; V. Barone, B.; Mennucci, G.; Petersson, A. Gaussian 09. Gaussian Incorporated: Wallingford, CT 2009.</w:t>
      </w:r>
    </w:p>
    <w:p w14:paraId="1B3A4673"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(38) </w:t>
      </w:r>
      <w:r w:rsidRPr="00DA5C32">
        <w:rPr>
          <w:noProof/>
          <w:szCs w:val="24"/>
        </w:rPr>
        <w:tab/>
        <w:t xml:space="preserve">Becke, A. D. Density-Functional Thermochemistry. III. The Role of Exact Exchange. </w:t>
      </w:r>
      <w:r w:rsidRPr="00DA5C32">
        <w:rPr>
          <w:i/>
          <w:iCs/>
          <w:noProof/>
          <w:szCs w:val="24"/>
        </w:rPr>
        <w:t>J. Chem. Phys.</w:t>
      </w:r>
      <w:r w:rsidRPr="00DA5C32">
        <w:rPr>
          <w:noProof/>
          <w:szCs w:val="24"/>
        </w:rPr>
        <w:t xml:space="preserve"> </w:t>
      </w:r>
      <w:r w:rsidRPr="00DA5C32">
        <w:rPr>
          <w:b/>
          <w:bCs/>
          <w:noProof/>
          <w:szCs w:val="24"/>
        </w:rPr>
        <w:t>1993</w:t>
      </w:r>
      <w:r w:rsidRPr="00DA5C32">
        <w:rPr>
          <w:noProof/>
          <w:szCs w:val="24"/>
        </w:rPr>
        <w:t xml:space="preserve">, </w:t>
      </w:r>
      <w:r w:rsidRPr="00DA5C32">
        <w:rPr>
          <w:i/>
          <w:iCs/>
          <w:noProof/>
          <w:szCs w:val="24"/>
        </w:rPr>
        <w:t>98</w:t>
      </w:r>
      <w:r w:rsidRPr="00DA5C32">
        <w:rPr>
          <w:noProof/>
          <w:szCs w:val="24"/>
        </w:rPr>
        <w:t xml:space="preserve"> (7), 5648–5652. https://doi.org/10.1063/1.464913.</w:t>
      </w:r>
    </w:p>
    <w:p w14:paraId="25AD6173"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(39) </w:t>
      </w:r>
      <w:r w:rsidRPr="00DA5C32">
        <w:rPr>
          <w:noProof/>
          <w:szCs w:val="24"/>
        </w:rPr>
        <w:tab/>
        <w:t xml:space="preserve">Lee, C.; Yang, W.; Parr, R. G. Development of the Colle-Salvetti Correlation-Energy Formula into a Functional of the Electron Density. </w:t>
      </w:r>
      <w:r w:rsidRPr="00DA5C32">
        <w:rPr>
          <w:i/>
          <w:iCs/>
          <w:noProof/>
          <w:szCs w:val="24"/>
        </w:rPr>
        <w:t>Phys. Rev. B</w:t>
      </w:r>
      <w:r w:rsidRPr="00DA5C32">
        <w:rPr>
          <w:noProof/>
          <w:szCs w:val="24"/>
        </w:rPr>
        <w:t xml:space="preserve"> </w:t>
      </w:r>
      <w:r w:rsidRPr="00DA5C32">
        <w:rPr>
          <w:b/>
          <w:bCs/>
          <w:noProof/>
          <w:szCs w:val="24"/>
        </w:rPr>
        <w:t>1988</w:t>
      </w:r>
      <w:r w:rsidRPr="00DA5C32">
        <w:rPr>
          <w:noProof/>
          <w:szCs w:val="24"/>
        </w:rPr>
        <w:t xml:space="preserve">, </w:t>
      </w:r>
      <w:r w:rsidRPr="00DA5C32">
        <w:rPr>
          <w:i/>
          <w:iCs/>
          <w:noProof/>
          <w:szCs w:val="24"/>
        </w:rPr>
        <w:t>37</w:t>
      </w:r>
      <w:r w:rsidRPr="00DA5C32">
        <w:rPr>
          <w:noProof/>
          <w:szCs w:val="24"/>
        </w:rPr>
        <w:t xml:space="preserve"> (2), 785–789. https://doi.org/10.1103/PhysRevB.37.785.</w:t>
      </w:r>
    </w:p>
    <w:p w14:paraId="0780510C"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(40) </w:t>
      </w:r>
      <w:r w:rsidRPr="00DA5C32">
        <w:rPr>
          <w:noProof/>
          <w:szCs w:val="24"/>
        </w:rPr>
        <w:tab/>
        <w:t xml:space="preserve">Grimme, S.; Antony, J.; Ehrlich, S.; Krieg, H. A Consistent and Accurate Ab Initio Parametrization of Density Functional Dispersion Correction (DFT-D) for the 94 Elements H-Pu. </w:t>
      </w:r>
      <w:r w:rsidRPr="00DA5C32">
        <w:rPr>
          <w:i/>
          <w:iCs/>
          <w:noProof/>
          <w:szCs w:val="24"/>
        </w:rPr>
        <w:t>J. Chem. Phys.</w:t>
      </w:r>
      <w:r w:rsidRPr="00DA5C32">
        <w:rPr>
          <w:noProof/>
          <w:szCs w:val="24"/>
        </w:rPr>
        <w:t xml:space="preserve"> </w:t>
      </w:r>
      <w:r w:rsidRPr="00DA5C32">
        <w:rPr>
          <w:b/>
          <w:bCs/>
          <w:noProof/>
          <w:szCs w:val="24"/>
        </w:rPr>
        <w:t>2010</w:t>
      </w:r>
      <w:r w:rsidRPr="00DA5C32">
        <w:rPr>
          <w:noProof/>
          <w:szCs w:val="24"/>
        </w:rPr>
        <w:t xml:space="preserve">, </w:t>
      </w:r>
      <w:r w:rsidRPr="00DA5C32">
        <w:rPr>
          <w:i/>
          <w:iCs/>
          <w:noProof/>
          <w:szCs w:val="24"/>
        </w:rPr>
        <w:t>132</w:t>
      </w:r>
      <w:r w:rsidRPr="00DA5C32">
        <w:rPr>
          <w:noProof/>
          <w:szCs w:val="24"/>
        </w:rPr>
        <w:t xml:space="preserve"> (15), 154104. https://doi.org/10.1063/1.3382344.</w:t>
      </w:r>
    </w:p>
    <w:p w14:paraId="60B1EBC9" w14:textId="5A65AD5C" w:rsidR="00DA5C32" w:rsidRDefault="00DA5C32" w:rsidP="00DA5C32">
      <w:pPr>
        <w:widowControl w:val="0"/>
        <w:autoSpaceDE w:val="0"/>
        <w:autoSpaceDN w:val="0"/>
        <w:adjustRightInd w:val="0"/>
        <w:ind w:left="640" w:hanging="640"/>
        <w:jc w:val="both"/>
        <w:rPr>
          <w:noProof/>
          <w:szCs w:val="24"/>
        </w:rPr>
      </w:pPr>
      <w:r w:rsidRPr="00DA5C32">
        <w:rPr>
          <w:noProof/>
          <w:szCs w:val="24"/>
        </w:rPr>
        <w:t xml:space="preserve">(41) </w:t>
      </w:r>
      <w:r w:rsidRPr="00DA5C32">
        <w:rPr>
          <w:noProof/>
          <w:szCs w:val="24"/>
        </w:rPr>
        <w:tab/>
        <w:t xml:space="preserve">Chai, J. Da; Head-Gordon, M. Long-Range Corrected Hybrid Density Functionals with Damped Atom-Atom Dispersion Corrections. </w:t>
      </w:r>
      <w:r w:rsidRPr="00DA5C32">
        <w:rPr>
          <w:i/>
          <w:iCs/>
          <w:noProof/>
          <w:szCs w:val="24"/>
        </w:rPr>
        <w:t>Phys. Chem. Chem. Phys.</w:t>
      </w:r>
      <w:r w:rsidRPr="00DA5C32">
        <w:rPr>
          <w:noProof/>
          <w:szCs w:val="24"/>
        </w:rPr>
        <w:t xml:space="preserve"> </w:t>
      </w:r>
      <w:r w:rsidRPr="00DA5C32">
        <w:rPr>
          <w:b/>
          <w:bCs/>
          <w:noProof/>
          <w:szCs w:val="24"/>
        </w:rPr>
        <w:t>2008</w:t>
      </w:r>
      <w:r w:rsidRPr="00DA5C32">
        <w:rPr>
          <w:noProof/>
          <w:szCs w:val="24"/>
        </w:rPr>
        <w:t xml:space="preserve">, </w:t>
      </w:r>
      <w:r w:rsidRPr="00DA5C32">
        <w:rPr>
          <w:i/>
          <w:iCs/>
          <w:noProof/>
          <w:szCs w:val="24"/>
        </w:rPr>
        <w:t>10</w:t>
      </w:r>
      <w:r w:rsidRPr="00DA5C32">
        <w:rPr>
          <w:noProof/>
          <w:szCs w:val="24"/>
        </w:rPr>
        <w:t xml:space="preserve"> (44), 6615–6620. https://doi.org/10.1039/b810189b.</w:t>
      </w:r>
    </w:p>
    <w:p w14:paraId="09B88CC0" w14:textId="07FC4B90" w:rsidR="009D408C" w:rsidRDefault="009D408C" w:rsidP="00DA5C32">
      <w:pPr>
        <w:widowControl w:val="0"/>
        <w:autoSpaceDE w:val="0"/>
        <w:autoSpaceDN w:val="0"/>
        <w:adjustRightInd w:val="0"/>
        <w:ind w:left="640" w:hanging="640"/>
        <w:jc w:val="both"/>
        <w:rPr>
          <w:noProof/>
          <w:szCs w:val="24"/>
        </w:rPr>
      </w:pPr>
    </w:p>
    <w:p w14:paraId="74EB946C" w14:textId="77777777" w:rsidR="009D408C" w:rsidRPr="00DA5C32" w:rsidRDefault="009D408C" w:rsidP="00DA5C32">
      <w:pPr>
        <w:widowControl w:val="0"/>
        <w:autoSpaceDE w:val="0"/>
        <w:autoSpaceDN w:val="0"/>
        <w:adjustRightInd w:val="0"/>
        <w:ind w:left="640" w:hanging="640"/>
        <w:jc w:val="both"/>
        <w:rPr>
          <w:noProof/>
          <w:szCs w:val="24"/>
        </w:rPr>
      </w:pPr>
    </w:p>
    <w:p w14:paraId="5BF3CC63" w14:textId="0667E26A" w:rsidR="009D408C" w:rsidRPr="00DA5C32" w:rsidRDefault="00DA5C32" w:rsidP="009D408C">
      <w:pPr>
        <w:widowControl w:val="0"/>
        <w:autoSpaceDE w:val="0"/>
        <w:autoSpaceDN w:val="0"/>
        <w:adjustRightInd w:val="0"/>
        <w:ind w:left="640" w:hanging="640"/>
        <w:jc w:val="both"/>
        <w:rPr>
          <w:noProof/>
          <w:szCs w:val="24"/>
        </w:rPr>
      </w:pPr>
      <w:r w:rsidRPr="00DA5C32">
        <w:rPr>
          <w:noProof/>
          <w:szCs w:val="24"/>
        </w:rPr>
        <w:lastRenderedPageBreak/>
        <w:t xml:space="preserve">(42) </w:t>
      </w:r>
      <w:r w:rsidRPr="00DA5C32">
        <w:rPr>
          <w:noProof/>
          <w:szCs w:val="24"/>
        </w:rPr>
        <w:tab/>
        <w:t xml:space="preserve">Zhao, Y.; Truhlar, D. G. The M06 Suite of Density Functionals for Main Group Thermochemistry, Thermochemical Kinetics, Noncovalent Interactions, Excited States, and Transition Elements: Two New Functionals and Systematic Testing of Four M06 Functionals and 12 Other Functionals (T. </w:t>
      </w:r>
      <w:r w:rsidRPr="00DA5C32">
        <w:rPr>
          <w:i/>
          <w:iCs/>
          <w:noProof/>
          <w:szCs w:val="24"/>
        </w:rPr>
        <w:t>Theor. Chem. Acc.</w:t>
      </w:r>
      <w:r w:rsidRPr="00DA5C32">
        <w:rPr>
          <w:noProof/>
          <w:szCs w:val="24"/>
        </w:rPr>
        <w:t xml:space="preserve"> </w:t>
      </w:r>
      <w:r w:rsidRPr="00DA5C32">
        <w:rPr>
          <w:b/>
          <w:bCs/>
          <w:noProof/>
          <w:szCs w:val="24"/>
        </w:rPr>
        <w:t>2008</w:t>
      </w:r>
      <w:r w:rsidRPr="00DA5C32">
        <w:rPr>
          <w:noProof/>
          <w:szCs w:val="24"/>
        </w:rPr>
        <w:t xml:space="preserve">, </w:t>
      </w:r>
      <w:r w:rsidRPr="00DA5C32">
        <w:rPr>
          <w:i/>
          <w:iCs/>
          <w:noProof/>
          <w:szCs w:val="24"/>
        </w:rPr>
        <w:t>119</w:t>
      </w:r>
      <w:r w:rsidRPr="00DA5C32">
        <w:rPr>
          <w:noProof/>
          <w:szCs w:val="24"/>
        </w:rPr>
        <w:t xml:space="preserve"> (5–6), 525. https://doi.org/10.1007/s00214-007-0401-8.</w:t>
      </w:r>
    </w:p>
    <w:p w14:paraId="7731B46D" w14:textId="77777777" w:rsidR="00DA5C32" w:rsidRPr="00DA5C32" w:rsidRDefault="00DA5C32" w:rsidP="00DA5C32">
      <w:pPr>
        <w:widowControl w:val="0"/>
        <w:autoSpaceDE w:val="0"/>
        <w:autoSpaceDN w:val="0"/>
        <w:adjustRightInd w:val="0"/>
        <w:ind w:left="640" w:hanging="640"/>
        <w:jc w:val="both"/>
        <w:rPr>
          <w:noProof/>
          <w:szCs w:val="24"/>
        </w:rPr>
      </w:pPr>
      <w:r w:rsidRPr="00DA5C32">
        <w:rPr>
          <w:noProof/>
          <w:szCs w:val="24"/>
        </w:rPr>
        <w:t xml:space="preserve">(43) </w:t>
      </w:r>
      <w:r w:rsidRPr="00DA5C32">
        <w:rPr>
          <w:noProof/>
          <w:szCs w:val="24"/>
        </w:rPr>
        <w:tab/>
        <w:t xml:space="preserve">Weigend, F.; Ahlrichs, R. Balanced Basis Sets of Split Valence, Triple Zeta Valence and Quadruple Zeta Valence Quality for H to Rn: Design and Assessment of Accuracy. </w:t>
      </w:r>
      <w:r w:rsidRPr="00DA5C32">
        <w:rPr>
          <w:i/>
          <w:iCs/>
          <w:noProof/>
          <w:szCs w:val="24"/>
        </w:rPr>
        <w:t>Phys. Chem. Chem. Phys.</w:t>
      </w:r>
      <w:r w:rsidRPr="00DA5C32">
        <w:rPr>
          <w:noProof/>
          <w:szCs w:val="24"/>
        </w:rPr>
        <w:t xml:space="preserve"> </w:t>
      </w:r>
      <w:r w:rsidRPr="00DA5C32">
        <w:rPr>
          <w:b/>
          <w:bCs/>
          <w:noProof/>
          <w:szCs w:val="24"/>
        </w:rPr>
        <w:t>2005</w:t>
      </w:r>
      <w:r w:rsidRPr="00DA5C32">
        <w:rPr>
          <w:noProof/>
          <w:szCs w:val="24"/>
        </w:rPr>
        <w:t xml:space="preserve">, </w:t>
      </w:r>
      <w:r w:rsidRPr="00DA5C32">
        <w:rPr>
          <w:i/>
          <w:iCs/>
          <w:noProof/>
          <w:szCs w:val="24"/>
        </w:rPr>
        <w:t>7</w:t>
      </w:r>
      <w:r w:rsidRPr="00DA5C32">
        <w:rPr>
          <w:noProof/>
          <w:szCs w:val="24"/>
        </w:rPr>
        <w:t xml:space="preserve"> (18), 3297–3305. https://doi.org/10.1039/b508541a.</w:t>
      </w:r>
    </w:p>
    <w:p w14:paraId="48E3A8F1" w14:textId="77777777" w:rsidR="00DA5C32" w:rsidRPr="00DA5C32" w:rsidRDefault="00DA5C32" w:rsidP="00DA5C32">
      <w:pPr>
        <w:widowControl w:val="0"/>
        <w:autoSpaceDE w:val="0"/>
        <w:autoSpaceDN w:val="0"/>
        <w:adjustRightInd w:val="0"/>
        <w:ind w:left="640" w:hanging="640"/>
        <w:jc w:val="both"/>
        <w:rPr>
          <w:noProof/>
        </w:rPr>
      </w:pPr>
      <w:r w:rsidRPr="00DA5C32">
        <w:rPr>
          <w:noProof/>
          <w:szCs w:val="24"/>
        </w:rPr>
        <w:t xml:space="preserve">(44) </w:t>
      </w:r>
      <w:r w:rsidRPr="00DA5C32">
        <w:rPr>
          <w:noProof/>
          <w:szCs w:val="24"/>
        </w:rPr>
        <w:tab/>
        <w:t xml:space="preserve">Weigend, F. Accurate Coulomb-Fitting Basis Sets for H to Rn. </w:t>
      </w:r>
      <w:r w:rsidRPr="00DA5C32">
        <w:rPr>
          <w:i/>
          <w:iCs/>
          <w:noProof/>
          <w:szCs w:val="24"/>
        </w:rPr>
        <w:t>Phys. Chem. Chem. Phys.</w:t>
      </w:r>
      <w:r w:rsidRPr="00DA5C32">
        <w:rPr>
          <w:noProof/>
          <w:szCs w:val="24"/>
        </w:rPr>
        <w:t xml:space="preserve"> </w:t>
      </w:r>
      <w:r w:rsidRPr="00DA5C32">
        <w:rPr>
          <w:b/>
          <w:bCs/>
          <w:noProof/>
          <w:szCs w:val="24"/>
        </w:rPr>
        <w:t>2006</w:t>
      </w:r>
      <w:r w:rsidRPr="00DA5C32">
        <w:rPr>
          <w:noProof/>
          <w:szCs w:val="24"/>
        </w:rPr>
        <w:t xml:space="preserve">, </w:t>
      </w:r>
      <w:r w:rsidRPr="00DA5C32">
        <w:rPr>
          <w:i/>
          <w:iCs/>
          <w:noProof/>
          <w:szCs w:val="24"/>
        </w:rPr>
        <w:t>8</w:t>
      </w:r>
      <w:r w:rsidRPr="00DA5C32">
        <w:rPr>
          <w:noProof/>
          <w:szCs w:val="24"/>
        </w:rPr>
        <w:t xml:space="preserve"> (9), 1057–1065. https://doi.org/10.1039/b515623h.</w:t>
      </w:r>
    </w:p>
    <w:p w14:paraId="5D2C3BED" w14:textId="4FDBE930" w:rsidR="006B4206" w:rsidRPr="006B4206" w:rsidRDefault="00C36517" w:rsidP="00DA5C32">
      <w:pPr>
        <w:jc w:val="both"/>
        <w:rPr>
          <w:lang w:val="en-CA"/>
        </w:rPr>
      </w:pPr>
      <w:r>
        <w:rPr>
          <w:lang w:val="en-CA"/>
        </w:rPr>
        <w:fldChar w:fldCharType="end"/>
      </w:r>
    </w:p>
    <w:sectPr w:rsidR="006B4206" w:rsidRPr="006B42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53C71" w14:textId="77777777" w:rsidR="00B22392" w:rsidRDefault="00B22392" w:rsidP="00B1199B">
      <w:r>
        <w:separator/>
      </w:r>
    </w:p>
  </w:endnote>
  <w:endnote w:type="continuationSeparator" w:id="0">
    <w:p w14:paraId="489839B8" w14:textId="77777777" w:rsidR="00B22392" w:rsidRDefault="00B22392" w:rsidP="00B11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no pro">
    <w:altName w:val="Cambria"/>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3565B" w14:textId="7E62958E" w:rsidR="00B1199B" w:rsidRDefault="00B1199B">
    <w:pPr>
      <w:pStyle w:val="Footer"/>
      <w:jc w:val="center"/>
    </w:pPr>
  </w:p>
  <w:p w14:paraId="38F5B0C4" w14:textId="77777777" w:rsidR="00B1199B" w:rsidRDefault="00B119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483730"/>
      <w:docPartObj>
        <w:docPartGallery w:val="Page Numbers (Bottom of Page)"/>
        <w:docPartUnique/>
      </w:docPartObj>
    </w:sdtPr>
    <w:sdtEndPr>
      <w:rPr>
        <w:noProof/>
      </w:rPr>
    </w:sdtEndPr>
    <w:sdtContent>
      <w:p w14:paraId="454569C8" w14:textId="77777777" w:rsidR="00B1199B" w:rsidRDefault="00B119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80476" w14:textId="77777777" w:rsidR="00B1199B" w:rsidRDefault="00B119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B8EC8" w14:textId="77777777" w:rsidR="00B22392" w:rsidRDefault="00B22392" w:rsidP="00B1199B">
      <w:r>
        <w:separator/>
      </w:r>
    </w:p>
  </w:footnote>
  <w:footnote w:type="continuationSeparator" w:id="0">
    <w:p w14:paraId="64B88D0F" w14:textId="77777777" w:rsidR="00B22392" w:rsidRDefault="00B22392" w:rsidP="00B11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454E1"/>
    <w:multiLevelType w:val="hybridMultilevel"/>
    <w:tmpl w:val="FC9217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6D0FE5"/>
    <w:multiLevelType w:val="hybridMultilevel"/>
    <w:tmpl w:val="025E3F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06351"/>
    <w:multiLevelType w:val="hybridMultilevel"/>
    <w:tmpl w:val="DBE8DD76"/>
    <w:lvl w:ilvl="0" w:tplc="A25ACA20">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9969D1"/>
    <w:multiLevelType w:val="hybridMultilevel"/>
    <w:tmpl w:val="82880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6109E3"/>
    <w:multiLevelType w:val="hybridMultilevel"/>
    <w:tmpl w:val="D8804E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08C033E"/>
    <w:multiLevelType w:val="multilevel"/>
    <w:tmpl w:val="44749C6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15836A0C"/>
    <w:multiLevelType w:val="hybridMultilevel"/>
    <w:tmpl w:val="DB76FF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0716E6"/>
    <w:multiLevelType w:val="multilevel"/>
    <w:tmpl w:val="63FA093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3A836DB6"/>
    <w:multiLevelType w:val="hybridMultilevel"/>
    <w:tmpl w:val="CCAA2F9E"/>
    <w:lvl w:ilvl="0" w:tplc="11AA2B48">
      <w:numFmt w:val="bullet"/>
      <w:lvlText w:val="-"/>
      <w:lvlJc w:val="left"/>
      <w:pPr>
        <w:ind w:left="720" w:hanging="360"/>
      </w:pPr>
      <w:rPr>
        <w:rFonts w:ascii="Garamond" w:eastAsia="Times New Roman" w:hAnsi="Garamond"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C1651F0"/>
    <w:multiLevelType w:val="hybridMultilevel"/>
    <w:tmpl w:val="1428BD3E"/>
    <w:lvl w:ilvl="0" w:tplc="19F67572">
      <w:numFmt w:val="bullet"/>
      <w:lvlText w:val=""/>
      <w:lvlJc w:val="left"/>
      <w:pPr>
        <w:ind w:left="720" w:hanging="360"/>
      </w:pPr>
      <w:rPr>
        <w:rFonts w:ascii="Garamond" w:eastAsia="Times New Roman" w:hAnsi="Garamond"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BA215E6"/>
    <w:multiLevelType w:val="multilevel"/>
    <w:tmpl w:val="AB66F876"/>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62AB18B5"/>
    <w:multiLevelType w:val="hybridMultilevel"/>
    <w:tmpl w:val="1F6830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6BC493A"/>
    <w:multiLevelType w:val="hybridMultilevel"/>
    <w:tmpl w:val="F184EFC2"/>
    <w:lvl w:ilvl="0" w:tplc="A25ACA20">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6"/>
  </w:num>
  <w:num w:numId="3">
    <w:abstractNumId w:val="11"/>
  </w:num>
  <w:num w:numId="4">
    <w:abstractNumId w:val="5"/>
  </w:num>
  <w:num w:numId="5">
    <w:abstractNumId w:val="9"/>
  </w:num>
  <w:num w:numId="6">
    <w:abstractNumId w:val="8"/>
  </w:num>
  <w:num w:numId="7">
    <w:abstractNumId w:val="10"/>
  </w:num>
  <w:num w:numId="8">
    <w:abstractNumId w:val="0"/>
  </w:num>
  <w:num w:numId="9">
    <w:abstractNumId w:val="4"/>
  </w:num>
  <w:num w:numId="10">
    <w:abstractNumId w:val="2"/>
  </w:num>
  <w:num w:numId="11">
    <w:abstractNumId w:val="1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A3B"/>
    <w:rsid w:val="00004368"/>
    <w:rsid w:val="00011026"/>
    <w:rsid w:val="00013AE8"/>
    <w:rsid w:val="000154CD"/>
    <w:rsid w:val="00027642"/>
    <w:rsid w:val="00031093"/>
    <w:rsid w:val="00031B42"/>
    <w:rsid w:val="00031CE3"/>
    <w:rsid w:val="00032D59"/>
    <w:rsid w:val="000356B7"/>
    <w:rsid w:val="000461D3"/>
    <w:rsid w:val="00047BA4"/>
    <w:rsid w:val="00052569"/>
    <w:rsid w:val="000634BE"/>
    <w:rsid w:val="000764C7"/>
    <w:rsid w:val="0007689A"/>
    <w:rsid w:val="00091FE4"/>
    <w:rsid w:val="00097303"/>
    <w:rsid w:val="000B0439"/>
    <w:rsid w:val="000B2931"/>
    <w:rsid w:val="000B3E6B"/>
    <w:rsid w:val="000C4F76"/>
    <w:rsid w:val="000D09E3"/>
    <w:rsid w:val="000D1462"/>
    <w:rsid w:val="000E092A"/>
    <w:rsid w:val="000E0FE1"/>
    <w:rsid w:val="0010250E"/>
    <w:rsid w:val="0010393E"/>
    <w:rsid w:val="00104921"/>
    <w:rsid w:val="0011104F"/>
    <w:rsid w:val="00123B2F"/>
    <w:rsid w:val="00123FB2"/>
    <w:rsid w:val="00131A42"/>
    <w:rsid w:val="001335E5"/>
    <w:rsid w:val="00136788"/>
    <w:rsid w:val="00143EAC"/>
    <w:rsid w:val="00144AEE"/>
    <w:rsid w:val="00152AA8"/>
    <w:rsid w:val="00152F17"/>
    <w:rsid w:val="001623BE"/>
    <w:rsid w:val="001644DF"/>
    <w:rsid w:val="00167630"/>
    <w:rsid w:val="001758BC"/>
    <w:rsid w:val="00177055"/>
    <w:rsid w:val="00191D95"/>
    <w:rsid w:val="0019345F"/>
    <w:rsid w:val="0019453B"/>
    <w:rsid w:val="00195574"/>
    <w:rsid w:val="00195CC4"/>
    <w:rsid w:val="00195FC1"/>
    <w:rsid w:val="001B04DF"/>
    <w:rsid w:val="001B5F92"/>
    <w:rsid w:val="001C1F64"/>
    <w:rsid w:val="001C63BC"/>
    <w:rsid w:val="001C6E65"/>
    <w:rsid w:val="001C7170"/>
    <w:rsid w:val="001C73DC"/>
    <w:rsid w:val="001D34E4"/>
    <w:rsid w:val="001D427C"/>
    <w:rsid w:val="001E48A7"/>
    <w:rsid w:val="001F76A8"/>
    <w:rsid w:val="002053E6"/>
    <w:rsid w:val="0021079E"/>
    <w:rsid w:val="00215B53"/>
    <w:rsid w:val="00217EA3"/>
    <w:rsid w:val="0022089A"/>
    <w:rsid w:val="00221ACF"/>
    <w:rsid w:val="0022221D"/>
    <w:rsid w:val="0022292A"/>
    <w:rsid w:val="00223CCC"/>
    <w:rsid w:val="00223DA4"/>
    <w:rsid w:val="00224974"/>
    <w:rsid w:val="00224DCB"/>
    <w:rsid w:val="00233959"/>
    <w:rsid w:val="00234640"/>
    <w:rsid w:val="00234F39"/>
    <w:rsid w:val="00237A79"/>
    <w:rsid w:val="00244DD8"/>
    <w:rsid w:val="00250466"/>
    <w:rsid w:val="00252025"/>
    <w:rsid w:val="0026050D"/>
    <w:rsid w:val="00264165"/>
    <w:rsid w:val="002650B1"/>
    <w:rsid w:val="002662BF"/>
    <w:rsid w:val="00274B42"/>
    <w:rsid w:val="00276324"/>
    <w:rsid w:val="00281417"/>
    <w:rsid w:val="00284435"/>
    <w:rsid w:val="00294B9D"/>
    <w:rsid w:val="002A0337"/>
    <w:rsid w:val="002A2733"/>
    <w:rsid w:val="002C4F96"/>
    <w:rsid w:val="002C5E09"/>
    <w:rsid w:val="002D2E45"/>
    <w:rsid w:val="002E0376"/>
    <w:rsid w:val="002E25B1"/>
    <w:rsid w:val="002E6EEA"/>
    <w:rsid w:val="002E7897"/>
    <w:rsid w:val="002F19C6"/>
    <w:rsid w:val="002F2F38"/>
    <w:rsid w:val="002F5D1B"/>
    <w:rsid w:val="00305D15"/>
    <w:rsid w:val="0030775D"/>
    <w:rsid w:val="003127F4"/>
    <w:rsid w:val="00314428"/>
    <w:rsid w:val="0033353F"/>
    <w:rsid w:val="00345439"/>
    <w:rsid w:val="00350619"/>
    <w:rsid w:val="00363C22"/>
    <w:rsid w:val="00372794"/>
    <w:rsid w:val="0037496C"/>
    <w:rsid w:val="00375432"/>
    <w:rsid w:val="00380444"/>
    <w:rsid w:val="00384A25"/>
    <w:rsid w:val="00386399"/>
    <w:rsid w:val="0039398F"/>
    <w:rsid w:val="003A2413"/>
    <w:rsid w:val="003A272A"/>
    <w:rsid w:val="003B0DA7"/>
    <w:rsid w:val="003B12EA"/>
    <w:rsid w:val="003B5E7C"/>
    <w:rsid w:val="003C0EE8"/>
    <w:rsid w:val="003C113E"/>
    <w:rsid w:val="003C3D9B"/>
    <w:rsid w:val="003D5CD4"/>
    <w:rsid w:val="003D5DD2"/>
    <w:rsid w:val="003D7658"/>
    <w:rsid w:val="003D7ECD"/>
    <w:rsid w:val="003E4BFD"/>
    <w:rsid w:val="003F1124"/>
    <w:rsid w:val="003F49EB"/>
    <w:rsid w:val="003F4BFF"/>
    <w:rsid w:val="003F7C99"/>
    <w:rsid w:val="00400A87"/>
    <w:rsid w:val="004022EC"/>
    <w:rsid w:val="00402A3B"/>
    <w:rsid w:val="00407900"/>
    <w:rsid w:val="00407935"/>
    <w:rsid w:val="004163C1"/>
    <w:rsid w:val="00422819"/>
    <w:rsid w:val="00423ADB"/>
    <w:rsid w:val="00423BE4"/>
    <w:rsid w:val="00432496"/>
    <w:rsid w:val="00433C84"/>
    <w:rsid w:val="00442DF7"/>
    <w:rsid w:val="0045472C"/>
    <w:rsid w:val="004559ED"/>
    <w:rsid w:val="00460195"/>
    <w:rsid w:val="0046246D"/>
    <w:rsid w:val="00472208"/>
    <w:rsid w:val="00473628"/>
    <w:rsid w:val="00480558"/>
    <w:rsid w:val="00480C75"/>
    <w:rsid w:val="00494229"/>
    <w:rsid w:val="00494D64"/>
    <w:rsid w:val="004977ED"/>
    <w:rsid w:val="004B45D1"/>
    <w:rsid w:val="004B78B9"/>
    <w:rsid w:val="004C3B68"/>
    <w:rsid w:val="004D5F15"/>
    <w:rsid w:val="004D724C"/>
    <w:rsid w:val="004E1326"/>
    <w:rsid w:val="004E21C5"/>
    <w:rsid w:val="004E3276"/>
    <w:rsid w:val="004F180D"/>
    <w:rsid w:val="004F24AC"/>
    <w:rsid w:val="004F2826"/>
    <w:rsid w:val="004F4E66"/>
    <w:rsid w:val="004F5D1F"/>
    <w:rsid w:val="00506854"/>
    <w:rsid w:val="00510D69"/>
    <w:rsid w:val="00512A09"/>
    <w:rsid w:val="00523C5F"/>
    <w:rsid w:val="005310A5"/>
    <w:rsid w:val="00535CBE"/>
    <w:rsid w:val="00543F16"/>
    <w:rsid w:val="005470AF"/>
    <w:rsid w:val="00550605"/>
    <w:rsid w:val="0055190A"/>
    <w:rsid w:val="00551EF1"/>
    <w:rsid w:val="00551FBB"/>
    <w:rsid w:val="0055227B"/>
    <w:rsid w:val="00552350"/>
    <w:rsid w:val="0055504A"/>
    <w:rsid w:val="00555FC2"/>
    <w:rsid w:val="0055653A"/>
    <w:rsid w:val="005714DE"/>
    <w:rsid w:val="005732DA"/>
    <w:rsid w:val="00576F6C"/>
    <w:rsid w:val="00581CB5"/>
    <w:rsid w:val="005845D5"/>
    <w:rsid w:val="005B00F0"/>
    <w:rsid w:val="005B091F"/>
    <w:rsid w:val="005B4401"/>
    <w:rsid w:val="005B75BB"/>
    <w:rsid w:val="005C1EBF"/>
    <w:rsid w:val="005C5609"/>
    <w:rsid w:val="005D0AAF"/>
    <w:rsid w:val="005D18F6"/>
    <w:rsid w:val="005D5DF0"/>
    <w:rsid w:val="005D6360"/>
    <w:rsid w:val="005E423A"/>
    <w:rsid w:val="005E4A54"/>
    <w:rsid w:val="005E6239"/>
    <w:rsid w:val="005E6808"/>
    <w:rsid w:val="005F072B"/>
    <w:rsid w:val="005F07C0"/>
    <w:rsid w:val="005F1117"/>
    <w:rsid w:val="005F716B"/>
    <w:rsid w:val="00603ABD"/>
    <w:rsid w:val="00616A32"/>
    <w:rsid w:val="00617B0A"/>
    <w:rsid w:val="00620201"/>
    <w:rsid w:val="00622A0E"/>
    <w:rsid w:val="006325C3"/>
    <w:rsid w:val="006359A6"/>
    <w:rsid w:val="00642A90"/>
    <w:rsid w:val="00645C75"/>
    <w:rsid w:val="00654574"/>
    <w:rsid w:val="00655344"/>
    <w:rsid w:val="0067568B"/>
    <w:rsid w:val="00680D74"/>
    <w:rsid w:val="00686DFF"/>
    <w:rsid w:val="006940A3"/>
    <w:rsid w:val="00697428"/>
    <w:rsid w:val="006A3F3F"/>
    <w:rsid w:val="006A529E"/>
    <w:rsid w:val="006A5E8C"/>
    <w:rsid w:val="006A6891"/>
    <w:rsid w:val="006A763B"/>
    <w:rsid w:val="006B1833"/>
    <w:rsid w:val="006B4206"/>
    <w:rsid w:val="006C0F28"/>
    <w:rsid w:val="006C332D"/>
    <w:rsid w:val="006D3216"/>
    <w:rsid w:val="006D4D7E"/>
    <w:rsid w:val="006E1E08"/>
    <w:rsid w:val="006E2D3D"/>
    <w:rsid w:val="006E3839"/>
    <w:rsid w:val="006E6C0C"/>
    <w:rsid w:val="00700935"/>
    <w:rsid w:val="0070240F"/>
    <w:rsid w:val="00703D31"/>
    <w:rsid w:val="00707C6C"/>
    <w:rsid w:val="00710EA5"/>
    <w:rsid w:val="00710F52"/>
    <w:rsid w:val="00724E6D"/>
    <w:rsid w:val="00725617"/>
    <w:rsid w:val="007304AF"/>
    <w:rsid w:val="00734596"/>
    <w:rsid w:val="00736C68"/>
    <w:rsid w:val="007413DA"/>
    <w:rsid w:val="00744186"/>
    <w:rsid w:val="0074619F"/>
    <w:rsid w:val="00750C06"/>
    <w:rsid w:val="00751B2D"/>
    <w:rsid w:val="007526F3"/>
    <w:rsid w:val="0076124F"/>
    <w:rsid w:val="00762033"/>
    <w:rsid w:val="00765AB5"/>
    <w:rsid w:val="00770AF2"/>
    <w:rsid w:val="0077464E"/>
    <w:rsid w:val="007816D3"/>
    <w:rsid w:val="00793DA3"/>
    <w:rsid w:val="00796271"/>
    <w:rsid w:val="00796AEE"/>
    <w:rsid w:val="0079712D"/>
    <w:rsid w:val="00797412"/>
    <w:rsid w:val="007A11E3"/>
    <w:rsid w:val="007A333F"/>
    <w:rsid w:val="007B3976"/>
    <w:rsid w:val="007B3F42"/>
    <w:rsid w:val="007B69C2"/>
    <w:rsid w:val="007C6C7D"/>
    <w:rsid w:val="007C7EDE"/>
    <w:rsid w:val="007D13B0"/>
    <w:rsid w:val="007D25F4"/>
    <w:rsid w:val="007D4A17"/>
    <w:rsid w:val="007E438E"/>
    <w:rsid w:val="007E43EB"/>
    <w:rsid w:val="007F1C37"/>
    <w:rsid w:val="007F4529"/>
    <w:rsid w:val="00811421"/>
    <w:rsid w:val="00823D0E"/>
    <w:rsid w:val="0083336E"/>
    <w:rsid w:val="00834BA9"/>
    <w:rsid w:val="00841618"/>
    <w:rsid w:val="00842676"/>
    <w:rsid w:val="008438EF"/>
    <w:rsid w:val="00855A06"/>
    <w:rsid w:val="008730FA"/>
    <w:rsid w:val="008743AB"/>
    <w:rsid w:val="00876D69"/>
    <w:rsid w:val="008773B0"/>
    <w:rsid w:val="00880FDB"/>
    <w:rsid w:val="00887BC0"/>
    <w:rsid w:val="00891C29"/>
    <w:rsid w:val="008933B6"/>
    <w:rsid w:val="008944E8"/>
    <w:rsid w:val="008972AF"/>
    <w:rsid w:val="00897A4A"/>
    <w:rsid w:val="008A3A85"/>
    <w:rsid w:val="008A67DD"/>
    <w:rsid w:val="008A7CC9"/>
    <w:rsid w:val="008B244A"/>
    <w:rsid w:val="008B4C0F"/>
    <w:rsid w:val="008B659C"/>
    <w:rsid w:val="008B66E5"/>
    <w:rsid w:val="008C0D90"/>
    <w:rsid w:val="008C27C7"/>
    <w:rsid w:val="008C49E3"/>
    <w:rsid w:val="008C6D41"/>
    <w:rsid w:val="008E1C41"/>
    <w:rsid w:val="008E495D"/>
    <w:rsid w:val="008F29A4"/>
    <w:rsid w:val="00913D19"/>
    <w:rsid w:val="009159A5"/>
    <w:rsid w:val="009179EC"/>
    <w:rsid w:val="00921E77"/>
    <w:rsid w:val="009235F8"/>
    <w:rsid w:val="009309FF"/>
    <w:rsid w:val="009447E7"/>
    <w:rsid w:val="00962AF8"/>
    <w:rsid w:val="009664D9"/>
    <w:rsid w:val="00966881"/>
    <w:rsid w:val="00972C2F"/>
    <w:rsid w:val="009730B6"/>
    <w:rsid w:val="00981831"/>
    <w:rsid w:val="009819D1"/>
    <w:rsid w:val="009847E9"/>
    <w:rsid w:val="00984E12"/>
    <w:rsid w:val="0099059E"/>
    <w:rsid w:val="009A02AA"/>
    <w:rsid w:val="009A2EEC"/>
    <w:rsid w:val="009A585C"/>
    <w:rsid w:val="009A633A"/>
    <w:rsid w:val="009B1EF1"/>
    <w:rsid w:val="009B6F87"/>
    <w:rsid w:val="009C05FB"/>
    <w:rsid w:val="009C4BD2"/>
    <w:rsid w:val="009D0DA2"/>
    <w:rsid w:val="009D408C"/>
    <w:rsid w:val="009D51B5"/>
    <w:rsid w:val="009E3471"/>
    <w:rsid w:val="009E3D30"/>
    <w:rsid w:val="009E64B1"/>
    <w:rsid w:val="009F11AC"/>
    <w:rsid w:val="009F2783"/>
    <w:rsid w:val="009F5902"/>
    <w:rsid w:val="00A02E12"/>
    <w:rsid w:val="00A03CB9"/>
    <w:rsid w:val="00A115FC"/>
    <w:rsid w:val="00A24178"/>
    <w:rsid w:val="00A30C2F"/>
    <w:rsid w:val="00A35DC8"/>
    <w:rsid w:val="00A404BC"/>
    <w:rsid w:val="00A62A5A"/>
    <w:rsid w:val="00A825AE"/>
    <w:rsid w:val="00A8471F"/>
    <w:rsid w:val="00A9076E"/>
    <w:rsid w:val="00A933A5"/>
    <w:rsid w:val="00A9503A"/>
    <w:rsid w:val="00A951D7"/>
    <w:rsid w:val="00A97D93"/>
    <w:rsid w:val="00AC3A0C"/>
    <w:rsid w:val="00AC5DB1"/>
    <w:rsid w:val="00AC769D"/>
    <w:rsid w:val="00AD5AA5"/>
    <w:rsid w:val="00AE218C"/>
    <w:rsid w:val="00AE67C6"/>
    <w:rsid w:val="00AF5062"/>
    <w:rsid w:val="00B01D28"/>
    <w:rsid w:val="00B05392"/>
    <w:rsid w:val="00B06DDD"/>
    <w:rsid w:val="00B1199B"/>
    <w:rsid w:val="00B11BAF"/>
    <w:rsid w:val="00B12BD6"/>
    <w:rsid w:val="00B14D97"/>
    <w:rsid w:val="00B16699"/>
    <w:rsid w:val="00B22392"/>
    <w:rsid w:val="00B306C6"/>
    <w:rsid w:val="00B31E5A"/>
    <w:rsid w:val="00B33D65"/>
    <w:rsid w:val="00B457B7"/>
    <w:rsid w:val="00B47EE5"/>
    <w:rsid w:val="00B5530B"/>
    <w:rsid w:val="00B61403"/>
    <w:rsid w:val="00B6155E"/>
    <w:rsid w:val="00B667D3"/>
    <w:rsid w:val="00B71DBE"/>
    <w:rsid w:val="00B72A9A"/>
    <w:rsid w:val="00B74E84"/>
    <w:rsid w:val="00B8047D"/>
    <w:rsid w:val="00B87EB3"/>
    <w:rsid w:val="00B93CC5"/>
    <w:rsid w:val="00BA4094"/>
    <w:rsid w:val="00BA6F8C"/>
    <w:rsid w:val="00BB0102"/>
    <w:rsid w:val="00BB7263"/>
    <w:rsid w:val="00BB7799"/>
    <w:rsid w:val="00BB7A0B"/>
    <w:rsid w:val="00BC2F8C"/>
    <w:rsid w:val="00BC4F0A"/>
    <w:rsid w:val="00BD34C9"/>
    <w:rsid w:val="00BD73A8"/>
    <w:rsid w:val="00BE2960"/>
    <w:rsid w:val="00BE4536"/>
    <w:rsid w:val="00BF12A1"/>
    <w:rsid w:val="00BF2E26"/>
    <w:rsid w:val="00BF6563"/>
    <w:rsid w:val="00C11220"/>
    <w:rsid w:val="00C16637"/>
    <w:rsid w:val="00C242F5"/>
    <w:rsid w:val="00C3455E"/>
    <w:rsid w:val="00C36517"/>
    <w:rsid w:val="00C527BD"/>
    <w:rsid w:val="00C576B4"/>
    <w:rsid w:val="00C65F28"/>
    <w:rsid w:val="00C67B28"/>
    <w:rsid w:val="00C7188B"/>
    <w:rsid w:val="00C76666"/>
    <w:rsid w:val="00C804C5"/>
    <w:rsid w:val="00C805B6"/>
    <w:rsid w:val="00C81AEC"/>
    <w:rsid w:val="00C82459"/>
    <w:rsid w:val="00C94A75"/>
    <w:rsid w:val="00C957B3"/>
    <w:rsid w:val="00CA020F"/>
    <w:rsid w:val="00CA4A5D"/>
    <w:rsid w:val="00CB1A53"/>
    <w:rsid w:val="00CC3BAF"/>
    <w:rsid w:val="00CC7E04"/>
    <w:rsid w:val="00CD1386"/>
    <w:rsid w:val="00CD3B70"/>
    <w:rsid w:val="00CD7F33"/>
    <w:rsid w:val="00CE0157"/>
    <w:rsid w:val="00CE2133"/>
    <w:rsid w:val="00CE7AD7"/>
    <w:rsid w:val="00CF1F4D"/>
    <w:rsid w:val="00CF2C6A"/>
    <w:rsid w:val="00CF3366"/>
    <w:rsid w:val="00CF7D8B"/>
    <w:rsid w:val="00D00B16"/>
    <w:rsid w:val="00D02177"/>
    <w:rsid w:val="00D04E96"/>
    <w:rsid w:val="00D0652E"/>
    <w:rsid w:val="00D10FDF"/>
    <w:rsid w:val="00D3460A"/>
    <w:rsid w:val="00D45798"/>
    <w:rsid w:val="00D50491"/>
    <w:rsid w:val="00D55E1D"/>
    <w:rsid w:val="00D83890"/>
    <w:rsid w:val="00D85536"/>
    <w:rsid w:val="00D87824"/>
    <w:rsid w:val="00D92E6D"/>
    <w:rsid w:val="00D96157"/>
    <w:rsid w:val="00D979B3"/>
    <w:rsid w:val="00DA3F96"/>
    <w:rsid w:val="00DA459F"/>
    <w:rsid w:val="00DA5C32"/>
    <w:rsid w:val="00DB026E"/>
    <w:rsid w:val="00DB0BD1"/>
    <w:rsid w:val="00DB501C"/>
    <w:rsid w:val="00DB5CF9"/>
    <w:rsid w:val="00DC2A80"/>
    <w:rsid w:val="00DC30FF"/>
    <w:rsid w:val="00DC3721"/>
    <w:rsid w:val="00DC611E"/>
    <w:rsid w:val="00DD2C28"/>
    <w:rsid w:val="00DD4311"/>
    <w:rsid w:val="00DE0A87"/>
    <w:rsid w:val="00DE4646"/>
    <w:rsid w:val="00DE628C"/>
    <w:rsid w:val="00DE7271"/>
    <w:rsid w:val="00DE7CDD"/>
    <w:rsid w:val="00DF3F78"/>
    <w:rsid w:val="00DF5BE9"/>
    <w:rsid w:val="00DF7E7E"/>
    <w:rsid w:val="00E05D60"/>
    <w:rsid w:val="00E077D8"/>
    <w:rsid w:val="00E07DCD"/>
    <w:rsid w:val="00E11ED7"/>
    <w:rsid w:val="00E12D1D"/>
    <w:rsid w:val="00E4138E"/>
    <w:rsid w:val="00E51447"/>
    <w:rsid w:val="00E53D16"/>
    <w:rsid w:val="00E61F71"/>
    <w:rsid w:val="00E72099"/>
    <w:rsid w:val="00E72941"/>
    <w:rsid w:val="00E75976"/>
    <w:rsid w:val="00E87497"/>
    <w:rsid w:val="00E90C7E"/>
    <w:rsid w:val="00E91218"/>
    <w:rsid w:val="00E9553B"/>
    <w:rsid w:val="00E95B61"/>
    <w:rsid w:val="00E96DC8"/>
    <w:rsid w:val="00ED0304"/>
    <w:rsid w:val="00ED17C0"/>
    <w:rsid w:val="00ED2BB6"/>
    <w:rsid w:val="00ED2C39"/>
    <w:rsid w:val="00ED5A74"/>
    <w:rsid w:val="00ED7182"/>
    <w:rsid w:val="00EF66EB"/>
    <w:rsid w:val="00F07956"/>
    <w:rsid w:val="00F31FB1"/>
    <w:rsid w:val="00F4596A"/>
    <w:rsid w:val="00F50A95"/>
    <w:rsid w:val="00F53E01"/>
    <w:rsid w:val="00F73FF5"/>
    <w:rsid w:val="00F95111"/>
    <w:rsid w:val="00F96DF3"/>
    <w:rsid w:val="00FA502B"/>
    <w:rsid w:val="00FB2672"/>
    <w:rsid w:val="00FB29B5"/>
    <w:rsid w:val="00FB5B4A"/>
    <w:rsid w:val="00FB61DB"/>
    <w:rsid w:val="00FC1A96"/>
    <w:rsid w:val="00FD6F8F"/>
    <w:rsid w:val="00FD7F60"/>
    <w:rsid w:val="00FE05A9"/>
    <w:rsid w:val="00FF0397"/>
    <w:rsid w:val="00FF4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E21FE"/>
  <w15:chartTrackingRefBased/>
  <w15:docId w15:val="{AE6A1781-6D00-4F80-B08B-A9F1B03A4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A3B"/>
    <w:pPr>
      <w:spacing w:after="0" w:line="240" w:lineRule="auto"/>
    </w:pPr>
    <w:rPr>
      <w:rFonts w:ascii="Garamond" w:eastAsia="Times New Roman" w:hAnsi="Garamond" w:cs="Times New Roman"/>
      <w:sz w:val="24"/>
      <w:szCs w:val="20"/>
      <w:lang w:eastAsia="en-US"/>
    </w:rPr>
  </w:style>
  <w:style w:type="paragraph" w:styleId="Heading1">
    <w:name w:val="heading 1"/>
    <w:basedOn w:val="Normal"/>
    <w:next w:val="Normal"/>
    <w:link w:val="Heading1Char"/>
    <w:uiPriority w:val="9"/>
    <w:qFormat/>
    <w:rsid w:val="00402A3B"/>
    <w:pPr>
      <w:keepNext/>
      <w:keepLines/>
      <w:spacing w:before="240"/>
      <w:outlineLvl w:val="0"/>
    </w:pPr>
    <w:rPr>
      <w:rFonts w:ascii="Arial Black" w:eastAsiaTheme="majorEastAsia" w:hAnsi="Arial Black" w:cstheme="majorBidi"/>
      <w:color w:val="2F5496" w:themeColor="accent1" w:themeShade="BF"/>
      <w:sz w:val="42"/>
      <w:szCs w:val="32"/>
    </w:rPr>
  </w:style>
  <w:style w:type="paragraph" w:styleId="Heading2">
    <w:name w:val="heading 2"/>
    <w:basedOn w:val="Normal"/>
    <w:next w:val="Normal"/>
    <w:link w:val="Heading2Char"/>
    <w:uiPriority w:val="9"/>
    <w:unhideWhenUsed/>
    <w:qFormat/>
    <w:rsid w:val="00DF3F78"/>
    <w:pPr>
      <w:keepNext/>
      <w:keepLines/>
      <w:spacing w:before="40"/>
      <w:outlineLvl w:val="1"/>
    </w:pPr>
    <w:rPr>
      <w:rFonts w:ascii="Arial Black" w:eastAsiaTheme="majorEastAsia" w:hAnsi="Arial Black" w:cstheme="majorBidi"/>
      <w:color w:val="8EAADB" w:themeColor="accent1" w:themeTint="99"/>
      <w:sz w:val="36"/>
      <w:szCs w:val="26"/>
    </w:rPr>
  </w:style>
  <w:style w:type="paragraph" w:styleId="Heading3">
    <w:name w:val="heading 3"/>
    <w:basedOn w:val="Normal"/>
    <w:next w:val="Normal"/>
    <w:link w:val="Heading3Char"/>
    <w:uiPriority w:val="9"/>
    <w:unhideWhenUsed/>
    <w:qFormat/>
    <w:rsid w:val="00DF3F78"/>
    <w:pPr>
      <w:keepNext/>
      <w:keepLines/>
      <w:spacing w:before="40"/>
      <w:outlineLvl w:val="2"/>
    </w:pPr>
    <w:rPr>
      <w:rFonts w:ascii="Arial Black" w:eastAsiaTheme="majorEastAsia" w:hAnsi="Arial Black" w:cstheme="majorBidi"/>
      <w:color w:val="767171" w:themeColor="background2" w:themeShade="8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rsid w:val="00402A3B"/>
    <w:pPr>
      <w:jc w:val="center"/>
    </w:pPr>
    <w:rPr>
      <w:spacing w:val="-3"/>
      <w:sz w:val="20"/>
    </w:rPr>
  </w:style>
  <w:style w:type="paragraph" w:styleId="Subtitle">
    <w:name w:val="Subtitle"/>
    <w:basedOn w:val="Title"/>
    <w:next w:val="BodyText"/>
    <w:link w:val="SubtitleChar"/>
    <w:qFormat/>
    <w:rsid w:val="00402A3B"/>
    <w:pPr>
      <w:spacing w:before="1940" w:after="0" w:line="200" w:lineRule="atLeast"/>
    </w:pPr>
    <w:rPr>
      <w:rFonts w:ascii="Garamond" w:hAnsi="Garamond"/>
      <w:b/>
      <w:caps/>
      <w:spacing w:val="30"/>
      <w:sz w:val="18"/>
    </w:rPr>
  </w:style>
  <w:style w:type="character" w:customStyle="1" w:styleId="SubtitleChar">
    <w:name w:val="Subtitle Char"/>
    <w:basedOn w:val="DefaultParagraphFont"/>
    <w:link w:val="Subtitle"/>
    <w:rsid w:val="00402A3B"/>
    <w:rPr>
      <w:rFonts w:ascii="Garamond" w:eastAsia="Times New Roman" w:hAnsi="Garamond" w:cs="Times New Roman"/>
      <w:b/>
      <w:caps/>
      <w:color w:val="808080"/>
      <w:spacing w:val="30"/>
      <w:kern w:val="28"/>
      <w:sz w:val="18"/>
      <w:szCs w:val="20"/>
      <w:lang w:eastAsia="en-US"/>
    </w:rPr>
  </w:style>
  <w:style w:type="paragraph" w:styleId="Title">
    <w:name w:val="Title"/>
    <w:basedOn w:val="Normal"/>
    <w:link w:val="TitleChar"/>
    <w:qFormat/>
    <w:rsid w:val="00402A3B"/>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402A3B"/>
    <w:rPr>
      <w:rFonts w:ascii="Arial Black" w:eastAsia="Times New Roman" w:hAnsi="Arial Black" w:cs="Times New Roman"/>
      <w:color w:val="808080"/>
      <w:spacing w:val="-35"/>
      <w:kern w:val="28"/>
      <w:sz w:val="48"/>
      <w:szCs w:val="20"/>
      <w:lang w:eastAsia="en-US"/>
    </w:rPr>
  </w:style>
  <w:style w:type="paragraph" w:styleId="BodyText">
    <w:name w:val="Body Text"/>
    <w:basedOn w:val="Normal"/>
    <w:link w:val="BodyTextChar"/>
    <w:uiPriority w:val="99"/>
    <w:semiHidden/>
    <w:unhideWhenUsed/>
    <w:rsid w:val="00402A3B"/>
    <w:pPr>
      <w:spacing w:after="120"/>
    </w:pPr>
  </w:style>
  <w:style w:type="character" w:customStyle="1" w:styleId="BodyTextChar">
    <w:name w:val="Body Text Char"/>
    <w:basedOn w:val="DefaultParagraphFont"/>
    <w:link w:val="BodyText"/>
    <w:uiPriority w:val="99"/>
    <w:semiHidden/>
    <w:rsid w:val="00402A3B"/>
    <w:rPr>
      <w:rFonts w:ascii="Garamond" w:eastAsia="Times New Roman" w:hAnsi="Garamond" w:cs="Times New Roman"/>
      <w:sz w:val="16"/>
      <w:szCs w:val="20"/>
      <w:lang w:eastAsia="en-US"/>
    </w:rPr>
  </w:style>
  <w:style w:type="character" w:customStyle="1" w:styleId="Heading1Char">
    <w:name w:val="Heading 1 Char"/>
    <w:basedOn w:val="DefaultParagraphFont"/>
    <w:link w:val="Heading1"/>
    <w:uiPriority w:val="9"/>
    <w:rsid w:val="00402A3B"/>
    <w:rPr>
      <w:rFonts w:ascii="Arial Black" w:eastAsiaTheme="majorEastAsia" w:hAnsi="Arial Black" w:cstheme="majorBidi"/>
      <w:color w:val="2F5496" w:themeColor="accent1" w:themeShade="BF"/>
      <w:sz w:val="42"/>
      <w:szCs w:val="32"/>
      <w:lang w:eastAsia="en-US"/>
    </w:rPr>
  </w:style>
  <w:style w:type="paragraph" w:styleId="ListParagraph">
    <w:name w:val="List Paragraph"/>
    <w:basedOn w:val="Normal"/>
    <w:uiPriority w:val="34"/>
    <w:qFormat/>
    <w:rsid w:val="00363C22"/>
    <w:pPr>
      <w:ind w:left="720"/>
      <w:contextualSpacing/>
    </w:pPr>
  </w:style>
  <w:style w:type="character" w:customStyle="1" w:styleId="Heading2Char">
    <w:name w:val="Heading 2 Char"/>
    <w:basedOn w:val="DefaultParagraphFont"/>
    <w:link w:val="Heading2"/>
    <w:uiPriority w:val="9"/>
    <w:rsid w:val="00DF3F78"/>
    <w:rPr>
      <w:rFonts w:ascii="Arial Black" w:eastAsiaTheme="majorEastAsia" w:hAnsi="Arial Black" w:cstheme="majorBidi"/>
      <w:color w:val="8EAADB" w:themeColor="accent1" w:themeTint="99"/>
      <w:sz w:val="36"/>
      <w:szCs w:val="26"/>
      <w:lang w:eastAsia="en-US"/>
    </w:rPr>
  </w:style>
  <w:style w:type="character" w:customStyle="1" w:styleId="Heading3Char">
    <w:name w:val="Heading 3 Char"/>
    <w:basedOn w:val="DefaultParagraphFont"/>
    <w:link w:val="Heading3"/>
    <w:uiPriority w:val="9"/>
    <w:rsid w:val="00DF3F78"/>
    <w:rPr>
      <w:rFonts w:ascii="Arial Black" w:eastAsiaTheme="majorEastAsia" w:hAnsi="Arial Black" w:cstheme="majorBidi"/>
      <w:color w:val="767171" w:themeColor="background2" w:themeShade="80"/>
      <w:sz w:val="28"/>
      <w:szCs w:val="24"/>
      <w:lang w:eastAsia="en-US"/>
    </w:rPr>
  </w:style>
  <w:style w:type="character" w:styleId="Hyperlink">
    <w:name w:val="Hyperlink"/>
    <w:basedOn w:val="DefaultParagraphFont"/>
    <w:uiPriority w:val="99"/>
    <w:unhideWhenUsed/>
    <w:rsid w:val="00DF3F78"/>
    <w:rPr>
      <w:color w:val="0563C1" w:themeColor="hyperlink"/>
      <w:u w:val="single"/>
    </w:rPr>
  </w:style>
  <w:style w:type="character" w:styleId="UnresolvedMention">
    <w:name w:val="Unresolved Mention"/>
    <w:basedOn w:val="DefaultParagraphFont"/>
    <w:uiPriority w:val="99"/>
    <w:semiHidden/>
    <w:unhideWhenUsed/>
    <w:rsid w:val="00DF3F78"/>
    <w:rPr>
      <w:color w:val="605E5C"/>
      <w:shd w:val="clear" w:color="auto" w:fill="E1DFDD"/>
    </w:rPr>
  </w:style>
  <w:style w:type="character" w:styleId="PlaceholderText">
    <w:name w:val="Placeholder Text"/>
    <w:basedOn w:val="DefaultParagraphFont"/>
    <w:uiPriority w:val="99"/>
    <w:semiHidden/>
    <w:rsid w:val="0033353F"/>
    <w:rPr>
      <w:color w:val="808080"/>
    </w:rPr>
  </w:style>
  <w:style w:type="paragraph" w:styleId="TOCHeading">
    <w:name w:val="TOC Heading"/>
    <w:basedOn w:val="Heading1"/>
    <w:next w:val="Normal"/>
    <w:uiPriority w:val="39"/>
    <w:unhideWhenUsed/>
    <w:qFormat/>
    <w:rsid w:val="00B1199B"/>
    <w:pPr>
      <w:spacing w:line="259" w:lineRule="auto"/>
      <w:outlineLvl w:val="9"/>
    </w:pPr>
    <w:rPr>
      <w:rFonts w:asciiTheme="majorHAnsi" w:hAnsiTheme="majorHAnsi"/>
      <w:sz w:val="32"/>
    </w:rPr>
  </w:style>
  <w:style w:type="paragraph" w:styleId="TOC1">
    <w:name w:val="toc 1"/>
    <w:basedOn w:val="Normal"/>
    <w:next w:val="Normal"/>
    <w:autoRedefine/>
    <w:uiPriority w:val="39"/>
    <w:unhideWhenUsed/>
    <w:rsid w:val="00B1199B"/>
    <w:pPr>
      <w:spacing w:after="100"/>
    </w:pPr>
  </w:style>
  <w:style w:type="paragraph" w:styleId="TOC2">
    <w:name w:val="toc 2"/>
    <w:basedOn w:val="Normal"/>
    <w:next w:val="Normal"/>
    <w:autoRedefine/>
    <w:uiPriority w:val="39"/>
    <w:unhideWhenUsed/>
    <w:rsid w:val="00B1199B"/>
    <w:pPr>
      <w:spacing w:after="100"/>
      <w:ind w:left="240"/>
    </w:pPr>
  </w:style>
  <w:style w:type="paragraph" w:styleId="TOC3">
    <w:name w:val="toc 3"/>
    <w:basedOn w:val="Normal"/>
    <w:next w:val="Normal"/>
    <w:autoRedefine/>
    <w:uiPriority w:val="39"/>
    <w:unhideWhenUsed/>
    <w:rsid w:val="00B1199B"/>
    <w:pPr>
      <w:spacing w:after="100"/>
      <w:ind w:left="480"/>
    </w:pPr>
  </w:style>
  <w:style w:type="paragraph" w:styleId="Header">
    <w:name w:val="header"/>
    <w:basedOn w:val="Normal"/>
    <w:link w:val="HeaderChar"/>
    <w:uiPriority w:val="99"/>
    <w:unhideWhenUsed/>
    <w:rsid w:val="00B1199B"/>
    <w:pPr>
      <w:tabs>
        <w:tab w:val="center" w:pos="4680"/>
        <w:tab w:val="right" w:pos="9360"/>
      </w:tabs>
    </w:pPr>
  </w:style>
  <w:style w:type="character" w:customStyle="1" w:styleId="HeaderChar">
    <w:name w:val="Header Char"/>
    <w:basedOn w:val="DefaultParagraphFont"/>
    <w:link w:val="Header"/>
    <w:uiPriority w:val="99"/>
    <w:rsid w:val="00B1199B"/>
    <w:rPr>
      <w:rFonts w:ascii="Garamond" w:eastAsia="Times New Roman" w:hAnsi="Garamond" w:cs="Times New Roman"/>
      <w:sz w:val="24"/>
      <w:szCs w:val="20"/>
      <w:lang w:eastAsia="en-US"/>
    </w:rPr>
  </w:style>
  <w:style w:type="paragraph" w:styleId="Footer">
    <w:name w:val="footer"/>
    <w:basedOn w:val="Normal"/>
    <w:link w:val="FooterChar"/>
    <w:uiPriority w:val="99"/>
    <w:unhideWhenUsed/>
    <w:rsid w:val="00B1199B"/>
    <w:pPr>
      <w:tabs>
        <w:tab w:val="center" w:pos="4680"/>
        <w:tab w:val="right" w:pos="9360"/>
      </w:tabs>
    </w:pPr>
  </w:style>
  <w:style w:type="character" w:customStyle="1" w:styleId="FooterChar">
    <w:name w:val="Footer Char"/>
    <w:basedOn w:val="DefaultParagraphFont"/>
    <w:link w:val="Footer"/>
    <w:uiPriority w:val="99"/>
    <w:rsid w:val="00B1199B"/>
    <w:rPr>
      <w:rFonts w:ascii="Garamond" w:eastAsia="Times New Roman" w:hAnsi="Garamond" w:cs="Times New Roman"/>
      <w:sz w:val="24"/>
      <w:szCs w:val="20"/>
      <w:lang w:eastAsia="en-US"/>
    </w:rPr>
  </w:style>
  <w:style w:type="table" w:styleId="TableGrid">
    <w:name w:val="Table Grid"/>
    <w:basedOn w:val="TableNormal"/>
    <w:uiPriority w:val="39"/>
    <w:rsid w:val="008E1C41"/>
    <w:pPr>
      <w:spacing w:after="0" w:line="240" w:lineRule="auto"/>
    </w:pPr>
    <w:rPr>
      <w:rFonts w:eastAsiaTheme="minorHAns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1C41"/>
    <w:pPr>
      <w:spacing w:after="200"/>
    </w:pPr>
    <w:rPr>
      <w:rFonts w:asciiTheme="minorHAnsi" w:eastAsiaTheme="minorHAnsi" w:hAnsiTheme="minorHAnsi" w:cstheme="minorBidi"/>
      <w:i/>
      <w:iCs/>
      <w:color w:val="44546A" w:themeColor="text2"/>
      <w:sz w:val="18"/>
      <w:szCs w:val="18"/>
      <w:lang w:val="en-CA"/>
    </w:rPr>
  </w:style>
  <w:style w:type="character" w:styleId="FollowedHyperlink">
    <w:name w:val="FollowedHyperlink"/>
    <w:basedOn w:val="DefaultParagraphFont"/>
    <w:uiPriority w:val="99"/>
    <w:semiHidden/>
    <w:unhideWhenUsed/>
    <w:rsid w:val="009309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80/0144235X.2020.1826708" TargetMode="External"/><Relationship Id="rId26" Type="http://schemas.openxmlformats.org/officeDocument/2006/relationships/image" Target="media/image7.png"/><Relationship Id="rId39" Type="http://schemas.openxmlformats.org/officeDocument/2006/relationships/hyperlink" Target="mailto:cieritano@uwaterloo.ca" TargetMode="External"/><Relationship Id="rId21" Type="http://schemas.openxmlformats.org/officeDocument/2006/relationships/footer" Target="footer2.xml"/><Relationship Id="rId34" Type="http://schemas.openxmlformats.org/officeDocument/2006/relationships/hyperlink" Target="mailto:cieritan@uwaterloo.ca" TargetMode="External"/><Relationship Id="rId42" Type="http://schemas.openxmlformats.org/officeDocument/2006/relationships/hyperlink" Target="https://github.com/jrjfeath/Featherstone_Labs_Suite" TargetMode="External"/><Relationship Id="rId47" Type="http://schemas.openxmlformats.org/officeDocument/2006/relationships/image" Target="media/image16.tif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mospedia.com/people/carlos-larriba/"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www.python.org/downloads/" TargetMode="External"/><Relationship Id="rId32" Type="http://schemas.openxmlformats.org/officeDocument/2006/relationships/hyperlink" Target="https://docs.computecanada.ca/wiki/MPI" TargetMode="External"/><Relationship Id="rId37" Type="http://schemas.openxmlformats.org/officeDocument/2006/relationships/image" Target="media/image13.png"/><Relationship Id="rId40" Type="http://schemas.openxmlformats.org/officeDocument/2006/relationships/hyperlink" Target="mailto:shopkins@uwaterloo.ca" TargetMode="External"/><Relationship Id="rId45" Type="http://schemas.openxmlformats.org/officeDocument/2006/relationships/hyperlink" Target="https://doi.org/10.1016/j.mtcomm.2021.10222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urceforge.net/projects/sdf2xyz2sdf/files/binaries/windows/"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hyperlink" Target="https://doi.org/10.1016/j.mtcomm.2021.102226" TargetMode="External"/><Relationship Id="rId10" Type="http://schemas.openxmlformats.org/officeDocument/2006/relationships/hyperlink" Target="https://doi.org/10.1039/c8an02150c" TargetMode="External"/><Relationship Id="rId19" Type="http://schemas.openxmlformats.org/officeDocument/2006/relationships/hyperlink" Target="https://chemistry.uoregon.edu/profile/jprell/" TargetMode="External"/><Relationship Id="rId31" Type="http://schemas.openxmlformats.org/officeDocument/2006/relationships/image" Target="media/image11.png"/><Relationship Id="rId44" Type="http://schemas.openxmlformats.org/officeDocument/2006/relationships/hyperlink" Target="https://www.sciencedirect.com/science/article/abs/pii/S235249282100218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sourceforge.net/projects/openbabel/files/openbabel/2.4.1/" TargetMode="External"/><Relationship Id="rId27" Type="http://schemas.openxmlformats.org/officeDocument/2006/relationships/image" Target="media/image8.png"/><Relationship Id="rId30" Type="http://schemas.openxmlformats.org/officeDocument/2006/relationships/hyperlink" Target="https://github.com/jrjfeath/Featherstone_Labs_Suite" TargetMode="External"/><Relationship Id="rId35" Type="http://schemas.openxmlformats.org/officeDocument/2006/relationships/hyperlink" Target="mailto:shopkins@uwaterloo.ca" TargetMode="External"/><Relationship Id="rId43" Type="http://schemas.openxmlformats.org/officeDocument/2006/relationships/hyperlink" Target="https://www.tandfonline.com/doi/full/10.1080/00268976.2017.1333644" TargetMode="External"/><Relationship Id="rId48" Type="http://schemas.openxmlformats.org/officeDocument/2006/relationships/hyperlink" Target="https://doi.org/10.1039/c8an02150c"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hemistry.uoregon.edu/profile/jprell/" TargetMode="External"/><Relationship Id="rId25" Type="http://schemas.openxmlformats.org/officeDocument/2006/relationships/hyperlink" Target="mailto:cieritano@uwaterloo.ca" TargetMode="External"/><Relationship Id="rId33" Type="http://schemas.openxmlformats.org/officeDocument/2006/relationships/hyperlink" Target="https://docs.computecanada.ca/wiki/Running_jobs" TargetMode="External"/><Relationship Id="rId38" Type="http://schemas.microsoft.com/office/2007/relationships/hdphoto" Target="media/hdphoto1.wdp"/><Relationship Id="rId46" Type="http://schemas.openxmlformats.org/officeDocument/2006/relationships/image" Target="media/image15.tiff"/><Relationship Id="rId20" Type="http://schemas.openxmlformats.org/officeDocument/2006/relationships/hyperlink" Target="https://doi.org/10.1016/j.trac.2019.04.023"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70BD7-2319-4FA2-9AD2-61C89AD4C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39</Pages>
  <Words>37071</Words>
  <Characters>211311</Characters>
  <Application>Microsoft Office Word</Application>
  <DocSecurity>0</DocSecurity>
  <Lines>1760</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Ieritano</dc:creator>
  <cp:keywords/>
  <dc:description/>
  <cp:lastModifiedBy>Christian Ieritano</cp:lastModifiedBy>
  <cp:revision>512</cp:revision>
  <cp:lastPrinted>2021-03-10T16:45:00Z</cp:lastPrinted>
  <dcterms:created xsi:type="dcterms:W3CDTF">2021-02-09T16:04:00Z</dcterms:created>
  <dcterms:modified xsi:type="dcterms:W3CDTF">2021-03-10T16:46:00Z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http://www.zotero.org/styles/analyst</vt:lpwstr>
  </property>
  <property fmtid="{D5CDD505-2E9C-101B-9397-08002B2CF9AE}" pid="5" name="Mendeley Recent Style Name 1_1">
    <vt:lpwstr>Analyst</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http://www.zotero.org/styles/angewandte-chemie</vt:lpwstr>
  </property>
  <property fmtid="{D5CDD505-2E9C-101B-9397-08002B2CF9AE}" pid="9" name="Mendeley Recent Style Name 3_1">
    <vt:lpwstr>Angewandte Chemie International Edition</vt:lpwstr>
  </property>
  <property fmtid="{D5CDD505-2E9C-101B-9397-08002B2CF9AE}" pid="10" name="Mendeley Recent Style Id 4_1">
    <vt:lpwstr>http://www.zotero.org/styles/journal-of-chemical-education</vt:lpwstr>
  </property>
  <property fmtid="{D5CDD505-2E9C-101B-9397-08002B2CF9AE}" pid="11" name="Mendeley Recent Style Name 4_1">
    <vt:lpwstr>Journal of Chemical Education</vt:lpwstr>
  </property>
  <property fmtid="{D5CDD505-2E9C-101B-9397-08002B2CF9AE}" pid="12" name="Mendeley Recent Style Id 5_1">
    <vt:lpwstr>http://www.zotero.org/styles/journal-of-the-american-society-for-mass-spectrometry</vt:lpwstr>
  </property>
  <property fmtid="{D5CDD505-2E9C-101B-9397-08002B2CF9AE}" pid="13" name="Mendeley Recent Style Name 5_1">
    <vt:lpwstr>Journal of The American Society for Mass Spectrometry</vt:lpwstr>
  </property>
  <property fmtid="{D5CDD505-2E9C-101B-9397-08002B2CF9AE}" pid="14" name="Mendeley Recent Style Id 6_1">
    <vt:lpwstr>http://www.zotero.org/styles/materials-today-communications</vt:lpwstr>
  </property>
  <property fmtid="{D5CDD505-2E9C-101B-9397-08002B2CF9AE}" pid="15" name="Mendeley Recent Style Name 6_1">
    <vt:lpwstr>Materials Today Communications</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http://csl.mendeley.com/styles/204993151/springer-mathphys-brackets</vt:lpwstr>
  </property>
  <property fmtid="{D5CDD505-2E9C-101B-9397-08002B2CF9AE}" pid="19" name="Mendeley Recent Style Name 8_1">
    <vt:lpwstr>Springer - MathPhys (numeric, brackets) - Christian Ieritano</vt:lpwstr>
  </property>
  <property fmtid="{D5CDD505-2E9C-101B-9397-08002B2CF9AE}" pid="20" name="Mendeley Recent Style Id 9_1">
    <vt:lpwstr>http://www.zotero.org/styles/the-journal-of-organic-chemistry</vt:lpwstr>
  </property>
  <property fmtid="{D5CDD505-2E9C-101B-9397-08002B2CF9AE}" pid="21" name="Mendeley Recent Style Name 9_1">
    <vt:lpwstr>The Journal of Organic Chemistry</vt:lpwstr>
  </property>
  <property fmtid="{D5CDD505-2E9C-101B-9397-08002B2CF9AE}" pid="22" name="Mendeley Document_1">
    <vt:lpwstr>True</vt:lpwstr>
  </property>
  <property fmtid="{D5CDD505-2E9C-101B-9397-08002B2CF9AE}" pid="23" name="Mendeley Unique User Id_1">
    <vt:lpwstr>95003ab7-ef9c-3b80-849a-34bed0513316</vt:lpwstr>
  </property>
  <property fmtid="{D5CDD505-2E9C-101B-9397-08002B2CF9AE}" pid="24" name="Mendeley Citation Style_1">
    <vt:lpwstr>http://www.zotero.org/styles/analytical-chemistry</vt:lpwstr>
  </property>
</Properties>
</file>