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0" w:after="0" w:line="240" w:lineRule="auto"/>
        <w:textAlignment w:val="baseline"/>
        <w:rPr>
          <w:rFonts w:ascii="Times New Roman"/>
          <w:sz w:val="21"/>
        </w:rPr>
      </w:pPr>
      <w:bookmarkStart w:id="0" w:name="_Toc513449738"/>
      <w:r>
        <w:rPr>
          <w:rFonts w:ascii="Times New Roman"/>
          <w:sz w:val="21"/>
        </w:rPr>
        <w:t>JXM15：检查问题通知单</w:t>
      </w:r>
      <w:bookmarkEnd w:id="0"/>
    </w:p>
    <w:p>
      <w:pPr>
        <w:pStyle w:val="6"/>
        <w:ind w:firstLine="560"/>
        <w:rPr>
          <w:rFonts w:hint="eastAsia"/>
          <w:spacing w:val="30"/>
        </w:rPr>
      </w:pPr>
      <w:bookmarkStart w:id="1" w:name="_Toc22064"/>
      <w:bookmarkStart w:id="2" w:name="_Toc6587"/>
      <w:bookmarkStart w:id="3" w:name="_Toc20228"/>
      <w:bookmarkStart w:id="4" w:name="_Toc14319"/>
      <w:bookmarkStart w:id="5" w:name="_Toc12768"/>
      <w:bookmarkStart w:id="6" w:name="_Toc510119284"/>
      <w:r>
        <w:rPr>
          <w:rFonts w:hint="eastAsia"/>
          <w:spacing w:val="30"/>
        </w:rPr>
        <w:t>检查问题通知单</w:t>
      </w:r>
      <w:bookmarkEnd w:id="1"/>
      <w:bookmarkEnd w:id="2"/>
      <w:bookmarkEnd w:id="3"/>
      <w:bookmarkEnd w:id="4"/>
      <w:bookmarkEnd w:id="5"/>
      <w:bookmarkEnd w:id="6"/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检查组织单位：</w:t>
      </w:r>
      <w:r>
        <w:rPr>
          <w:rFonts w:hint="eastAsia"/>
          <w:lang w:val="en-US" w:eastAsia="zh-CN"/>
        </w:rPr>
        <w:t>郧西上川110kV输变电工程监理项目部</w:t>
      </w:r>
      <w:r>
        <w:rPr>
          <w:rFonts w:hint="eastAsia"/>
        </w:rPr>
        <w:t xml:space="preserve"> 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</w:rPr>
        <w:t>编号：</w:t>
      </w:r>
      <w:r>
        <w:rPr>
          <w:rFonts w:hint="eastAsia"/>
          <w:lang w:val="en-US" w:eastAsia="zh-CN"/>
        </w:rPr>
        <w:t>JXM15-JL-TJ-009</w:t>
      </w:r>
    </w:p>
    <w:tbl>
      <w:tblPr>
        <w:tblStyle w:val="3"/>
        <w:tblW w:w="857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3"/>
        <w:gridCol w:w="1134"/>
        <w:gridCol w:w="2445"/>
        <w:gridCol w:w="225"/>
        <w:gridCol w:w="1418"/>
        <w:gridCol w:w="425"/>
        <w:gridCol w:w="2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  <w:jc w:val="center"/>
        </w:trPr>
        <w:tc>
          <w:tcPr>
            <w:tcW w:w="1937" w:type="dxa"/>
            <w:gridSpan w:val="2"/>
            <w:noWrap w:val="0"/>
            <w:vAlign w:val="center"/>
          </w:tcPr>
          <w:p>
            <w:pPr>
              <w:jc w:val="center"/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21"/>
              </w:rPr>
              <w:t>被查项目</w:t>
            </w:r>
          </w:p>
        </w:tc>
        <w:tc>
          <w:tcPr>
            <w:tcW w:w="2670" w:type="dxa"/>
            <w:gridSpan w:val="2"/>
            <w:noWrap w:val="0"/>
            <w:vAlign w:val="center"/>
          </w:tcPr>
          <w:p>
            <w:pPr>
              <w:rPr>
                <w:rFonts w:hint="default" w:cs="宋体"/>
                <w:sz w:val="18"/>
                <w:szCs w:val="21"/>
                <w:lang w:val="en-US"/>
              </w:rPr>
            </w:pPr>
            <w:r>
              <w:rPr>
                <w:rFonts w:hint="eastAsia"/>
                <w:lang w:val="en-US" w:eastAsia="zh-CN"/>
              </w:rPr>
              <w:t>郧西上川110kV输变电工程变电站新建工程</w:t>
            </w:r>
          </w:p>
        </w:tc>
        <w:tc>
          <w:tcPr>
            <w:tcW w:w="1418" w:type="dxa"/>
            <w:vMerge w:val="restart"/>
            <w:noWrap w:val="0"/>
            <w:vAlign w:val="center"/>
          </w:tcPr>
          <w:p>
            <w:pPr>
              <w:jc w:val="center"/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21"/>
              </w:rPr>
              <w:t>被查单位</w:t>
            </w:r>
          </w:p>
        </w:tc>
        <w:tc>
          <w:tcPr>
            <w:tcW w:w="2551" w:type="dxa"/>
            <w:gridSpan w:val="2"/>
            <w:vMerge w:val="restart"/>
            <w:noWrap w:val="0"/>
            <w:vAlign w:val="top"/>
          </w:tcPr>
          <w:p>
            <w:pPr>
              <w:rPr>
                <w:rFonts w:hint="default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sz w:val="18"/>
                <w:szCs w:val="18"/>
              </w:rPr>
              <w:t>1.</w:t>
            </w:r>
            <w:r>
              <w:rPr>
                <w:rFonts w:hint="eastAsia" w:cs="宋体"/>
                <w:sz w:val="18"/>
                <w:szCs w:val="18"/>
                <w:lang w:val="en-US" w:eastAsia="zh-CN"/>
              </w:rPr>
              <w:t>十堰巨能电力集团有限公司郧西上川110kV变电站新建工程施工项目部</w:t>
            </w:r>
          </w:p>
          <w:p>
            <w:pPr>
              <w:rPr>
                <w:rFonts w:hint="eastAsia" w:cs="宋体"/>
                <w:sz w:val="1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  <w:jc w:val="center"/>
        </w:trPr>
        <w:tc>
          <w:tcPr>
            <w:tcW w:w="1937" w:type="dxa"/>
            <w:gridSpan w:val="2"/>
            <w:noWrap w:val="0"/>
            <w:vAlign w:val="center"/>
          </w:tcPr>
          <w:p>
            <w:pPr>
              <w:jc w:val="center"/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21"/>
              </w:rPr>
              <w:t>被查地点</w:t>
            </w:r>
          </w:p>
        </w:tc>
        <w:tc>
          <w:tcPr>
            <w:tcW w:w="2670" w:type="dxa"/>
            <w:gridSpan w:val="2"/>
            <w:noWrap w:val="0"/>
            <w:vAlign w:val="center"/>
          </w:tcPr>
          <w:p>
            <w:pPr>
              <w:rPr>
                <w:rFonts w:hint="default" w:eastAsia="宋体" w:cs="宋体"/>
                <w:sz w:val="18"/>
                <w:szCs w:val="21"/>
                <w:lang w:val="en-US" w:eastAsia="zh-CN"/>
              </w:rPr>
            </w:pPr>
            <w:r>
              <w:rPr>
                <w:rFonts w:hint="eastAsia" w:cs="宋体"/>
                <w:sz w:val="18"/>
                <w:szCs w:val="21"/>
                <w:lang w:val="en-US" w:eastAsia="zh-CN"/>
              </w:rPr>
              <w:t>变电站站区</w:t>
            </w:r>
          </w:p>
        </w:tc>
        <w:tc>
          <w:tcPr>
            <w:tcW w:w="1418" w:type="dxa"/>
            <w:vMerge w:val="continue"/>
            <w:noWrap w:val="0"/>
            <w:vAlign w:val="center"/>
          </w:tcPr>
          <w:p>
            <w:pPr>
              <w:rPr>
                <w:rFonts w:hint="eastAsia" w:cs="宋体"/>
                <w:sz w:val="18"/>
                <w:szCs w:val="21"/>
              </w:rPr>
            </w:pPr>
          </w:p>
        </w:tc>
        <w:tc>
          <w:tcPr>
            <w:tcW w:w="2551" w:type="dxa"/>
            <w:gridSpan w:val="2"/>
            <w:vMerge w:val="continue"/>
            <w:noWrap w:val="0"/>
            <w:vAlign w:val="center"/>
          </w:tcPr>
          <w:p>
            <w:pPr>
              <w:rPr>
                <w:rFonts w:hint="eastAsia" w:cs="宋体"/>
                <w:sz w:val="1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937" w:type="dxa"/>
            <w:gridSpan w:val="2"/>
            <w:noWrap w:val="0"/>
            <w:vAlign w:val="center"/>
          </w:tcPr>
          <w:p>
            <w:pPr>
              <w:jc w:val="center"/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21"/>
              </w:rPr>
              <w:t>检查时间</w:t>
            </w:r>
          </w:p>
        </w:tc>
        <w:tc>
          <w:tcPr>
            <w:tcW w:w="2670" w:type="dxa"/>
            <w:gridSpan w:val="2"/>
            <w:noWrap w:val="0"/>
            <w:vAlign w:val="center"/>
          </w:tcPr>
          <w:p>
            <w:pPr>
              <w:rPr>
                <w:rFonts w:hint="default" w:eastAsia="宋体" w:cs="宋体"/>
                <w:sz w:val="18"/>
                <w:szCs w:val="21"/>
                <w:lang w:val="en-US" w:eastAsia="zh-CN"/>
              </w:rPr>
            </w:pPr>
            <w:r>
              <w:rPr>
                <w:rFonts w:hint="eastAsia" w:cs="宋体"/>
                <w:sz w:val="18"/>
                <w:szCs w:val="21"/>
                <w:lang w:val="en-US" w:eastAsia="zh-CN"/>
              </w:rPr>
              <w:t>2019年8月14日星期三</w:t>
            </w:r>
          </w:p>
        </w:tc>
        <w:tc>
          <w:tcPr>
            <w:tcW w:w="1418" w:type="dxa"/>
            <w:vMerge w:val="continue"/>
            <w:noWrap w:val="0"/>
            <w:vAlign w:val="center"/>
          </w:tcPr>
          <w:p>
            <w:pPr>
              <w:rPr>
                <w:rFonts w:hint="eastAsia" w:cs="宋体"/>
                <w:sz w:val="18"/>
                <w:szCs w:val="21"/>
              </w:rPr>
            </w:pPr>
          </w:p>
        </w:tc>
        <w:tc>
          <w:tcPr>
            <w:tcW w:w="2551" w:type="dxa"/>
            <w:gridSpan w:val="2"/>
            <w:vMerge w:val="continue"/>
            <w:noWrap w:val="0"/>
            <w:vAlign w:val="center"/>
          </w:tcPr>
          <w:p>
            <w:pPr>
              <w:rPr>
                <w:rFonts w:hint="eastAsia" w:cs="宋体"/>
                <w:sz w:val="1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2" w:hRule="atLeast"/>
          <w:jc w:val="center"/>
        </w:trPr>
        <w:tc>
          <w:tcPr>
            <w:tcW w:w="1937" w:type="dxa"/>
            <w:gridSpan w:val="2"/>
            <w:noWrap w:val="0"/>
            <w:vAlign w:val="center"/>
          </w:tcPr>
          <w:p>
            <w:pPr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21"/>
              </w:rPr>
              <w:t>检查范围和简要内容</w:t>
            </w:r>
          </w:p>
        </w:tc>
        <w:tc>
          <w:tcPr>
            <w:tcW w:w="6639" w:type="dxa"/>
            <w:gridSpan w:val="5"/>
            <w:noWrap w:val="0"/>
            <w:vAlign w:val="center"/>
          </w:tcPr>
          <w:p>
            <w:pPr>
              <w:rPr>
                <w:rFonts w:hint="default" w:eastAsia="宋体" w:cs="宋体"/>
                <w:sz w:val="18"/>
                <w:szCs w:val="21"/>
                <w:lang w:val="en-US" w:eastAsia="zh-CN"/>
              </w:rPr>
            </w:pPr>
            <w:r>
              <w:rPr>
                <w:rFonts w:hint="eastAsia" w:cs="宋体"/>
                <w:sz w:val="18"/>
                <w:szCs w:val="21"/>
                <w:lang w:val="en-US" w:eastAsia="zh-CN"/>
              </w:rPr>
              <w:t>对变电站站区内安全文明施工进行检查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8576" w:type="dxa"/>
            <w:gridSpan w:val="7"/>
            <w:noWrap w:val="0"/>
            <w:vAlign w:val="center"/>
          </w:tcPr>
          <w:p>
            <w:pPr>
              <w:rPr>
                <w:rFonts w:hint="default" w:eastAsia="宋体" w:cs="宋体"/>
                <w:sz w:val="18"/>
                <w:szCs w:val="21"/>
                <w:lang w:val="en-US" w:eastAsia="zh-CN"/>
              </w:rPr>
            </w:pPr>
            <w:r>
              <w:rPr>
                <w:rFonts w:hint="eastAsia" w:cs="宋体"/>
                <w:sz w:val="18"/>
                <w:szCs w:val="21"/>
              </w:rPr>
              <w:t>检查发现问题：</w:t>
            </w:r>
            <w:r>
              <w:rPr>
                <w:rFonts w:hint="eastAsia" w:cs="宋体"/>
                <w:sz w:val="18"/>
                <w:szCs w:val="21"/>
                <w:lang w:val="en-US" w:eastAsia="zh-CN"/>
              </w:rPr>
              <w:t>站区内安全文明施工措施不到位。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803" w:type="dxa"/>
            <w:noWrap w:val="0"/>
            <w:vAlign w:val="center"/>
          </w:tcPr>
          <w:p>
            <w:pPr>
              <w:jc w:val="center"/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21"/>
              </w:rPr>
              <w:t>序号</w:t>
            </w:r>
          </w:p>
        </w:tc>
        <w:tc>
          <w:tcPr>
            <w:tcW w:w="3579" w:type="dxa"/>
            <w:gridSpan w:val="2"/>
            <w:noWrap w:val="0"/>
            <w:vAlign w:val="center"/>
          </w:tcPr>
          <w:p>
            <w:pPr>
              <w:jc w:val="center"/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21"/>
              </w:rPr>
              <w:t>发现问题（照片另附）</w:t>
            </w:r>
          </w:p>
        </w:tc>
        <w:tc>
          <w:tcPr>
            <w:tcW w:w="2068" w:type="dxa"/>
            <w:gridSpan w:val="3"/>
            <w:noWrap w:val="0"/>
            <w:vAlign w:val="center"/>
          </w:tcPr>
          <w:p>
            <w:pPr>
              <w:jc w:val="center"/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21"/>
              </w:rPr>
              <w:t>责任单位</w:t>
            </w:r>
          </w:p>
        </w:tc>
        <w:tc>
          <w:tcPr>
            <w:tcW w:w="2126" w:type="dxa"/>
            <w:noWrap w:val="0"/>
            <w:vAlign w:val="center"/>
          </w:tcPr>
          <w:p>
            <w:pPr>
              <w:jc w:val="center"/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21"/>
              </w:rPr>
              <w:t>整改期限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3" w:hRule="atLeast"/>
          <w:jc w:val="center"/>
        </w:trPr>
        <w:tc>
          <w:tcPr>
            <w:tcW w:w="803" w:type="dxa"/>
            <w:noWrap w:val="0"/>
            <w:vAlign w:val="center"/>
          </w:tcPr>
          <w:p>
            <w:pPr>
              <w:jc w:val="center"/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21"/>
              </w:rPr>
              <w:t>1</w:t>
            </w:r>
          </w:p>
        </w:tc>
        <w:tc>
          <w:tcPr>
            <w:tcW w:w="3579" w:type="dxa"/>
            <w:gridSpan w:val="2"/>
            <w:noWrap w:val="0"/>
            <w:vAlign w:val="center"/>
          </w:tcPr>
          <w:p>
            <w:pPr>
              <w:topLinePunct/>
              <w:snapToGrid w:val="0"/>
              <w:spacing w:before="60" w:after="60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站区内无危险品仓库。不符合《国家电网公司输变电工程安全文明施工标准化管理办法》相关要求</w:t>
            </w:r>
          </w:p>
          <w:p>
            <w:pPr>
              <w:rPr>
                <w:rFonts w:hint="eastAsia" w:cs="宋体"/>
                <w:sz w:val="18"/>
                <w:szCs w:val="21"/>
              </w:rPr>
            </w:pPr>
          </w:p>
        </w:tc>
        <w:tc>
          <w:tcPr>
            <w:tcW w:w="2068" w:type="dxa"/>
            <w:gridSpan w:val="3"/>
            <w:noWrap w:val="0"/>
            <w:vAlign w:val="center"/>
          </w:tcPr>
          <w:p>
            <w:pPr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18"/>
                <w:lang w:val="en-US" w:eastAsia="zh-CN"/>
              </w:rPr>
              <w:t>十堰巨能电力集团有限公司郧西上川110kV变电站新建工程施工项目部。</w:t>
            </w:r>
          </w:p>
        </w:tc>
        <w:tc>
          <w:tcPr>
            <w:tcW w:w="2126" w:type="dxa"/>
            <w:noWrap w:val="0"/>
            <w:vAlign w:val="center"/>
          </w:tcPr>
          <w:p>
            <w:pPr>
              <w:ind w:firstLine="360" w:firstLineChars="200"/>
              <w:rPr>
                <w:rFonts w:hint="default" w:eastAsia="宋体" w:cs="宋体"/>
                <w:sz w:val="18"/>
                <w:szCs w:val="21"/>
                <w:lang w:val="en-US" w:eastAsia="zh-CN"/>
              </w:rPr>
            </w:pPr>
            <w:r>
              <w:rPr>
                <w:rFonts w:hint="eastAsia" w:cs="宋体"/>
                <w:sz w:val="18"/>
                <w:szCs w:val="21"/>
                <w:lang w:val="en-US" w:eastAsia="zh-CN"/>
              </w:rPr>
              <w:t>限2019年8月16日整改到位后通知监理项目部复查，复查合格后方能进行其他作业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803" w:type="dxa"/>
            <w:noWrap w:val="0"/>
            <w:vAlign w:val="center"/>
          </w:tcPr>
          <w:p>
            <w:pPr>
              <w:jc w:val="center"/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21"/>
              </w:rPr>
              <w:t>2</w:t>
            </w:r>
          </w:p>
        </w:tc>
        <w:tc>
          <w:tcPr>
            <w:tcW w:w="3579" w:type="dxa"/>
            <w:gridSpan w:val="2"/>
            <w:noWrap w:val="0"/>
            <w:vAlign w:val="center"/>
          </w:tcPr>
          <w:p>
            <w:pPr>
              <w:numPr>
                <w:ilvl w:val="0"/>
                <w:numId w:val="0"/>
              </w:numPr>
              <w:topLinePunct/>
              <w:snapToGrid w:val="0"/>
              <w:rPr>
                <w:rFonts w:hint="default" w:cs="宋体"/>
                <w:sz w:val="18"/>
                <w:szCs w:val="21"/>
                <w:lang w:val="en-US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施工现场坑洞未盖，未回填的基坑未用硬质围栏围住。违反了《国家电网安全管理规定》相关要求。</w:t>
            </w:r>
          </w:p>
        </w:tc>
        <w:tc>
          <w:tcPr>
            <w:tcW w:w="2068" w:type="dxa"/>
            <w:gridSpan w:val="3"/>
            <w:noWrap w:val="0"/>
            <w:vAlign w:val="center"/>
          </w:tcPr>
          <w:p>
            <w:pPr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18"/>
                <w:lang w:val="en-US" w:eastAsia="zh-CN"/>
              </w:rPr>
              <w:t>十堰巨能电力集团有限公司郧西上川110kV变电站新建工程施工项目部。</w:t>
            </w:r>
          </w:p>
        </w:tc>
        <w:tc>
          <w:tcPr>
            <w:tcW w:w="2126" w:type="dxa"/>
            <w:noWrap w:val="0"/>
            <w:vAlign w:val="center"/>
          </w:tcPr>
          <w:p>
            <w:pPr>
              <w:ind w:firstLine="360" w:firstLineChars="200"/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21"/>
                <w:lang w:val="en-US" w:eastAsia="zh-CN"/>
              </w:rPr>
              <w:t>限2019年8月16日整改到位后通知监理项目部复查，复查合格后方能进行其他作业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803" w:type="dxa"/>
            <w:noWrap w:val="0"/>
            <w:vAlign w:val="center"/>
          </w:tcPr>
          <w:p>
            <w:pPr>
              <w:jc w:val="center"/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21"/>
              </w:rPr>
              <w:t>3</w:t>
            </w:r>
          </w:p>
        </w:tc>
        <w:tc>
          <w:tcPr>
            <w:tcW w:w="3579" w:type="dxa"/>
            <w:gridSpan w:val="2"/>
            <w:noWrap w:val="0"/>
            <w:vAlign w:val="center"/>
          </w:tcPr>
          <w:p>
            <w:pPr>
              <w:numPr>
                <w:ilvl w:val="0"/>
                <w:numId w:val="0"/>
              </w:numPr>
              <w:topLinePunct/>
              <w:snapToGrid w:val="0"/>
              <w:rPr>
                <w:rFonts w:hint="default" w:eastAsia="宋体" w:cs="宋体"/>
                <w:sz w:val="18"/>
                <w:szCs w:val="21"/>
                <w:lang w:val="en-US" w:eastAsia="zh-CN"/>
              </w:rPr>
            </w:pPr>
            <w:r>
              <w:rPr>
                <w:rFonts w:hint="eastAsia" w:cs="宋体"/>
                <w:sz w:val="18"/>
                <w:szCs w:val="21"/>
                <w:lang w:val="en-US" w:eastAsia="zh-CN"/>
              </w:rPr>
              <w:t>施工现场杂料未及时清理导致现场杂乱无章。违反了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《国家电网公司输变电工程安全文明施工标准化管理办法》</w:t>
            </w:r>
          </w:p>
        </w:tc>
        <w:tc>
          <w:tcPr>
            <w:tcW w:w="2068" w:type="dxa"/>
            <w:gridSpan w:val="3"/>
            <w:noWrap w:val="0"/>
            <w:vAlign w:val="center"/>
          </w:tcPr>
          <w:p>
            <w:pPr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18"/>
                <w:lang w:val="en-US" w:eastAsia="zh-CN"/>
              </w:rPr>
              <w:t>十堰巨能电力集团有限公司郧西上川110kV变电站新建工程施工项目部。</w:t>
            </w:r>
          </w:p>
        </w:tc>
        <w:tc>
          <w:tcPr>
            <w:tcW w:w="2126" w:type="dxa"/>
            <w:noWrap w:val="0"/>
            <w:vAlign w:val="center"/>
          </w:tcPr>
          <w:p>
            <w:pPr>
              <w:ind w:firstLine="360" w:firstLineChars="200"/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21"/>
                <w:lang w:val="en-US" w:eastAsia="zh-CN"/>
              </w:rPr>
              <w:t>限2019年8月16日整改到位后通知监理项目部复查，复查合格后方能进行其他作业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803" w:type="dxa"/>
            <w:noWrap w:val="0"/>
            <w:vAlign w:val="center"/>
          </w:tcPr>
          <w:p>
            <w:pPr>
              <w:jc w:val="center"/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21"/>
              </w:rPr>
              <w:t>4</w:t>
            </w:r>
          </w:p>
        </w:tc>
        <w:tc>
          <w:tcPr>
            <w:tcW w:w="3579" w:type="dxa"/>
            <w:gridSpan w:val="2"/>
            <w:noWrap w:val="0"/>
            <w:vAlign w:val="center"/>
          </w:tcPr>
          <w:p>
            <w:pPr>
              <w:rPr>
                <w:rFonts w:hint="default" w:eastAsia="宋体" w:cs="宋体"/>
                <w:sz w:val="18"/>
                <w:szCs w:val="21"/>
                <w:lang w:val="en-US" w:eastAsia="zh-CN"/>
              </w:rPr>
            </w:pPr>
            <w:r>
              <w:rPr>
                <w:rFonts w:hint="eastAsia" w:cs="宋体"/>
                <w:sz w:val="18"/>
                <w:szCs w:val="21"/>
                <w:lang w:val="en-US" w:eastAsia="zh-CN"/>
              </w:rPr>
              <w:t>事故油池上随意堆放构件及杂物，成品保护不到位。</w:t>
            </w:r>
          </w:p>
        </w:tc>
        <w:tc>
          <w:tcPr>
            <w:tcW w:w="2068" w:type="dxa"/>
            <w:gridSpan w:val="3"/>
            <w:noWrap w:val="0"/>
            <w:vAlign w:val="center"/>
          </w:tcPr>
          <w:p>
            <w:pPr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18"/>
                <w:lang w:val="en-US" w:eastAsia="zh-CN"/>
              </w:rPr>
              <w:t>十堰巨能电力集团有限公司郧西上川110kV变电站新建工程施工项目部</w:t>
            </w:r>
          </w:p>
        </w:tc>
        <w:tc>
          <w:tcPr>
            <w:tcW w:w="2126" w:type="dxa"/>
            <w:noWrap w:val="0"/>
            <w:vAlign w:val="center"/>
          </w:tcPr>
          <w:p>
            <w:pPr>
              <w:jc w:val="center"/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21"/>
                <w:lang w:val="en-US" w:eastAsia="zh-CN"/>
              </w:rPr>
              <w:t>限2019年8月16日整改到位后通知监理项目部复查，复查合格后方能进行其他作业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803" w:type="dxa"/>
            <w:noWrap w:val="0"/>
            <w:vAlign w:val="center"/>
          </w:tcPr>
          <w:p>
            <w:pPr>
              <w:jc w:val="center"/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21"/>
              </w:rPr>
              <w:t>5</w:t>
            </w:r>
          </w:p>
        </w:tc>
        <w:tc>
          <w:tcPr>
            <w:tcW w:w="3579" w:type="dxa"/>
            <w:gridSpan w:val="2"/>
            <w:noWrap w:val="0"/>
            <w:vAlign w:val="center"/>
          </w:tcPr>
          <w:p>
            <w:pPr>
              <w:rPr>
                <w:rFonts w:hint="default" w:eastAsia="宋体" w:cs="宋体"/>
                <w:sz w:val="18"/>
                <w:szCs w:val="21"/>
                <w:lang w:val="en-US" w:eastAsia="zh-CN"/>
              </w:rPr>
            </w:pPr>
            <w:r>
              <w:rPr>
                <w:rFonts w:hint="eastAsia" w:cs="宋体"/>
                <w:sz w:val="18"/>
                <w:szCs w:val="21"/>
                <w:lang w:val="en-US" w:eastAsia="zh-CN"/>
              </w:rPr>
              <w:t>变电站临时用电电缆线随意拉放未使用移动电源箱。违反了《施工现场临时用电安全技术规范》相关规定</w:t>
            </w:r>
          </w:p>
        </w:tc>
        <w:tc>
          <w:tcPr>
            <w:tcW w:w="2068" w:type="dxa"/>
            <w:gridSpan w:val="3"/>
            <w:noWrap w:val="0"/>
            <w:vAlign w:val="center"/>
          </w:tcPr>
          <w:p>
            <w:pPr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18"/>
                <w:lang w:val="en-US" w:eastAsia="zh-CN"/>
              </w:rPr>
              <w:t>十堰巨能电力集团有限公司郧西上川110kV变电站新建工程施工项目部</w:t>
            </w:r>
          </w:p>
        </w:tc>
        <w:tc>
          <w:tcPr>
            <w:tcW w:w="2126" w:type="dxa"/>
            <w:noWrap w:val="0"/>
            <w:vAlign w:val="center"/>
          </w:tcPr>
          <w:p>
            <w:pPr>
              <w:jc w:val="center"/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21"/>
                <w:lang w:val="en-US" w:eastAsia="zh-CN"/>
              </w:rPr>
              <w:t>限2019年8月16日整改到位后通知监理项目部复查，复查合格后方能进行其他作业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803" w:type="dxa"/>
            <w:noWrap w:val="0"/>
            <w:vAlign w:val="center"/>
          </w:tcPr>
          <w:p>
            <w:pPr>
              <w:jc w:val="center"/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21"/>
              </w:rPr>
              <w:t>6</w:t>
            </w:r>
          </w:p>
        </w:tc>
        <w:tc>
          <w:tcPr>
            <w:tcW w:w="3579" w:type="dxa"/>
            <w:gridSpan w:val="2"/>
            <w:noWrap w:val="0"/>
            <w:vAlign w:val="center"/>
          </w:tcPr>
          <w:p>
            <w:pPr>
              <w:rPr>
                <w:rFonts w:hint="default" w:eastAsia="宋体" w:cs="宋体"/>
                <w:sz w:val="18"/>
                <w:szCs w:val="21"/>
                <w:lang w:val="en-US" w:eastAsia="zh-CN"/>
              </w:rPr>
            </w:pPr>
            <w:r>
              <w:rPr>
                <w:rFonts w:hint="eastAsia" w:cs="宋体"/>
                <w:sz w:val="18"/>
                <w:szCs w:val="21"/>
                <w:lang w:val="en-US" w:eastAsia="zh-CN"/>
              </w:rPr>
              <w:t>砂、石料未设置材料隔离区。不符合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《国家电网公司输变电工程安全文明施工标准化管理办法》相关要求</w:t>
            </w:r>
          </w:p>
        </w:tc>
        <w:tc>
          <w:tcPr>
            <w:tcW w:w="2068" w:type="dxa"/>
            <w:gridSpan w:val="3"/>
            <w:noWrap w:val="0"/>
            <w:vAlign w:val="center"/>
          </w:tcPr>
          <w:p>
            <w:pPr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18"/>
                <w:lang w:val="en-US" w:eastAsia="zh-CN"/>
              </w:rPr>
              <w:t>十堰巨能电力集团有限公司郧西上川110kV变电站新建工程施工项目部</w:t>
            </w:r>
          </w:p>
        </w:tc>
        <w:tc>
          <w:tcPr>
            <w:tcW w:w="2126" w:type="dxa"/>
            <w:noWrap w:val="0"/>
            <w:vAlign w:val="center"/>
          </w:tcPr>
          <w:p>
            <w:pPr>
              <w:jc w:val="center"/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21"/>
                <w:lang w:val="en-US" w:eastAsia="zh-CN"/>
              </w:rPr>
              <w:t>限2019年8月16日整改到位后通知监理项目部复查，复查合格后方能进行其他作业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803" w:type="dxa"/>
            <w:noWrap w:val="0"/>
            <w:vAlign w:val="center"/>
          </w:tcPr>
          <w:p>
            <w:pPr>
              <w:jc w:val="center"/>
              <w:rPr>
                <w:rFonts w:hint="eastAsia" w:eastAsia="宋体" w:cs="宋体"/>
                <w:sz w:val="18"/>
                <w:szCs w:val="21"/>
                <w:lang w:val="en-US" w:eastAsia="zh-CN"/>
              </w:rPr>
            </w:pPr>
            <w:r>
              <w:rPr>
                <w:rFonts w:hint="eastAsia" w:cs="宋体"/>
                <w:sz w:val="18"/>
                <w:szCs w:val="21"/>
                <w:lang w:val="en-US" w:eastAsia="zh-CN"/>
              </w:rPr>
              <w:t>7</w:t>
            </w:r>
          </w:p>
        </w:tc>
        <w:tc>
          <w:tcPr>
            <w:tcW w:w="3579" w:type="dxa"/>
            <w:gridSpan w:val="2"/>
            <w:noWrap w:val="0"/>
            <w:vAlign w:val="center"/>
          </w:tcPr>
          <w:p>
            <w:pPr>
              <w:rPr>
                <w:rFonts w:hint="default" w:eastAsia="宋体" w:cs="宋体"/>
                <w:sz w:val="18"/>
                <w:szCs w:val="21"/>
                <w:lang w:val="en-US" w:eastAsia="zh-CN"/>
              </w:rPr>
            </w:pPr>
            <w:r>
              <w:rPr>
                <w:rFonts w:hint="eastAsia" w:cs="宋体"/>
                <w:sz w:val="18"/>
                <w:szCs w:val="21"/>
                <w:lang w:val="en-US" w:eastAsia="zh-CN"/>
              </w:rPr>
              <w:t>临建部分钢筋堆放区不符合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《国家电网公司输变电工程安全文明施工标准化管理办法》相关要求</w:t>
            </w:r>
          </w:p>
        </w:tc>
        <w:tc>
          <w:tcPr>
            <w:tcW w:w="2068" w:type="dxa"/>
            <w:gridSpan w:val="3"/>
            <w:noWrap w:val="0"/>
            <w:vAlign w:val="center"/>
          </w:tcPr>
          <w:p>
            <w:pPr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18"/>
                <w:lang w:val="en-US" w:eastAsia="zh-CN"/>
              </w:rPr>
              <w:t>十堰巨能电力集团有限公司郧西上川110kV变电站新建工程施工项目部</w:t>
            </w:r>
          </w:p>
        </w:tc>
        <w:tc>
          <w:tcPr>
            <w:tcW w:w="2126" w:type="dxa"/>
            <w:noWrap w:val="0"/>
            <w:vAlign w:val="center"/>
          </w:tcPr>
          <w:p>
            <w:pPr>
              <w:jc w:val="center"/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21"/>
                <w:lang w:val="en-US" w:eastAsia="zh-CN"/>
              </w:rPr>
              <w:t>限2019年8月16日整改到位后通知监理项目部复查，复查合格后方能进行其他作业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803" w:type="dxa"/>
            <w:noWrap w:val="0"/>
            <w:vAlign w:val="center"/>
          </w:tcPr>
          <w:p>
            <w:pPr>
              <w:rPr>
                <w:rFonts w:hint="eastAsia" w:cs="宋体"/>
                <w:sz w:val="18"/>
                <w:szCs w:val="21"/>
              </w:rPr>
            </w:pPr>
          </w:p>
        </w:tc>
        <w:tc>
          <w:tcPr>
            <w:tcW w:w="3579" w:type="dxa"/>
            <w:gridSpan w:val="2"/>
            <w:noWrap w:val="0"/>
            <w:vAlign w:val="center"/>
          </w:tcPr>
          <w:p>
            <w:pPr>
              <w:rPr>
                <w:rFonts w:hint="eastAsia" w:cs="宋体"/>
                <w:sz w:val="18"/>
                <w:szCs w:val="21"/>
              </w:rPr>
            </w:pPr>
          </w:p>
        </w:tc>
        <w:tc>
          <w:tcPr>
            <w:tcW w:w="2068" w:type="dxa"/>
            <w:gridSpan w:val="3"/>
            <w:noWrap w:val="0"/>
            <w:vAlign w:val="center"/>
          </w:tcPr>
          <w:p>
            <w:pPr>
              <w:rPr>
                <w:rFonts w:hint="eastAsia" w:cs="宋体"/>
                <w:sz w:val="18"/>
                <w:szCs w:val="21"/>
              </w:rPr>
            </w:pPr>
          </w:p>
        </w:tc>
        <w:tc>
          <w:tcPr>
            <w:tcW w:w="2126" w:type="dxa"/>
            <w:noWrap w:val="0"/>
            <w:vAlign w:val="center"/>
          </w:tcPr>
          <w:p>
            <w:pPr>
              <w:rPr>
                <w:rFonts w:hint="eastAsia" w:cs="宋体"/>
                <w:sz w:val="1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803" w:type="dxa"/>
            <w:noWrap w:val="0"/>
            <w:vAlign w:val="center"/>
          </w:tcPr>
          <w:p>
            <w:pPr>
              <w:rPr>
                <w:rFonts w:hint="eastAsia" w:cs="宋体"/>
                <w:sz w:val="18"/>
                <w:szCs w:val="21"/>
              </w:rPr>
            </w:pPr>
          </w:p>
        </w:tc>
        <w:tc>
          <w:tcPr>
            <w:tcW w:w="3579" w:type="dxa"/>
            <w:gridSpan w:val="2"/>
            <w:noWrap w:val="0"/>
            <w:vAlign w:val="center"/>
          </w:tcPr>
          <w:p>
            <w:pPr>
              <w:rPr>
                <w:rFonts w:hint="eastAsia" w:cs="宋体"/>
                <w:sz w:val="18"/>
                <w:szCs w:val="21"/>
              </w:rPr>
            </w:pPr>
          </w:p>
        </w:tc>
        <w:tc>
          <w:tcPr>
            <w:tcW w:w="2068" w:type="dxa"/>
            <w:gridSpan w:val="3"/>
            <w:noWrap w:val="0"/>
            <w:vAlign w:val="center"/>
          </w:tcPr>
          <w:p>
            <w:pPr>
              <w:rPr>
                <w:rFonts w:hint="eastAsia" w:cs="宋体"/>
                <w:sz w:val="18"/>
                <w:szCs w:val="21"/>
              </w:rPr>
            </w:pPr>
          </w:p>
        </w:tc>
        <w:tc>
          <w:tcPr>
            <w:tcW w:w="2126" w:type="dxa"/>
            <w:noWrap w:val="0"/>
            <w:vAlign w:val="center"/>
          </w:tcPr>
          <w:p>
            <w:pPr>
              <w:rPr>
                <w:rFonts w:hint="eastAsia" w:cs="宋体"/>
                <w:sz w:val="18"/>
                <w:szCs w:val="21"/>
              </w:rPr>
            </w:pPr>
            <w:bookmarkStart w:id="7" w:name="_GoBack"/>
            <w:bookmarkEnd w:id="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4" w:hRule="atLeast"/>
          <w:jc w:val="center"/>
        </w:trPr>
        <w:tc>
          <w:tcPr>
            <w:tcW w:w="4382" w:type="dxa"/>
            <w:gridSpan w:val="3"/>
            <w:noWrap w:val="0"/>
            <w:vAlign w:val="center"/>
          </w:tcPr>
          <w:p>
            <w:pPr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21"/>
              </w:rPr>
              <w:t>检查人员签名：</w:t>
            </w:r>
          </w:p>
        </w:tc>
        <w:tc>
          <w:tcPr>
            <w:tcW w:w="4194" w:type="dxa"/>
            <w:gridSpan w:val="4"/>
            <w:noWrap w:val="0"/>
            <w:vAlign w:val="center"/>
          </w:tcPr>
          <w:p>
            <w:pPr>
              <w:rPr>
                <w:rFonts w:hint="eastAsia" w:cs="宋体"/>
                <w:sz w:val="18"/>
                <w:szCs w:val="21"/>
              </w:rPr>
            </w:pPr>
            <w:r>
              <w:rPr>
                <w:rFonts w:hint="eastAsia" w:cs="宋体"/>
                <w:sz w:val="18"/>
                <w:szCs w:val="21"/>
              </w:rPr>
              <w:t>签收人：</w:t>
            </w:r>
          </w:p>
        </w:tc>
      </w:tr>
    </w:tbl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 w:hAnsi="宋体"/>
          <w:b/>
          <w:szCs w:val="21"/>
        </w:rPr>
      </w:pPr>
    </w:p>
    <w:p>
      <w:pPr>
        <w:widowControl/>
        <w:spacing w:line="360" w:lineRule="auto"/>
        <w:ind w:firstLine="422" w:firstLineChars="20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 w:hAnsi="宋体"/>
          <w:b/>
          <w:szCs w:val="21"/>
        </w:rPr>
        <w:t>附：现场问题照片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drawing>
                <wp:inline distT="0" distB="0" distL="114300" distR="114300">
                  <wp:extent cx="2564765" cy="3420110"/>
                  <wp:effectExtent l="0" t="0" r="635" b="8890"/>
                  <wp:docPr id="2" name="图片 2" descr="微信图片_201908140957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微信图片_2019081409573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765" cy="342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drawing>
                <wp:inline distT="0" distB="0" distL="114300" distR="114300">
                  <wp:extent cx="2564765" cy="3420110"/>
                  <wp:effectExtent l="0" t="0" r="635" b="8890"/>
                  <wp:docPr id="3" name="图片 3" descr="2756005a945b218a49e844178620b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756005a945b218a49e844178620b7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765" cy="342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杂料随意堆放未及时清理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临时用电电源线随意拉放无任何保护措施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drawing>
                <wp:inline distT="0" distB="0" distL="114300" distR="114300">
                  <wp:extent cx="2564765" cy="3420110"/>
                  <wp:effectExtent l="0" t="0" r="635" b="8890"/>
                  <wp:docPr id="4" name="图片 4" descr="9e5951fbf838c13b3c7c4691519472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9e5951fbf838c13b3c7c4691519472a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765" cy="342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drawing>
                <wp:inline distT="0" distB="0" distL="114300" distR="114300">
                  <wp:extent cx="2564765" cy="3420110"/>
                  <wp:effectExtent l="0" t="0" r="635" b="8890"/>
                  <wp:docPr id="5" name="图片 5" descr="6fab1c6559cc77364f65b542cc2bc2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6fab1c6559cc77364f65b542cc2bc2e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765" cy="342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危险品仓库不符合相关要求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砂石料未搭建材料隔离区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drawing>
                <wp:inline distT="0" distB="0" distL="114300" distR="114300">
                  <wp:extent cx="2564765" cy="3420110"/>
                  <wp:effectExtent l="0" t="0" r="635" b="8890"/>
                  <wp:docPr id="10" name="图片 10" descr="0bc50b1c155d379abc1a280b6316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0bc50b1c155d379abc1a280b631660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765" cy="342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drawing>
                <wp:inline distT="0" distB="0" distL="114300" distR="114300">
                  <wp:extent cx="2564765" cy="3420110"/>
                  <wp:effectExtent l="0" t="0" r="635" b="8890"/>
                  <wp:docPr id="11" name="图片 11" descr="04b6265c45c63ad06952df67b1a02a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04b6265c45c63ad06952df67b1a02aa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765" cy="342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材料堆放区不符合相关要求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事故油池上随意堆放构件、杂料。成品保护不到位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drawing>
                <wp:inline distT="0" distB="0" distL="114300" distR="114300">
                  <wp:extent cx="2564765" cy="3420110"/>
                  <wp:effectExtent l="0" t="0" r="635" b="8890"/>
                  <wp:docPr id="12" name="图片 12" descr="f6f5ccc66858f0d7824f6a1ecd0d02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f6f5ccc66858f0d7824f6a1ecd0d02d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765" cy="342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基坑未使用硬质围栏围住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034D2C"/>
    <w:rsid w:val="64414796"/>
    <w:rsid w:val="66062D5F"/>
    <w:rsid w:val="71F232D5"/>
    <w:rsid w:val="750F0C3E"/>
    <w:rsid w:val="76ED4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jc w:val="both"/>
    </w:pPr>
    <w:rPr>
      <w:rFonts w:ascii="宋体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kern w:val="0"/>
      <w:sz w:val="32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6">
    <w:name w:val="附表头"/>
    <w:basedOn w:val="1"/>
    <w:uiPriority w:val="0"/>
    <w:pPr>
      <w:topLinePunct/>
      <w:autoSpaceDE/>
      <w:autoSpaceDN/>
      <w:spacing w:before="160" w:beforeLines="0" w:beforeAutospacing="0" w:after="60" w:afterLines="0" w:afterAutospacing="0"/>
      <w:jc w:val="center"/>
    </w:pPr>
    <w:rPr>
      <w:rFonts w:ascii="Times New Roman" w:hAnsi="黑体" w:eastAsia="黑体"/>
      <w:kern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2019-06-18T07:31:00Z</dcterms:created>
  <dc:creator>Administrator</dc:creator>
  <cp:lastModifiedBy>1413440231</cp:lastModifiedBy>
  <cp:lastPrinted>2019-08-14T02:08:56Z</cp:lastPrinted>
  <dcterms:modified xsi:type="dcterms:W3CDTF">2019-08-14T02:16:52Z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