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86878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1. Вступ та тема</w:t>
      </w:r>
    </w:p>
    <w:p w14:paraId="769CA7EB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«Доброго дня, шановні присутні! Сьогодні ми звернемося до однієї з найглибших і найвпливовіших філософських течій XX століття — екзистенціалізму. Тема нашої доповіді: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"Проблеми людини та її свободи в філософії екзистенціалізму"</w:t>
      </w:r>
      <w:r w:rsidRPr="002F7865">
        <w:rPr>
          <w:rFonts w:eastAsia="Times New Roman" w:cs="Times New Roman"/>
          <w:sz w:val="24"/>
          <w:szCs w:val="24"/>
          <w:lang w:eastAsia="uk-UA"/>
        </w:rPr>
        <w:t>. Ми розберемо, чому свобода в екзистенціалізмі — це не легкий привілей, а відповідальний і часом драматичний вибір кожного з нас.»</w:t>
      </w:r>
    </w:p>
    <w:p w14:paraId="72E2EAF6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2. Контекст виникнення екзистенціалізму</w:t>
      </w:r>
    </w:p>
    <w:p w14:paraId="065CE4AB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>«Екзистенціалізм виник у першій половині XX століття — епосі двох світових війн, руйнування тоталітарних ідеологій та глибокої кризи класичного раціоналізму. Коли зовнішній світ утратив стабільність, філософи звернули погляд на "екзистенцію" — індивідуальне, безпосереднє проживання людиною власного буття. Це філософія не про абстрактні категорії, а про реальну людину у конкретних життєвих обставинах.»</w:t>
      </w:r>
    </w:p>
    <w:p w14:paraId="34BD2CFE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3. «Існування передує сутності»</w:t>
      </w:r>
    </w:p>
    <w:p w14:paraId="5873E0F1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«Ключова формула екзистенціалізму, сформульована Жана-Полем Сартром, звучить так: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"Існування передує сутності"</w:t>
      </w:r>
      <w:r w:rsidRPr="002F7865">
        <w:rPr>
          <w:rFonts w:eastAsia="Times New Roman" w:cs="Times New Roman"/>
          <w:sz w:val="24"/>
          <w:szCs w:val="24"/>
          <w:lang w:eastAsia="uk-UA"/>
        </w:rPr>
        <w:t>. Класична філософія вважала, що спочатку є задум (сутність людини), а потім її створення. Екзистенціалізм стверджує зворотне: людина спочатку просто з'являється у світі, опиняється у ньому, і лише потім — через свої дії, вибори та вчинки — створює свою сутність та визначає, ким вона є.»</w:t>
      </w:r>
    </w:p>
    <w:p w14:paraId="70896121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Слайд 4. </w:t>
      </w:r>
      <w:proofErr w:type="spellStart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Сьорен</w:t>
      </w:r>
      <w:proofErr w:type="spellEnd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К'єркегор</w:t>
      </w:r>
      <w:proofErr w:type="spellEnd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— предтеча екзистенціалізму</w:t>
      </w:r>
    </w:p>
    <w:p w14:paraId="61601830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«Коріння екзистенціалізму сягає XIX століття. Данський філософ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Сьорен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К'єркегор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першим звернув увагу на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екзистенційний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страх (тривогу) як результат усвідомлення людиною своєї безмежної свободи. У праці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"Або-Або"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він показав, що людина постійно перебуває перед неминучістю рішення, і саме цей вибір формує її індивідуальну душевну та духовну зрілість.»</w:t>
      </w:r>
    </w:p>
    <w:p w14:paraId="3E8CC42D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5. Фрідріх Ніцше — криза цінностей та автономія</w:t>
      </w:r>
    </w:p>
    <w:p w14:paraId="394ECAEA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«Іншим передвісником став Фрідріх Ніцше. Він проголосив крах традиційних моральних засад та авторитетів. За Ніцше, коли зовнішні орієнтири зникають, людина змушена виявити "волю до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самотворення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>" — відмовитися від пасивного слідування за натовпом і самостійно сформувати власну систему цінностей.»</w:t>
      </w:r>
    </w:p>
    <w:p w14:paraId="1ECB414F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6. Розквіт французького екзистенціалізму</w:t>
      </w:r>
    </w:p>
    <w:p w14:paraId="7695466B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«Найвищого розквіту та популярності екзистенціалізм досяг у Франції в середині XX століття. Жан-Поль Сартр, Альбер Камю та Симона де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Бовуар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зробили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екзистенційні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ідеї не лише філософською теорією, а й надбанням художньої літератури, театру та публіцистики.»</w:t>
      </w:r>
    </w:p>
    <w:p w14:paraId="57BB6517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7. Жан-Поль Сартр та приреченість на свободу</w:t>
      </w:r>
    </w:p>
    <w:p w14:paraId="4B2204B0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«Сартр висловив відому парадоксальну думку: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"Людина приречена бути вільною"</w:t>
      </w:r>
      <w:r w:rsidRPr="002F7865">
        <w:rPr>
          <w:rFonts w:eastAsia="Times New Roman" w:cs="Times New Roman"/>
          <w:sz w:val="24"/>
          <w:szCs w:val="24"/>
          <w:lang w:eastAsia="uk-UA"/>
        </w:rPr>
        <w:t>. Чому приречена? Тому що ми не обирали сам факт свого народження, але, опинившись у світі, ми не можемо відмовитися від вибору. Навіть відмова від вибору — це теж вибір. Сартр критикує "несумлінність" або самообман — стан, коли людина виправдовує свої помилки обставинами чи іншими людьми.»</w:t>
      </w:r>
    </w:p>
    <w:p w14:paraId="731AABE7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lastRenderedPageBreak/>
        <w:t xml:space="preserve">Слайд 8. Тривога, </w:t>
      </w:r>
      <w:proofErr w:type="spellStart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покинутість</w:t>
      </w:r>
      <w:proofErr w:type="spellEnd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і тотальна відповідальність</w:t>
      </w:r>
    </w:p>
    <w:p w14:paraId="6141A032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>«Абсолютна свобода тягне за собою абсолютну відповідальність. Якщо немає Бога чи заздалегідь написаного сценарію (стан "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покинутості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"), людина відповідає за кожен свій крок на 100%. Більше того, обираючи свій шлях, людина декларує образ того, яким має бути людство. Саме це усвідомлення народжує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екзистенційну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тривогу.»</w:t>
      </w:r>
    </w:p>
    <w:p w14:paraId="2DAB91EE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9. Альбер Камю та філософія абсурду</w:t>
      </w:r>
    </w:p>
    <w:p w14:paraId="2A0A234A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«Альбер Камю аналізує стан "абсурду" — глибокого розриву між прагненням людини до сенсу, порядку та справедливості, і мовчазним, байдужим Всесвітом. У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"Міфі про Сізіфа"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Камю порівнює людське життя з покаранням Сізіфа, який вічно котить камінь на гору. Проте Камю підкреслює: якщо Сізіф усвідомлює свою долю і приймає її, він стає вищим за свій камінь і здобуває внутрішню свободу.»</w:t>
      </w:r>
    </w:p>
    <w:p w14:paraId="61F8A0D4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10. Бунт як основа людської гідності</w:t>
      </w:r>
    </w:p>
    <w:p w14:paraId="1A3EC1C8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«Відповіддю Камю на абсурд є не самогубство (яке є втечею), а бунт. У праці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"Бунтівна людина"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він формулює принцип: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"Я бунтую, отже, ми існуємо"</w:t>
      </w:r>
      <w:r w:rsidRPr="002F7865">
        <w:rPr>
          <w:rFonts w:eastAsia="Times New Roman" w:cs="Times New Roman"/>
          <w:sz w:val="24"/>
          <w:szCs w:val="24"/>
          <w:lang w:eastAsia="uk-UA"/>
        </w:rPr>
        <w:t>. Бунт проти абсурду, беззмістовності та несправедливості є виявом людської гідності та заснований на солідарності з іншими людьми.»</w:t>
      </w:r>
    </w:p>
    <w:p w14:paraId="749CC42F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Слайд 11. Симона де </w:t>
      </w:r>
      <w:proofErr w:type="spellStart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Бовуар</w:t>
      </w:r>
      <w:proofErr w:type="spellEnd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— свобода та взаємозалежність</w:t>
      </w:r>
    </w:p>
    <w:p w14:paraId="3D1F378F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«Симона де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Бовуар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розширила екзистенціалізм у соціальну та етичну площину. Вона доводила, що людина не може бути вільною самотньо: моя свобода потребує свободи інших людей. У своїй знаменитій праці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"Друга стать"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вона продемонструвала, як соціальні конструкти обмежують людину, і заявила: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"Жінкою не народжуються, нею стають"</w:t>
      </w:r>
      <w:r w:rsidRPr="002F7865">
        <w:rPr>
          <w:rFonts w:eastAsia="Times New Roman" w:cs="Times New Roman"/>
          <w:sz w:val="24"/>
          <w:szCs w:val="24"/>
          <w:lang w:eastAsia="uk-UA"/>
        </w:rPr>
        <w:t>, підкреслюючи пріоритет особистого вибору над нав'язаними ролями.»</w:t>
      </w:r>
    </w:p>
    <w:p w14:paraId="71A345C8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12. Релігійний та атеїстичний екзистенціалізм</w:t>
      </w:r>
    </w:p>
    <w:p w14:paraId="1FB90BE2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>«Важливо розрізняти два основні напрями. Релігійний екзистенціалізм (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К'єркегор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Ясперс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, Марсель) вбачає вихід з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екзистенційної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тривоги у "стрибку віри" та зв'язку з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Богoм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. Атеїстичний екзистенціалізм (Сартр, Камю) виходить із того, що Бога немає, а отже, людина є єдиним творцем моральних цінностей і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сенсів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 xml:space="preserve"> у Всесвіті.»</w:t>
      </w:r>
    </w:p>
    <w:p w14:paraId="1909AB41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Слайд 13. Ключові </w:t>
      </w:r>
      <w:proofErr w:type="spellStart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екзистенціали</w:t>
      </w:r>
      <w:proofErr w:type="spellEnd"/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людського буття</w:t>
      </w:r>
    </w:p>
    <w:p w14:paraId="22FBA166" w14:textId="77777777" w:rsidR="002F7865" w:rsidRPr="002F7865" w:rsidRDefault="002F7865" w:rsidP="002F7865">
      <w:pPr>
        <w:spacing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>«Екзистенціалісти ввели в науковий вжиток фундаментальні поняття:</w:t>
      </w:r>
    </w:p>
    <w:p w14:paraId="2A6B9628" w14:textId="77777777" w:rsidR="002F7865" w:rsidRPr="002F7865" w:rsidRDefault="002F7865" w:rsidP="002F78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Відчуження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— втрата зв'язку з власною сутністю.</w:t>
      </w:r>
    </w:p>
    <w:p w14:paraId="7C6C36AC" w14:textId="77777777" w:rsidR="002F7865" w:rsidRPr="002F7865" w:rsidRDefault="002F7865" w:rsidP="002F78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Самітність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— первинний стан свідомості.</w:t>
      </w:r>
    </w:p>
    <w:p w14:paraId="5E7A62E3" w14:textId="77777777" w:rsidR="002F7865" w:rsidRPr="002F7865" w:rsidRDefault="002F7865" w:rsidP="002F78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Погранична ситуація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(за Карлом </w:t>
      </w:r>
      <w:proofErr w:type="spellStart"/>
      <w:r w:rsidRPr="002F7865">
        <w:rPr>
          <w:rFonts w:eastAsia="Times New Roman" w:cs="Times New Roman"/>
          <w:sz w:val="24"/>
          <w:szCs w:val="24"/>
          <w:lang w:eastAsia="uk-UA"/>
        </w:rPr>
        <w:t>Ясперсом</w:t>
      </w:r>
      <w:proofErr w:type="spellEnd"/>
      <w:r w:rsidRPr="002F7865">
        <w:rPr>
          <w:rFonts w:eastAsia="Times New Roman" w:cs="Times New Roman"/>
          <w:sz w:val="24"/>
          <w:szCs w:val="24"/>
          <w:lang w:eastAsia="uk-UA"/>
        </w:rPr>
        <w:t>) — моменти кризи, перед обличчям смерті чи страждання, коли спадають маски і відкривається справжня суть.</w:t>
      </w:r>
    </w:p>
    <w:p w14:paraId="183088CA" w14:textId="77777777" w:rsidR="002F7865" w:rsidRPr="002F7865" w:rsidRDefault="002F7865" w:rsidP="002F7865">
      <w:pPr>
        <w:numPr>
          <w:ilvl w:val="0"/>
          <w:numId w:val="5"/>
        </w:numPr>
        <w:spacing w:before="100" w:beforeAutospacing="1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Автентичність</w:t>
      </w:r>
      <w:r w:rsidRPr="002F7865">
        <w:rPr>
          <w:rFonts w:eastAsia="Times New Roman" w:cs="Times New Roman"/>
          <w:sz w:val="24"/>
          <w:szCs w:val="24"/>
          <w:lang w:eastAsia="uk-UA"/>
        </w:rPr>
        <w:t xml:space="preserve"> — здатність жити за власними переконаннями, а не за указкою натовпу.»</w:t>
      </w:r>
    </w:p>
    <w:p w14:paraId="18FC7D8F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14. Актуальність екзистенціалізму у XXI столітті</w:t>
      </w:r>
    </w:p>
    <w:p w14:paraId="29699810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lastRenderedPageBreak/>
        <w:t>«Чому ця філософія актуальна сьогодні? У добу інформаційного шуму, алгоритмів соцмереж, глобальних військових та екологічних криз людина легко втрачає орієнтири. Екзистенціалізм повертає нам суб'єктність: він нагадує, що попри будь-які зовнішні хаотичні події, наш внутрішній вибір та людська гідність залишаються у наших власних руках.»</w:t>
      </w:r>
    </w:p>
    <w:p w14:paraId="52FB71BB" w14:textId="77777777" w:rsidR="002F7865" w:rsidRPr="002F7865" w:rsidRDefault="002F7865" w:rsidP="002F7865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2F7865">
        <w:rPr>
          <w:rFonts w:eastAsia="Times New Roman" w:cs="Times New Roman"/>
          <w:b/>
          <w:bCs/>
          <w:sz w:val="24"/>
          <w:szCs w:val="24"/>
          <w:lang w:eastAsia="uk-UA"/>
        </w:rPr>
        <w:t>Слайд 15. Підсумок</w:t>
      </w:r>
    </w:p>
    <w:p w14:paraId="1346FD8F" w14:textId="77777777" w:rsidR="002F7865" w:rsidRPr="002F7865" w:rsidRDefault="002F7865" w:rsidP="002F7865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2F7865">
        <w:rPr>
          <w:rFonts w:eastAsia="Times New Roman" w:cs="Times New Roman"/>
          <w:sz w:val="24"/>
          <w:szCs w:val="24"/>
          <w:lang w:eastAsia="uk-UA"/>
        </w:rPr>
        <w:t xml:space="preserve">«На завершення цитата Жана-Поля Сартра: </w:t>
      </w:r>
      <w:r w:rsidRPr="002F7865">
        <w:rPr>
          <w:rFonts w:eastAsia="Times New Roman" w:cs="Times New Roman"/>
          <w:i/>
          <w:iCs/>
          <w:sz w:val="24"/>
          <w:szCs w:val="24"/>
          <w:lang w:eastAsia="uk-UA"/>
        </w:rPr>
        <w:t>"Людина є нічим іншим, як її власним проектом, і вона існує лише настільки, наскільки реалізує себе"</w:t>
      </w:r>
      <w:r w:rsidRPr="002F7865">
        <w:rPr>
          <w:rFonts w:eastAsia="Times New Roman" w:cs="Times New Roman"/>
          <w:sz w:val="24"/>
          <w:szCs w:val="24"/>
          <w:lang w:eastAsia="uk-UA"/>
        </w:rPr>
        <w:t>. Свобода в екзистенціалізмі — це важкий, але єдиний гідний шлях стати автором власного життя. Дякую за увагу, і я з радістю відповім на ваші запитання!»</w:t>
      </w:r>
    </w:p>
    <w:p w14:paraId="0881515D" w14:textId="77777777" w:rsidR="001606B4" w:rsidRPr="002F7865" w:rsidRDefault="001606B4" w:rsidP="002F7865"/>
    <w:sectPr w:rsidR="001606B4" w:rsidRPr="002F7865" w:rsidSect="00D00790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14B66"/>
    <w:multiLevelType w:val="multilevel"/>
    <w:tmpl w:val="7CD6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C75B4"/>
    <w:multiLevelType w:val="multilevel"/>
    <w:tmpl w:val="BCC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D5594"/>
    <w:multiLevelType w:val="multilevel"/>
    <w:tmpl w:val="ABF0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5164E2C"/>
    <w:multiLevelType w:val="multilevel"/>
    <w:tmpl w:val="AC5E06E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E9"/>
    <w:rsid w:val="000356BE"/>
    <w:rsid w:val="001606B4"/>
    <w:rsid w:val="002611D7"/>
    <w:rsid w:val="002F7865"/>
    <w:rsid w:val="0031425A"/>
    <w:rsid w:val="006801BA"/>
    <w:rsid w:val="006C4123"/>
    <w:rsid w:val="006D0E5B"/>
    <w:rsid w:val="007F35AB"/>
    <w:rsid w:val="009A58E4"/>
    <w:rsid w:val="00C923E3"/>
    <w:rsid w:val="00CA19CC"/>
    <w:rsid w:val="00D00790"/>
    <w:rsid w:val="00DD4DE9"/>
    <w:rsid w:val="00E57E73"/>
    <w:rsid w:val="00FC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072B"/>
  <w15:chartTrackingRefBased/>
  <w15:docId w15:val="{7530F704-A8CE-41AB-97B3-BB088526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1D7"/>
    <w:pPr>
      <w:spacing w:after="0" w:line="360" w:lineRule="auto"/>
      <w:ind w:firstLine="709"/>
      <w:jc w:val="both"/>
    </w:pPr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F35AB"/>
    <w:pPr>
      <w:keepNext/>
      <w:keepLines/>
      <w:numPr>
        <w:numId w:val="2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F35AB"/>
    <w:pPr>
      <w:keepNext/>
      <w:keepLines/>
      <w:numPr>
        <w:ilvl w:val="1"/>
        <w:numId w:val="2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F35AB"/>
    <w:pPr>
      <w:keepNext/>
      <w:keepLines/>
      <w:numPr>
        <w:ilvl w:val="2"/>
        <w:numId w:val="3"/>
      </w:numPr>
      <w:spacing w:before="240" w:after="240"/>
      <w:ind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611D7"/>
    <w:pPr>
      <w:keepNext/>
      <w:keepLines/>
      <w:spacing w:before="480" w:after="480"/>
      <w:ind w:firstLine="0"/>
      <w:jc w:val="center"/>
      <w:outlineLvl w:val="3"/>
    </w:pPr>
    <w:rPr>
      <w:rFonts w:eastAsiaTheme="majorEastAsia" w:cstheme="majorBidi"/>
      <w:b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6D0E5B"/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7F35AB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F35A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7F35AB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611D7"/>
    <w:rPr>
      <w:rFonts w:ascii="Times New Roman" w:eastAsiaTheme="majorEastAsia" w:hAnsi="Times New Roman" w:cstheme="majorBidi"/>
      <w:b/>
      <w:iCs/>
      <w:caps/>
      <w:sz w:val="28"/>
    </w:rPr>
  </w:style>
  <w:style w:type="paragraph" w:styleId="a4">
    <w:name w:val="TOC Heading"/>
    <w:basedOn w:val="1"/>
    <w:next w:val="a"/>
    <w:autoRedefine/>
    <w:uiPriority w:val="39"/>
    <w:unhideWhenUsed/>
    <w:qFormat/>
    <w:rsid w:val="002611D7"/>
    <w:pPr>
      <w:numPr>
        <w:numId w:val="0"/>
      </w:numPr>
      <w:spacing w:before="0"/>
      <w:outlineLvl w:val="9"/>
    </w:pPr>
    <w:rPr>
      <w:lang w:eastAsia="uk-UA"/>
    </w:rPr>
  </w:style>
  <w:style w:type="paragraph" w:styleId="a5">
    <w:name w:val="Normal (Web)"/>
    <w:basedOn w:val="a"/>
    <w:uiPriority w:val="99"/>
    <w:semiHidden/>
    <w:unhideWhenUsed/>
    <w:rsid w:val="00DD4DE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3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8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0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50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2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3714</Words>
  <Characters>2118</Characters>
  <Application>Microsoft Office Word</Application>
  <DocSecurity>0</DocSecurity>
  <Lines>17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_NAVI</dc:creator>
  <cp:keywords/>
  <dc:description/>
  <cp:lastModifiedBy>MonSTeR _NAVI</cp:lastModifiedBy>
  <cp:revision>3</cp:revision>
  <dcterms:created xsi:type="dcterms:W3CDTF">2026-10-13T17:11:00Z</dcterms:created>
  <dcterms:modified xsi:type="dcterms:W3CDTF">2026-10-13T17:11:00Z</dcterms:modified>
</cp:coreProperties>
</file>