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BESS Input Cost Assumptions — Methodology and Sources</w:t>
      </w:r>
    </w:p>
    <w:p>
      <w:pPr>
        <w:pStyle w:val="Subtitle"/>
      </w:pPr>
      <w:r>
        <w:t xml:space="preserve">Senegal PyPSA-Earth model: recalibration of battery storage inputs against real-world benchmarks</w:t>
      </w:r>
    </w:p>
    <w:p>
      <w:pPr>
        <w:pStyle w:val="Date"/>
      </w:pPr>
      <w:r>
        <w:t xml:space="preserve">2026-08-18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The PyPSA-Earth pipeline sources battery energy storage system (BESS) input costs from the</w:t>
      </w:r>
      <w:r>
        <w:t xml:space="preserve"> </w:t>
      </w:r>
      <w:r>
        <w:rPr>
          <w:rStyle w:val="VerbatimChar"/>
        </w:rPr>
        <w:t xml:space="preserve">technology-data</w:t>
      </w:r>
      <w:r>
        <w:t xml:space="preserve"> </w:t>
      </w:r>
      <w:r>
        <w:t xml:space="preserve">project (v0.13.2), which in turn draws its battery figures from the Danish</w:t>
      </w:r>
      <w:r>
        <w:t xml:space="preserve"> </w:t>
      </w:r>
      <w:r>
        <w:t xml:space="preserve">Energy Agency’s (DEA)</w:t>
      </w:r>
      <w:r>
        <w:t xml:space="preserve"> </w:t>
      </w:r>
      <w:r>
        <w:rPr>
          <w:i/>
          <w:iCs/>
        </w:rPr>
        <w:t xml:space="preserve">Technology Data Catalogue for Energy Storage</w:t>
      </w:r>
      <w:r>
        <w:t xml:space="preserve">. This document records</w:t>
      </w:r>
      <w:r>
        <w:t xml:space="preserve"> </w:t>
      </w:r>
      <w:r>
        <w:t xml:space="preserve">why and how those default assumptions were checked against independent real-world benchmarks,</w:t>
      </w:r>
      <w:r>
        <w:t xml:space="preserve"> </w:t>
      </w:r>
      <w:r>
        <w:t xml:space="preserve">what was found, what was changed, and what genuine software bugs were uncovered and fixed</w:t>
      </w:r>
      <w:r>
        <w:t xml:space="preserve"> </w:t>
      </w:r>
      <w:r>
        <w:t xml:space="preserve">along the way (distinct from the calibration changes).</w:t>
      </w:r>
    </w:p>
    <w:p>
      <w:pPr>
        <w:pStyle w:val="BodyText"/>
      </w:pPr>
      <w:r>
        <w:t xml:space="preserve">Two types of BESS representation exist in the model and are both affected by everything</w:t>
      </w:r>
      <w:r>
        <w:t xml:space="preserve"> </w:t>
      </w:r>
      <w:r>
        <w:t xml:space="preserve">below: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Existing/committed capacity</w:t>
      </w:r>
      <w:r>
        <w:t xml:space="preserve"> </w:t>
      </w:r>
      <w:r>
        <w:t xml:space="preserve">— modelled as a</w:t>
      </w:r>
      <w:r>
        <w:t xml:space="preserve"> </w:t>
      </w:r>
      <w:r>
        <w:rPr>
          <w:rStyle w:val="VerbatimChar"/>
        </w:rPr>
        <w:t xml:space="preserve">StorageUnit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add_electricity.py</w:t>
      </w:r>
      <w:r>
        <w:t xml:space="preserve">,</w:t>
      </w:r>
      <w:r>
        <w:t xml:space="preserve"> </w:t>
      </w:r>
      <w:r>
        <w:t xml:space="preserve">sourced from</w:t>
      </w:r>
      <w:r>
        <w:t xml:space="preserve"> </w:t>
      </w:r>
      <w:r>
        <w:rPr>
          <w:rStyle w:val="VerbatimChar"/>
        </w:rPr>
        <w:t xml:space="preserve">powerplants.csv</w:t>
      </w:r>
      <w:r>
        <w:t xml:space="preserve"> </w:t>
      </w:r>
      <w:r>
        <w:t xml:space="preserve">(Senegal’s real, already-installed battery projects).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New-build/endogenous capacity</w:t>
      </w:r>
      <w:r>
        <w:t xml:space="preserve"> </w:t>
      </w:r>
      <w:r>
        <w:t xml:space="preserve">— modelled as a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plus a charger/discharger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pair in</w:t>
      </w:r>
      <w:r>
        <w:t xml:space="preserve"> </w:t>
      </w:r>
      <w:r>
        <w:rPr>
          <w:rStyle w:val="VerbatimChar"/>
        </w:rPr>
        <w:t xml:space="preserve">add_extra_components.py</w:t>
      </w:r>
      <w:r>
        <w:t xml:space="preserve">, sized by the optimizer.</w:t>
      </w:r>
    </w:p>
    <w:p>
      <w:pPr>
        <w:pStyle w:val="FirstParagraph"/>
      </w:pPr>
      <w:r>
        <w:t xml:space="preserve">All input parameters below are set via</w:t>
      </w:r>
      <w:r>
        <w:t xml:space="preserve"> </w:t>
      </w:r>
      <w:r>
        <w:rPr>
          <w:rStyle w:val="VerbatimChar"/>
        </w:rPr>
        <w:t xml:space="preserve">costs:</w:t>
      </w:r>
      <w:r>
        <w:t xml:space="preserve"> </w:t>
      </w:r>
      <w:r>
        <w:t xml:space="preserve">overrides in each scenario’s config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config.uc_bess_{year}.yaml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config.uc_no_bess_{year}.yaml</w:t>
      </w:r>
      <w:r>
        <w:t xml:space="preserve">), which flow through</w:t>
      </w:r>
      <w:r>
        <w:t xml:space="preserve"> </w:t>
      </w:r>
      <w:r>
        <w:rPr>
          <w:rStyle w:val="VerbatimChar"/>
        </w:rPr>
        <w:t xml:space="preserve">process_cost_data.py</w:t>
      </w:r>
      <w:r>
        <w:t xml:space="preserve">’s cost-processing pipeline into both representations identically</w:t>
      </w:r>
      <w:r>
        <w:t xml:space="preserve"> </w:t>
      </w:r>
      <w:r>
        <w:t xml:space="preserve">(after the architecture fixes described in Section 6).</w:t>
      </w:r>
    </w:p>
    <w:p>
      <w:r>
        <w:pict>
          <v:rect style="width:0;height:1.5pt" o:hralign="center" o:hrstd="t" o:hr="t"/>
        </w:pict>
      </w:r>
    </w:p>
    <w:bookmarkEnd w:id="9"/>
    <w:bookmarkStart w:id="14" w:name="capex-investment-cost"/>
    <w:p>
      <w:pPr>
        <w:pStyle w:val="Heading1"/>
      </w:pPr>
      <w:r>
        <w:t xml:space="preserve">2. CapEx (investment cost)</w:t>
      </w:r>
    </w:p>
    <w:bookmarkStart w:id="10" w:name="default-deatechnology-data"/>
    <w:p>
      <w:pPr>
        <w:pStyle w:val="Heading2"/>
      </w:pPr>
      <w:r>
        <w:t xml:space="preserve">2.1 Default (DEA/technology-data)</w:t>
      </w:r>
    </w:p>
    <w:p>
      <w:pPr>
        <w:pStyle w:val="FirstParagraph"/>
      </w:pPr>
      <w:r>
        <w:t xml:space="preserve">The DEA catalogue reports two separate cost components: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battery inverter</w:t>
      </w:r>
      <w:r>
        <w:t xml:space="preserve"> </w:t>
      </w:r>
      <w:r>
        <w:t xml:space="preserve">— the power-conversion hardware, €/kW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battery storage</w:t>
      </w:r>
      <w:r>
        <w:t xml:space="preserve"> </w:t>
      </w:r>
      <w:r>
        <w:t xml:space="preserve">— the energy-storage medium (cells, racks, enclosure), €/kWh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inverter (€/kW)</w:t>
            </w:r>
          </w:p>
        </w:tc>
        <w:tc>
          <w:tcPr/>
          <w:p>
            <w:pPr>
              <w:pStyle w:val="Compact"/>
            </w:pPr>
            <w:r>
              <w:t xml:space="preserve">storage (€/kWh)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228.63</w:t>
            </w:r>
          </w:p>
        </w:tc>
        <w:tc>
          <w:tcPr/>
          <w:p>
            <w:pPr>
              <w:pStyle w:val="Compact"/>
            </w:pPr>
            <w:r>
              <w:t xml:space="preserve">198.86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170.14</w:t>
            </w:r>
          </w:p>
        </w:tc>
        <w:tc>
          <w:tcPr/>
          <w:p>
            <w:pPr>
              <w:pStyle w:val="Compact"/>
            </w:pPr>
            <w:r>
              <w:t xml:space="preserve">151.00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2035</w:t>
            </w:r>
          </w:p>
        </w:tc>
        <w:tc>
          <w:tcPr/>
          <w:p>
            <w:pPr>
              <w:pStyle w:val="Compact"/>
            </w:pPr>
            <w:r>
              <w:t xml:space="preserve">138.24</w:t>
            </w:r>
          </w:p>
        </w:tc>
        <w:tc>
          <w:tcPr/>
          <w:p>
            <w:pPr>
              <w:pStyle w:val="Compact"/>
            </w:pPr>
            <w:r>
              <w:t xml:space="preserve">125.48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2040</w:t>
            </w:r>
          </w:p>
        </w:tc>
        <w:tc>
          <w:tcPr/>
          <w:p>
            <w:pPr>
              <w:pStyle w:val="Compact"/>
            </w:pPr>
            <w:r>
              <w:t xml:space="preserve">106.34</w:t>
            </w:r>
          </w:p>
        </w:tc>
        <w:tc>
          <w:tcPr/>
          <w:p>
            <w:pPr>
              <w:pStyle w:val="Compact"/>
            </w:pPr>
            <w:r>
              <w:t xml:space="preserve">99.96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2045</w:t>
            </w:r>
          </w:p>
        </w:tc>
        <w:tc>
          <w:tcPr/>
          <w:p>
            <w:pPr>
              <w:pStyle w:val="Compact"/>
            </w:pPr>
            <w:r>
              <w:t xml:space="preserve">85.07</w:t>
            </w:r>
          </w:p>
        </w:tc>
        <w:tc>
          <w:tcPr/>
          <w:p>
            <w:pPr>
              <w:pStyle w:val="Compact"/>
            </w:pPr>
            <w:r>
              <w:t xml:space="preserve">89.86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2050</w:t>
            </w:r>
          </w:p>
        </w:tc>
        <w:tc>
          <w:tcPr/>
          <w:p>
            <w:pPr>
              <w:pStyle w:val="Compact"/>
            </w:pPr>
            <w:r>
              <w:t xml:space="preserve">63.80</w:t>
            </w:r>
          </w:p>
        </w:tc>
        <w:tc>
          <w:tcPr/>
          <w:p>
            <w:pPr>
              <w:pStyle w:val="Compact"/>
            </w:pPr>
            <w:r>
              <w:t xml:space="preserve">79.76</w:t>
            </w:r>
          </w:p>
        </w:tc>
      </w:tr>
    </w:tbl>
    <w:bookmarkEnd w:id="10"/>
    <w:bookmarkStart w:id="11" w:name="benchmark-check"/>
    <w:p>
      <w:pPr>
        <w:pStyle w:val="Heading2"/>
      </w:pPr>
      <w:r>
        <w:t xml:space="preserve">2.2 Benchmark check</w:t>
      </w:r>
    </w:p>
    <w:p>
      <w:pPr>
        <w:pStyle w:val="FirstParagraph"/>
      </w:pPr>
      <w:r>
        <w:t xml:space="preserve">Two independent external sources were checked, both expressing cost as a single combined</w:t>
      </w:r>
      <w:r>
        <w:t xml:space="preserve"> </w:t>
      </w:r>
      <w:r>
        <w:t xml:space="preserve">€/kWh figure for a complete 4-hour utility-scale system: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NREL</w:t>
      </w:r>
      <w:r>
        <w:t xml:space="preserve">,</w:t>
      </w:r>
      <w:r>
        <w:t xml:space="preserve"> </w:t>
      </w:r>
      <w:r>
        <w:rPr>
          <w:i/>
          <w:iCs/>
        </w:rPr>
        <w:t xml:space="preserve">Cost Projections for Utility-Scale Battery Storage: 2025 Update</w:t>
      </w:r>
      <w:r>
        <w:t xml:space="preserve"> </w:t>
      </w:r>
      <w:r>
        <w:t xml:space="preserve">(Cole et al.</w:t>
      </w:r>
      <w:r>
        <w:t xml:space="preserve"> </w:t>
      </w:r>
      <w:r>
        <w:t xml:space="preserve">2025, NREL/TP-6A40-93281) — a US DOE-funded, bottom-up cost model, Low/Mid/High</w:t>
      </w:r>
      <w:r>
        <w:t xml:space="preserve"> </w:t>
      </w:r>
      <w:r>
        <w:t xml:space="preserve">trajectories, 2024–2060. Explicitly</w:t>
      </w:r>
      <w:r>
        <w:t xml:space="preserve"> </w:t>
      </w:r>
      <w:r>
        <w:rPr>
          <w:b/>
          <w:bCs/>
        </w:rPr>
        <w:t xml:space="preserve">US-centric</w:t>
      </w:r>
      <w:r>
        <w:t xml:space="preserve">: the underlying cost stack cites Section</w:t>
      </w:r>
      <w:r>
        <w:t xml:space="preserve"> </w:t>
      </w:r>
      <w:r>
        <w:t xml:space="preserve">301 import tariffs on Chinese-sourced cells/inverters/switchgear, US labour rates, US</w:t>
      </w:r>
      <w:r>
        <w:t xml:space="preserve"> </w:t>
      </w:r>
      <w:r>
        <w:t xml:space="preserve">electricity rates, US sales tax, UFLPA customs-compliance costs, and a partial offset from</w:t>
      </w:r>
      <w:r>
        <w:t xml:space="preserve"> </w:t>
      </w:r>
      <w:r>
        <w:t xml:space="preserve">the 45X US manufacturing tax credit.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Ember</w:t>
      </w:r>
      <w:r>
        <w:t xml:space="preserve">,</w:t>
      </w:r>
      <w:r>
        <w:t xml:space="preserve"> </w:t>
      </w:r>
      <w:r>
        <w:rPr>
          <w:i/>
          <w:iCs/>
        </w:rPr>
        <w:t xml:space="preserve">“How cheap is battery storage?”</w:t>
      </w:r>
      <w:r>
        <w:t xml:space="preserve"> </w:t>
      </w:r>
      <w:r>
        <w:t xml:space="preserve">(Dec 2025) — a</w:t>
      </w:r>
      <w:r>
        <w:t xml:space="preserve"> </w:t>
      </w:r>
      <w:r>
        <w:rPr>
          <w:b/>
          <w:bCs/>
        </w:rPr>
        <w:t xml:space="preserve">current-cost snapshot</w:t>
      </w:r>
      <w:r>
        <w:t xml:space="preserve"> </w:t>
      </w:r>
      <w:r>
        <w:t xml:space="preserve">(not a multi-year forecast) based on real project data: recent auction results in Saudi</w:t>
      </w:r>
      <w:r>
        <w:t xml:space="preserve"> </w:t>
      </w:r>
      <w:r>
        <w:t xml:space="preserve">Arabia, India, and Italy, plus October 2025 industry expert interviews. Reports regional</w:t>
      </w:r>
      <w:r>
        <w:t xml:space="preserve"> </w:t>
      </w:r>
      <w:r>
        <w:t xml:space="preserve">figures for a 4h+ system: China ~$73/kWh,</w:t>
      </w:r>
      <w:r>
        <w:t xml:space="preserve"> </w:t>
      </w:r>
      <w:r>
        <w:rPr>
          <w:b/>
          <w:bCs/>
        </w:rPr>
        <w:t xml:space="preserve">rest-of-world (excl. China/US) ~$125/kWh</w:t>
      </w:r>
      <w:r>
        <w:t xml:space="preserve"> </w:t>
      </w:r>
      <w:r>
        <w:t xml:space="preserve">($75/kWh core equipment + $50/kWh install &amp; connect), Europe ~$177/kWh, US ~$219/kWh.</w:t>
      </w:r>
    </w:p>
    <w:p>
      <w:pPr>
        <w:pStyle w:val="FirstParagraph"/>
      </w:pPr>
      <w:r>
        <w:t xml:space="preserve">The DEA-implied combined 4h-equivalent cost was found to run</w:t>
      </w:r>
      <w:r>
        <w:t xml:space="preserve"> </w:t>
      </w:r>
      <w:r>
        <w:rPr>
          <w:b/>
          <w:bCs/>
        </w:rPr>
        <w:t xml:space="preserve">14–42% above</w:t>
      </w:r>
      <w:r>
        <w:t xml:space="preserve"> </w:t>
      </w:r>
      <w:r>
        <w:t xml:space="preserve">NREL’s own</w:t>
      </w:r>
      <w:r>
        <w:t xml:space="preserve"> </w:t>
      </w:r>
      <w:r>
        <w:t xml:space="preserve">US-centric mid case (widening with year), and</w:t>
      </w:r>
      <w:r>
        <w:t xml:space="preserve"> </w:t>
      </w:r>
      <w:r>
        <w:rPr>
          <w:b/>
          <w:bCs/>
        </w:rPr>
        <w:t xml:space="preserve">more than double</w:t>
      </w:r>
      <w:r>
        <w:t xml:space="preserve"> </w:t>
      </w:r>
      <w:r>
        <w:t xml:space="preserve">Ember’s rest-of-world</w:t>
      </w:r>
      <w:r>
        <w:t xml:space="preserve"> </w:t>
      </w:r>
      <w:r>
        <w:t xml:space="preserve">figure — the most comparable regional basis to Senegal, since it excludes both China’s</w:t>
      </w:r>
      <w:r>
        <w:t xml:space="preserve"> </w:t>
      </w:r>
      <w:r>
        <w:t xml:space="preserve">uniquely subsidised domestic supply chain and the US’s tariff/trade-policy loadings that</w:t>
      </w:r>
      <w:r>
        <w:t xml:space="preserve"> </w:t>
      </w:r>
      <w:r>
        <w:t xml:space="preserve">don’t apply here.</w:t>
      </w:r>
    </w:p>
    <w:bookmarkEnd w:id="11"/>
    <w:bookmarkStart w:id="12" w:name="methodology-ember-anchored-recalibration"/>
    <w:p>
      <w:pPr>
        <w:pStyle w:val="Heading2"/>
      </w:pPr>
      <w:r>
        <w:t xml:space="preserve">2.3 Methodology: Ember-anchored recalibration</w:t>
      </w:r>
    </w:p>
    <w:p>
      <w:pPr>
        <w:pStyle w:val="FirstParagraph"/>
      </w:pPr>
      <w:r>
        <w:t xml:space="preserve">Ember reports a single current-year (2025) figure with no published multi-year trajectory.</w:t>
      </w:r>
      <w:r>
        <w:t xml:space="preserve"> </w:t>
      </w:r>
      <w:r>
        <w:t xml:space="preserve">The correction therefore combines both sources:</w:t>
      </w:r>
    </w:p>
    <w:p>
      <w:pPr>
        <w:pStyle w:val="Compact"/>
        <w:numPr>
          <w:ilvl w:val="0"/>
          <w:numId w:val="1004"/>
        </w:numPr>
      </w:pPr>
      <w:r>
        <w:t xml:space="preserve">Take NREL’s own Low/Mid/High year-on-year</w:t>
      </w:r>
      <w:r>
        <w:t xml:space="preserve"> </w:t>
      </w:r>
      <w:r>
        <w:rPr>
          <w:b/>
          <w:bCs/>
        </w:rPr>
        <w:t xml:space="preserve">decline shape</w:t>
      </w:r>
      <w:r>
        <w:t xml:space="preserve">, normalised to 1.0 at 2025.</w:t>
      </w:r>
    </w:p>
    <w:p>
      <w:pPr>
        <w:pStyle w:val="Compact"/>
        <w:numPr>
          <w:ilvl w:val="0"/>
          <w:numId w:val="1004"/>
        </w:numPr>
      </w:pPr>
      <w:r>
        <w:t xml:space="preserve">Apply that shape to Ember’s lower, regionally-relevant 2025 level ($125/kWh) instead of</w:t>
      </w:r>
      <w:r>
        <w:t xml:space="preserve"> </w:t>
      </w:r>
      <w:r>
        <w:t xml:space="preserve">NREL’s own (higher, US-centric) 2025 starting value.</w:t>
      </w:r>
    </w:p>
    <w:p>
      <w:pPr>
        <w:pStyle w:val="Compact"/>
        <w:numPr>
          <w:ilvl w:val="0"/>
          <w:numId w:val="1004"/>
        </w:numPr>
      </w:pPr>
      <w:r>
        <w:t xml:space="preserve">Split the resulting combined €/kWh figure back into separate inverter (€/kW) and storage</w:t>
      </w:r>
      <w:r>
        <w:t xml:space="preserve"> </w:t>
      </w:r>
      <w:r>
        <w:t xml:space="preserve">(€/kWh) prices, using</w:t>
      </w:r>
      <w:r>
        <w:t xml:space="preserve"> </w:t>
      </w:r>
      <w:r>
        <w:rPr>
          <w:b/>
          <w:bCs/>
        </w:rPr>
        <w:t xml:space="preserve">this model’s own DEA-implied power/energy cost ratio</w:t>
      </w:r>
      <w:r>
        <w:t xml:space="preserve"> </w:t>
      </w:r>
      <w:r>
        <w:t xml:space="preserve">(so the</w:t>
      </w:r>
      <w:r>
        <w:t xml:space="preserve"> </w:t>
      </w:r>
      <w:r>
        <w:rPr>
          <w:i/>
          <w:iCs/>
        </w:rPr>
        <w:t xml:space="preserve">split logic</w:t>
      </w:r>
      <w:r>
        <w:t xml:space="preserve"> </w:t>
      </w:r>
      <w:r>
        <w:t xml:space="preserve">— how much of total cost is power hardware vs. energy hardware — is</w:t>
      </w:r>
      <w:r>
        <w:t xml:space="preserve"> </w:t>
      </w:r>
      <w:r>
        <w:t xml:space="preserve">unchanged; only the overall price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is corrected) at the same 4-hour duration basis</w:t>
      </w:r>
      <w:r>
        <w:t xml:space="preserve"> </w:t>
      </w:r>
      <w:r>
        <w:t xml:space="preserve">Ember’s figure is defined for.</w:t>
      </w:r>
    </w:p>
    <w:bookmarkEnd w:id="12"/>
    <w:bookmarkStart w:id="13" w:name="final-values-applied"/>
    <w:p>
      <w:pPr>
        <w:pStyle w:val="Heading2"/>
      </w:pPr>
      <w:r>
        <w:t xml:space="preserve">2.4 Final values (applied)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inverter (€/MW)</w:t>
            </w:r>
          </w:p>
        </w:tc>
        <w:tc>
          <w:tcPr/>
          <w:p>
            <w:pPr>
              <w:pStyle w:val="Compact"/>
            </w:pPr>
            <w:r>
              <w:t xml:space="preserve">storage (€/MWh)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88,437</w:t>
            </w:r>
          </w:p>
        </w:tc>
        <w:tc>
          <w:tcPr/>
          <w:p>
            <w:pPr>
              <w:pStyle w:val="Compact"/>
            </w:pPr>
            <w:r>
              <w:t xml:space="preserve">78,488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2035</w:t>
            </w:r>
          </w:p>
        </w:tc>
        <w:tc>
          <w:tcPr/>
          <w:p>
            <w:pPr>
              <w:pStyle w:val="Compact"/>
            </w:pPr>
            <w:r>
              <w:t xml:space="preserve">75,682</w:t>
            </w:r>
          </w:p>
        </w:tc>
        <w:tc>
          <w:tcPr/>
          <w:p>
            <w:pPr>
              <w:pStyle w:val="Compact"/>
            </w:pPr>
            <w:r>
              <w:t xml:space="preserve">68,696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2040</w:t>
            </w:r>
          </w:p>
        </w:tc>
        <w:tc>
          <w:tcPr/>
          <w:p>
            <w:pPr>
              <w:pStyle w:val="Compact"/>
            </w:pPr>
            <w:r>
              <w:t xml:space="preserve">66,962</w:t>
            </w:r>
          </w:p>
        </w:tc>
        <w:tc>
          <w:tcPr/>
          <w:p>
            <w:pPr>
              <w:pStyle w:val="Compact"/>
            </w:pPr>
            <w:r>
              <w:t xml:space="preserve">62,944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2045</w:t>
            </w:r>
          </w:p>
        </w:tc>
        <w:tc>
          <w:tcPr/>
          <w:p>
            <w:pPr>
              <w:pStyle w:val="Compact"/>
            </w:pPr>
            <w:r>
              <w:t xml:space="preserve">55,206</w:t>
            </w:r>
          </w:p>
        </w:tc>
        <w:tc>
          <w:tcPr/>
          <w:p>
            <w:pPr>
              <w:pStyle w:val="Compact"/>
            </w:pPr>
            <w:r>
              <w:t xml:space="preserve">58,311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2050</w:t>
            </w:r>
          </w:p>
        </w:tc>
        <w:tc>
          <w:tcPr/>
          <w:p>
            <w:pPr>
              <w:pStyle w:val="Compact"/>
            </w:pPr>
            <w:r>
              <w:t xml:space="preserve">42,787</w:t>
            </w:r>
          </w:p>
        </w:tc>
        <w:tc>
          <w:tcPr/>
          <w:p>
            <w:pPr>
              <w:pStyle w:val="Compact"/>
            </w:pPr>
            <w:r>
              <w:t xml:space="preserve">53,484</w:t>
            </w:r>
          </w:p>
        </w:tc>
      </w:tr>
    </w:tbl>
    <w:p>
      <w:pPr>
        <w:pStyle w:val="BodyText"/>
      </w:pPr>
      <w:r>
        <w:t xml:space="preserve">Applied via</w:t>
      </w:r>
      <w:r>
        <w:t xml:space="preserve"> </w:t>
      </w:r>
      <w:r>
        <w:rPr>
          <w:rStyle w:val="VerbatimChar"/>
        </w:rPr>
        <w:t xml:space="preserve">costs.investment.{battery inverter, battery storage}</w:t>
      </w:r>
      <w:r>
        <w:t xml:space="preserve"> </w:t>
      </w:r>
      <w:r>
        <w:t xml:space="preserve">in each scenario config.</w:t>
      </w:r>
    </w:p>
    <w:p>
      <w:pPr>
        <w:pStyle w:val="BodyText"/>
      </w:pPr>
      <w:r>
        <w:rPr>
          <w:b/>
          <w:bCs/>
        </w:rPr>
        <w:t xml:space="preserve">Caveat:</w:t>
      </w:r>
      <w:r>
        <w:t xml:space="preserve"> </w:t>
      </w:r>
      <w:r>
        <w:t xml:space="preserve">the config’s actual battery duration is</w:t>
      </w:r>
      <w:r>
        <w:t xml:space="preserve"> </w:t>
      </w:r>
      <w:r>
        <w:rPr>
          <w:rStyle w:val="VerbatimChar"/>
        </w:rPr>
        <w:t xml:space="preserve">max_hours.battery: 8</w:t>
      </w:r>
      <w:r>
        <w:t xml:space="preserve"> </w:t>
      </w:r>
      <w:r>
        <w:t xml:space="preserve">(existing fleet;</w:t>
      </w:r>
      <w:r>
        <w:t xml:space="preserve"> </w:t>
      </w:r>
      <w:r>
        <w:t xml:space="preserve">new-build is free to choose). Both NREL and Ember define their headline figures for 4-hour</w:t>
      </w:r>
      <w:r>
        <w:t xml:space="preserve"> </w:t>
      </w:r>
      <w:r>
        <w:t xml:space="preserve">systems, so the blended cost of an 8-hour system built from these same per-unit prices comes</w:t>
      </w:r>
      <w:r>
        <w:t xml:space="preserve"> </w:t>
      </w:r>
      <w:r>
        <w:t xml:space="preserve">out lower per kWh than the reference figures quoted above (the fixed inverter cost is spread</w:t>
      </w:r>
      <w:r>
        <w:t xml:space="preserve"> </w:t>
      </w:r>
      <w:r>
        <w:t xml:space="preserve">over more energy capacity) — this is expected, not an inconsistency.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fixed-om-fom"/>
    <w:p>
      <w:pPr>
        <w:pStyle w:val="Heading1"/>
      </w:pPr>
      <w:r>
        <w:t xml:space="preserve">3. Fixed O&amp;M (FOM)</w:t>
      </w:r>
    </w:p>
    <w:bookmarkStart w:id="15" w:name="default-deatechnology-data-1"/>
    <w:p>
      <w:pPr>
        <w:pStyle w:val="Heading2"/>
      </w:pPr>
      <w:r>
        <w:t xml:space="preserve">3.1 Default (DEA/technology-data)</w:t>
      </w:r>
    </w:p>
    <w:p>
      <w:pPr>
        <w:pStyle w:val="FirstParagraph"/>
      </w:pPr>
      <w:r>
        <w:t xml:space="preserve">FOM is reported as %/year of investment. Critically, the DEA source only has a FOM figure for</w:t>
      </w:r>
      <w:r>
        <w:t xml:space="preserve"> </w:t>
      </w:r>
      <w:r>
        <w:rPr>
          <w:rStyle w:val="VerbatimChar"/>
        </w:rPr>
        <w:t xml:space="preserve">battery inverter</w:t>
      </w:r>
      <w:r>
        <w:t xml:space="preserve">;</w:t>
      </w:r>
      <w:r>
        <w:t xml:space="preserve"> </w:t>
      </w:r>
      <w:r>
        <w:rPr>
          <w:rStyle w:val="VerbatimChar"/>
          <w:b/>
          <w:bCs/>
        </w:rPr>
        <w:t xml:space="preserve">battery storage</w:t>
      </w:r>
      <w:r>
        <w:rPr>
          <w:b/>
          <w:bCs/>
        </w:rPr>
        <w:t xml:space="preserve"> </w:t>
      </w:r>
      <w:r>
        <w:rPr>
          <w:b/>
          <w:bCs/>
        </w:rPr>
        <w:t xml:space="preserve">has no FOM entry in the raw source data at all</w:t>
      </w:r>
      <w:r>
        <w:t xml:space="preserve"> </w:t>
      </w:r>
      <w:r>
        <w:t xml:space="preserve">—</w:t>
      </w:r>
      <w:r>
        <w:t xml:space="preserve"> </w:t>
      </w:r>
      <w:r>
        <w:t xml:space="preserve">its FOM was effectively zero.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inverter FOM (%/yr)</w:t>
            </w:r>
          </w:p>
        </w:tc>
        <w:tc>
          <w:tcPr/>
          <w:p>
            <w:pPr>
              <w:pStyle w:val="Compact"/>
            </w:pPr>
            <w:r>
              <w:t xml:space="preserve">storage FOM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2035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2040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2045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2050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</w:tr>
    </w:tbl>
    <w:p>
      <w:pPr>
        <w:pStyle w:val="BodyText"/>
      </w:pPr>
      <w:r>
        <w:t xml:space="preserve">Note: in</w:t>
      </w:r>
      <w:r>
        <w:t xml:space="preserve"> </w:t>
      </w:r>
      <w:r>
        <w:rPr>
          <w:b/>
          <w:bCs/>
        </w:rPr>
        <w:t xml:space="preserve">absolute</w:t>
      </w:r>
      <w:r>
        <w:t xml:space="preserve"> </w:t>
      </w:r>
      <w:r>
        <w:t xml:space="preserve">terms (%/year × the declining CapEx above), this works out to a</w:t>
      </w:r>
      <w:r>
        <w:t xml:space="preserve"> </w:t>
      </w:r>
      <w:r>
        <w:t xml:space="preserve">constant ~€574/MW/year across every year — the rising percentage exactly offsets the</w:t>
      </w:r>
      <w:r>
        <w:t xml:space="preserve"> </w:t>
      </w:r>
      <w:r>
        <w:t xml:space="preserve">declining CapEx base. But since it never applies to the storage side at all — which is</w:t>
      </w:r>
      <w:r>
        <w:t xml:space="preserve"> </w:t>
      </w:r>
      <w:r>
        <w:t xml:space="preserve">78–83% of total CapEx —</w:t>
      </w:r>
      <w:r>
        <w:t xml:space="preserve"> </w:t>
      </w:r>
      <w:r>
        <w:rPr>
          <w:b/>
          <w:bCs/>
        </w:rPr>
        <w:t xml:space="preserve">total modelled BESS fixed O&amp;M was understated by roughly 16x</w:t>
      </w:r>
      <w:r>
        <w:t xml:space="preserve"> </w:t>
      </w:r>
      <w:r>
        <w:t xml:space="preserve">relative to the benchmark below (6% of the correct figure).</w:t>
      </w:r>
    </w:p>
    <w:bookmarkEnd w:id="15"/>
    <w:bookmarkStart w:id="16" w:name="benchmark-check-1"/>
    <w:p>
      <w:pPr>
        <w:pStyle w:val="Heading2"/>
      </w:pPr>
      <w:r>
        <w:t xml:space="preserve">3.2 Benchmark check</w:t>
      </w:r>
    </w:p>
    <w:p>
      <w:pPr>
        <w:pStyle w:val="FirstParagraph"/>
      </w:pPr>
      <w:r>
        <w:t xml:space="preserve">Two sources converge on</w:t>
      </w:r>
      <w:r>
        <w:t xml:space="preserve"> </w:t>
      </w:r>
      <w:r>
        <w:rPr>
          <w:b/>
          <w:bCs/>
        </w:rPr>
        <w:t xml:space="preserve">utility-scale BESS annual O&amp;M ≈ 2% of CapEx</w:t>
      </w:r>
      <w:r>
        <w:t xml:space="preserve">, but with different</w:t>
      </w:r>
      <w:r>
        <w:t xml:space="preserve"> </w:t>
      </w:r>
      <w:r>
        <w:t xml:space="preserve">scope: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Ember</w:t>
      </w:r>
      <w:r>
        <w:t xml:space="preserve">:</w:t>
      </w:r>
      <w:r>
        <w:t xml:space="preserve"> </w:t>
      </w:r>
      <w:r>
        <w:rPr>
          <w:i/>
          <w:iCs/>
        </w:rPr>
        <w:t xml:space="preserve">“Annual operational costs for utility scale battery storage projects are</w:t>
      </w:r>
      <w:r>
        <w:rPr>
          <w:i/>
          <w:iCs/>
        </w:rPr>
        <w:t xml:space="preserve"> </w:t>
      </w:r>
      <w:r>
        <w:rPr>
          <w:i/>
          <w:iCs/>
        </w:rPr>
        <w:t xml:space="preserve">typically low – around 2% of capex… equivalent to $2.5/kWh/year, which covers routine</w:t>
      </w:r>
      <w:r>
        <w:rPr>
          <w:i/>
          <w:iCs/>
        </w:rPr>
        <w:t xml:space="preserve"> </w:t>
      </w:r>
      <w:r>
        <w:rPr>
          <w:i/>
          <w:iCs/>
        </w:rPr>
        <w:t xml:space="preserve">maintenance, monitoring and performance guarantees, but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excludes augmentation 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extended warranties</w:t>
      </w:r>
      <w:r>
        <w:rPr>
          <w:i/>
          <w:iCs/>
        </w:rPr>
        <w:t xml:space="preserve">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Lazard</w:t>
      </w:r>
      <w:r>
        <w:t xml:space="preserve">’s LCOS assumptions independently fall in the same ~2% range.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NREL</w:t>
      </w:r>
      <w:r>
        <w:t xml:space="preserve"> </w:t>
      </w:r>
      <w:r>
        <w:t xml:space="preserve">(same 2025 report as Section 2) uses</w:t>
      </w:r>
      <w:r>
        <w:t xml:space="preserve"> </w:t>
      </w:r>
      <w:r>
        <w:rPr>
          <w:b/>
          <w:bCs/>
        </w:rPr>
        <w:t xml:space="preserve">4%</w:t>
      </w:r>
      <w:r>
        <w:t xml:space="preserve"> </w:t>
      </w:r>
      <w:r>
        <w:t xml:space="preserve">instead — deliberately from the high</w:t>
      </w:r>
      <w:r>
        <w:t xml:space="preserve"> </w:t>
      </w:r>
      <w:r>
        <w:t xml:space="preserve">end of the surveyed range, explicitly because</w:t>
      </w:r>
      <w:r>
        <w:t xml:space="preserve"> </w:t>
      </w:r>
      <w:r>
        <w:rPr>
          <w:i/>
          <w:iCs/>
        </w:rPr>
        <w:t xml:space="preserve">“we have adopted a FOM value from the high</w:t>
      </w:r>
      <w:r>
        <w:rPr>
          <w:i/>
          <w:iCs/>
        </w:rPr>
        <w:t xml:space="preserve"> </w:t>
      </w:r>
      <w:r>
        <w:rPr>
          <w:i/>
          <w:iCs/>
        </w:rPr>
        <w:t xml:space="preserve">end and assume that the FOM cost will counteract degradation such that the system will be</w:t>
      </w:r>
      <w:r>
        <w:rPr>
          <w:i/>
          <w:iCs/>
        </w:rPr>
        <w:t xml:space="preserve"> </w:t>
      </w:r>
      <w:r>
        <w:rPr>
          <w:i/>
          <w:iCs/>
        </w:rPr>
        <w:t xml:space="preserve">able to perform at rated capacity throughout its lifetime.”</w:t>
      </w:r>
      <w:r>
        <w:t xml:space="preserve"> </w:t>
      </w:r>
      <w:r>
        <w:t xml:space="preserve">NREL’s 4% is conditional on</w:t>
      </w:r>
      <w:r>
        <w:t xml:space="preserve"> </w:t>
      </w:r>
      <w:r>
        <w:t xml:space="preserve">~1 cycle/day (365 cycles/year):</w:t>
      </w:r>
      <w:r>
        <w:t xml:space="preserve"> </w:t>
      </w:r>
      <w:r>
        <w:rPr>
          <w:i/>
          <w:iCs/>
        </w:rPr>
        <w:t xml:space="preserve">“If the battery is operating at a much higher rate of</w:t>
      </w:r>
      <w:r>
        <w:rPr>
          <w:i/>
          <w:iCs/>
        </w:rPr>
        <w:t xml:space="preserve"> </w:t>
      </w:r>
      <w:r>
        <w:rPr>
          <w:i/>
          <w:iCs/>
        </w:rPr>
        <w:t xml:space="preserve">cycling, then this FOM value might not be sufficient to counteract degradation.”</w:t>
      </w:r>
    </w:p>
    <w:p>
      <w:pPr>
        <w:pStyle w:val="FirstParagraph"/>
      </w:pPr>
      <w:r>
        <w:t xml:space="preserve">The 2% vs. 4% gap is not inconsistency between sources — it’s scope. Ember/Lazard = routine</w:t>
      </w:r>
      <w:r>
        <w:t xml:space="preserve"> </w:t>
      </w:r>
      <w:r>
        <w:t xml:space="preserve">maintenance only. NREL = routine maintenance + an implicit degradation/augmentation reserve.</w:t>
      </w:r>
    </w:p>
    <w:bookmarkEnd w:id="16"/>
    <w:bookmarkStart w:id="17" w:name="methodology"/>
    <w:p>
      <w:pPr>
        <w:pStyle w:val="Heading2"/>
      </w:pPr>
      <w:r>
        <w:t xml:space="preserve">3.3 Methodology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(usage-insensitive) charge is the wrong mechanism for degradation, which is</w:t>
      </w:r>
      <w:r>
        <w:t xml:space="preserve"> </w:t>
      </w:r>
      <w:r>
        <w:t xml:space="preserve">fundamentally throughput-driven — a battery that never cycles doesn’t degrade from cycling.</w:t>
      </w:r>
      <w:r>
        <w:t xml:space="preserve"> </w:t>
      </w:r>
      <w:r>
        <w:t xml:space="preserve">This matters concretely here: this model’s own solved networks show utilisation ranging from</w:t>
      </w:r>
      <w:r>
        <w:t xml:space="preserve"> </w:t>
      </w:r>
      <w:r>
        <w:rPr>
          <w:b/>
          <w:bCs/>
        </w:rPr>
        <w:t xml:space="preserve">85–154 cycles/year</w:t>
      </w:r>
      <w:r>
        <w:t xml:space="preserve"> </w:t>
      </w:r>
      <w:r>
        <w:t xml:space="preserve">(</w:t>
      </w:r>
      <w:r>
        <w:rPr>
          <w:rStyle w:val="VerbatimChar"/>
        </w:rPr>
        <w:t xml:space="preserve">uc_bess</w:t>
      </w:r>
      <w:r>
        <w:t xml:space="preserve"> </w:t>
      </w:r>
      <w:r>
        <w:t xml:space="preserve">sector-coupled batch) up to</w:t>
      </w:r>
      <w:r>
        <w:t xml:space="preserve"> </w:t>
      </w:r>
      <w:r>
        <w:rPr>
          <w:b/>
          <w:bCs/>
        </w:rPr>
        <w:t xml:space="preserve">334 cycles/year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baseline_bess_2050_overnight</w:t>
      </w:r>
      <w:r>
        <w:t xml:space="preserve">, electricity-only) — a ~4x spread across scenarios that a</w:t>
      </w:r>
      <w:r>
        <w:t xml:space="preserve"> </w:t>
      </w:r>
      <w:r>
        <w:t xml:space="preserve">single flat FOM figure cannot correctly represent for all of them.</w:t>
      </w:r>
    </w:p>
    <w:p>
      <w:pPr>
        <w:pStyle w:val="BodyText"/>
      </w:pPr>
      <w:r>
        <w:t xml:space="preserve">Decomposition adopted:</w:t>
      </w:r>
      <w:r>
        <w:t xml:space="preserve"> </w:t>
      </w:r>
      <w:r>
        <w:rPr>
          <w:b/>
          <w:bCs/>
        </w:rPr>
        <w:t xml:space="preserve">FOM = Ember’s 2% (routine only)</w:t>
      </w:r>
      <w:r>
        <w:t xml:space="preserve">, with degradation moved to a</w:t>
      </w:r>
      <w:r>
        <w:t xml:space="preserve"> </w:t>
      </w:r>
      <w:r>
        <w:rPr>
          <w:b/>
          <w:bCs/>
        </w:rPr>
        <w:t xml:space="preserve">usage-scaled VOM</w:t>
      </w:r>
      <w:r>
        <w:t xml:space="preserve"> </w:t>
      </w:r>
      <w:r>
        <w:t xml:space="preserve">instead (Section 4), which automatically scales with whatever cycling</w:t>
      </w:r>
      <w:r>
        <w:t xml:space="preserve"> </w:t>
      </w:r>
      <w:r>
        <w:t xml:space="preserve">rate the optimizer actually chooses, staying accurate across scenarios rather than being</w:t>
      </w:r>
      <w:r>
        <w:t xml:space="preserve"> </w:t>
      </w:r>
      <w:r>
        <w:t xml:space="preserve">calibrated to one assumed rate.</w:t>
      </w:r>
    </w:p>
    <w:bookmarkEnd w:id="17"/>
    <w:bookmarkStart w:id="18" w:name="final-values-applied-1"/>
    <w:p>
      <w:pPr>
        <w:pStyle w:val="Heading2"/>
      </w:pPr>
      <w:r>
        <w:t xml:space="preserve">3.4 Final values (applied)</w:t>
      </w:r>
    </w:p>
    <w:p>
      <w:pPr>
        <w:pStyle w:val="FirstParagraph"/>
      </w:pPr>
      <w:r>
        <w:rPr>
          <w:b/>
          <w:bCs/>
        </w:rPr>
        <w:t xml:space="preserve">Flat 2.0%/year, both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battery inverter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battery storage</w:t>
      </w:r>
      <w:r>
        <w:rPr>
          <w:b/>
          <w:bCs/>
        </w:rPr>
        <w:t xml:space="preserve">, all years.</w:t>
      </w:r>
      <w:r>
        <w:t xml:space="preserve"> </w:t>
      </w:r>
      <w:r>
        <w:t xml:space="preserve">(Not</w:t>
      </w:r>
      <w:r>
        <w:t xml:space="preserve"> </w:t>
      </w:r>
      <w:r>
        <w:t xml:space="preserve">year-specific — it is defined relative to whatever CapEx is in place that year, so a</w:t>
      </w:r>
      <w:r>
        <w:t xml:space="preserve"> </w:t>
      </w:r>
      <w:r>
        <w:t xml:space="preserve">constant percentage is correct by construction.)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variable-om-degradation-cost-vom"/>
    <w:p>
      <w:pPr>
        <w:pStyle w:val="Heading1"/>
      </w:pPr>
      <w:r>
        <w:t xml:space="preserve">4. Variable O&amp;M / degradation cost (VOM)</w:t>
      </w:r>
    </w:p>
    <w:bookmarkStart w:id="20" w:name="default"/>
    <w:p>
      <w:pPr>
        <w:pStyle w:val="Heading2"/>
      </w:pPr>
      <w:r>
        <w:t xml:space="preserve">4.1 Default</w:t>
      </w:r>
    </w:p>
    <w:p>
      <w:pPr>
        <w:pStyle w:val="FirstParagraph"/>
      </w:pPr>
      <w:r>
        <w:t xml:space="preserve">No VOM entry exists in the DEA source for either</w:t>
      </w:r>
      <w:r>
        <w:t xml:space="preserve"> </w:t>
      </w:r>
      <w:r>
        <w:rPr>
          <w:rStyle w:val="VerbatimChar"/>
        </w:rPr>
        <w:t xml:space="preserve">battery inverter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battery storage</w:t>
      </w:r>
      <w:r>
        <w:t xml:space="preserve"> </w:t>
      </w:r>
      <w:r>
        <w:t xml:space="preserve">—</w:t>
      </w:r>
      <w:r>
        <w:t xml:space="preserve"> </w:t>
      </w:r>
      <w:r>
        <w:t xml:space="preserve">genuinely absent, not sourced-and-zero.</w:t>
      </w:r>
    </w:p>
    <w:bookmarkEnd w:id="20"/>
    <w:bookmarkStart w:id="21" w:name="methodology-cycle-aging-cost"/>
    <w:p>
      <w:pPr>
        <w:pStyle w:val="Heading2"/>
      </w:pPr>
      <w:r>
        <w:t xml:space="preserve">4.2 Methodology: cycle-aging cost</w:t>
      </w:r>
    </w:p>
    <w:p>
      <w:pPr>
        <w:pStyle w:val="FirstParagraph"/>
      </w:pPr>
      <w:r>
        <w:t xml:space="preserve">Standard formula from the storage-dispatch literature (cf. </w:t>
      </w:r>
      <w:r>
        <w:rPr>
          <w:i/>
          <w:iCs/>
        </w:rPr>
        <w:t xml:space="preserve">“Factoring the Cycle Aging Cost</w:t>
      </w:r>
      <w:r>
        <w:rPr>
          <w:i/>
          <w:iCs/>
        </w:rPr>
        <w:t xml:space="preserve"> </w:t>
      </w:r>
      <w:r>
        <w:rPr>
          <w:i/>
          <w:iCs/>
        </w:rPr>
        <w:t xml:space="preserve">of Batteries Participating in Electricity Markets”</w:t>
      </w:r>
      <w:r>
        <w:t xml:space="preserve">): spread the storage CapEx over the</w:t>
      </w:r>
      <w:r>
        <w:t xml:space="preserve"> </w:t>
      </w:r>
      <w:r>
        <w:t xml:space="preserve">number of cycles the battery is expected to deliver before reaching end-of-life</w:t>
      </w:r>
      <w:r>
        <w:t xml:space="preserve"> </w:t>
      </w:r>
      <w:r>
        <w:t xml:space="preserve">(conventionally 80% state-of-health), charged per MWh discharged:</w:t>
      </w:r>
    </w:p>
    <w:p>
      <w:pPr>
        <w:pStyle w:val="SourceCode"/>
      </w:pPr>
      <w:r>
        <w:rPr>
          <w:rStyle w:val="VerbatimChar"/>
        </w:rPr>
        <w:t xml:space="preserve">degradation_cost (€/MWh) = storage CapEx (€/MWh, Ember-anchored) / cycle_life</w:t>
      </w:r>
    </w:p>
    <w:p>
      <w:pPr>
        <w:pStyle w:val="FirstParagraph"/>
      </w:pPr>
      <w:r>
        <w:rPr>
          <w:b/>
          <w:bCs/>
        </w:rPr>
        <w:t xml:space="preserve">Cycle life</w:t>
      </w:r>
      <w:r>
        <w:t xml:space="preserve">: real-world grid-scale LFP (the chemistry underlying all benchmarks used</w:t>
      </w:r>
      <w:r>
        <w:t xml:space="preserve"> </w:t>
      </w:r>
      <w:r>
        <w:t xml:space="preserve">here, confirmed via NREL’s own cost-category breakdown citing</w:t>
      </w:r>
      <w:r>
        <w:t xml:space="preserve"> </w:t>
      </w:r>
      <w:r>
        <w:t xml:space="preserve">“LFP cells from China”</w:t>
      </w:r>
      <w:r>
        <w:t xml:space="preserve">)</w:t>
      </w:r>
      <w:r>
        <w:t xml:space="preserve"> </w:t>
      </w:r>
      <w:r>
        <w:t xml:space="preserve">achieves</w:t>
      </w:r>
      <w:r>
        <w:t xml:space="preserve"> </w:t>
      </w:r>
      <w:r>
        <w:rPr>
          <w:b/>
          <w:bCs/>
        </w:rPr>
        <w:t xml:space="preserve">4,000–6,000 cycles to 80% SOH</w:t>
      </w:r>
      <w:r>
        <w:t xml:space="preserve"> </w:t>
      </w:r>
      <w:r>
        <w:t xml:space="preserve">in practice (lab conditions reach higher,</w:t>
      </w:r>
      <w:r>
        <w:t xml:space="preserve"> </w:t>
      </w:r>
      <w:r>
        <w:t xml:space="preserve">6,000–8,000+; real-world deployment is lower).</w:t>
      </w:r>
      <w:r>
        <w:t xml:space="preserve"> </w:t>
      </w:r>
      <w:r>
        <w:rPr>
          <w:b/>
          <w:bCs/>
        </w:rPr>
        <w:t xml:space="preserve">5,000 cycles</w:t>
      </w:r>
      <w:r>
        <w:t xml:space="preserve"> </w:t>
      </w:r>
      <w:r>
        <w:t xml:space="preserve">used as the mid estimate.</w:t>
      </w:r>
    </w:p>
    <w:bookmarkEnd w:id="21"/>
    <w:bookmarkStart w:id="22" w:name="final-values-applied-2"/>
    <w:p>
      <w:pPr>
        <w:pStyle w:val="Heading2"/>
      </w:pPr>
      <w:r>
        <w:t xml:space="preserve">4.3 Final values (applied)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storage CapEx (Ember-anchored, €/MWh)</w:t>
            </w:r>
          </w:p>
        </w:tc>
        <w:tc>
          <w:tcPr/>
          <w:p>
            <w:pPr>
              <w:pStyle w:val="Compact"/>
            </w:pPr>
            <w:r>
              <w:t xml:space="preserve">degradation cost (€/MWh, ÷5,000 cycles)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78,488</w:t>
            </w:r>
          </w:p>
        </w:tc>
        <w:tc>
          <w:tcPr/>
          <w:p>
            <w:pPr>
              <w:pStyle w:val="Compact"/>
            </w:pPr>
            <w:r>
              <w:t xml:space="preserve">15.70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2035</w:t>
            </w:r>
          </w:p>
        </w:tc>
        <w:tc>
          <w:tcPr/>
          <w:p>
            <w:pPr>
              <w:pStyle w:val="Compact"/>
            </w:pPr>
            <w:r>
              <w:t xml:space="preserve">68,696</w:t>
            </w:r>
          </w:p>
        </w:tc>
        <w:tc>
          <w:tcPr/>
          <w:p>
            <w:pPr>
              <w:pStyle w:val="Compact"/>
            </w:pPr>
            <w:r>
              <w:t xml:space="preserve">13.74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2040</w:t>
            </w:r>
          </w:p>
        </w:tc>
        <w:tc>
          <w:tcPr/>
          <w:p>
            <w:pPr>
              <w:pStyle w:val="Compact"/>
            </w:pPr>
            <w:r>
              <w:t xml:space="preserve">62,944</w:t>
            </w:r>
          </w:p>
        </w:tc>
        <w:tc>
          <w:tcPr/>
          <w:p>
            <w:pPr>
              <w:pStyle w:val="Compact"/>
            </w:pPr>
            <w:r>
              <w:t xml:space="preserve">12.59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2045</w:t>
            </w:r>
          </w:p>
        </w:tc>
        <w:tc>
          <w:tcPr/>
          <w:p>
            <w:pPr>
              <w:pStyle w:val="Compact"/>
            </w:pPr>
            <w:r>
              <w:t xml:space="preserve">58,311</w:t>
            </w:r>
          </w:p>
        </w:tc>
        <w:tc>
          <w:tcPr/>
          <w:p>
            <w:pPr>
              <w:pStyle w:val="Compact"/>
            </w:pPr>
            <w:r>
              <w:t xml:space="preserve">11.66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2050</w:t>
            </w:r>
          </w:p>
        </w:tc>
        <w:tc>
          <w:tcPr/>
          <w:p>
            <w:pPr>
              <w:pStyle w:val="Compact"/>
            </w:pPr>
            <w:r>
              <w:t xml:space="preserve">53,484</w:t>
            </w:r>
          </w:p>
        </w:tc>
        <w:tc>
          <w:tcPr/>
          <w:p>
            <w:pPr>
              <w:pStyle w:val="Compact"/>
            </w:pPr>
            <w:r>
              <w:t xml:space="preserve">10.70</w:t>
            </w:r>
          </w:p>
        </w:tc>
      </w:tr>
    </w:tbl>
    <w:p>
      <w:pPr>
        <w:pStyle w:val="BodyText"/>
      </w:pPr>
      <w:r>
        <w:t xml:space="preserve">Applied via</w:t>
      </w:r>
      <w:r>
        <w:t xml:space="preserve"> </w:t>
      </w:r>
      <w:r>
        <w:rPr>
          <w:rStyle w:val="VerbatimChar"/>
        </w:rPr>
        <w:t xml:space="preserve">costs.VOM.battery inverter</w:t>
      </w:r>
      <w:r>
        <w:t xml:space="preserve"> </w:t>
      </w:r>
      <w:r>
        <w:t xml:space="preserve">(see Section 6.3 for why it’s placed there and not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battery storage</w:t>
      </w:r>
      <w:r>
        <w:t xml:space="preserve">, and why it’s routed to apply once per MWh</w:t>
      </w:r>
      <w:r>
        <w:t xml:space="preserve"> </w:t>
      </w:r>
      <w:r>
        <w:rPr>
          <w:i/>
          <w:iCs/>
        </w:rPr>
        <w:t xml:space="preserve">discharged</w:t>
      </w:r>
      <w:r>
        <w:t xml:space="preserve"> </w:t>
      </w:r>
      <w:r>
        <w:t xml:space="preserve">rather than</w:t>
      </w:r>
      <w:r>
        <w:t xml:space="preserve"> </w:t>
      </w:r>
      <w:r>
        <w:t xml:space="preserve">once per MWh cycled through both charging and discharging).</w:t>
      </w:r>
    </w:p>
    <w:p>
      <w:pPr>
        <w:pStyle w:val="BodyText"/>
      </w:pPr>
      <w:r>
        <w:t xml:space="preserve">For context: this is a genuinely material cost, not a rounding term — roughly two-thirds of</w:t>
      </w:r>
      <w:r>
        <w:t xml:space="preserve"> </w:t>
      </w:r>
      <w:r>
        <w:t xml:space="preserve">CCGT’s marginal cost (€45.2/MWh in 2030) or half of OCGT’s (€61.9/MWh).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round-trip-efficiency"/>
    <w:p>
      <w:pPr>
        <w:pStyle w:val="Heading1"/>
      </w:pPr>
      <w:r>
        <w:t xml:space="preserve">5. Round-trip efficiency</w:t>
      </w:r>
    </w:p>
    <w:bookmarkStart w:id="24" w:name="default-deatechnology-data-2"/>
    <w:p>
      <w:pPr>
        <w:pStyle w:val="Heading2"/>
      </w:pPr>
      <w:r>
        <w:t xml:space="preserve">5.1 Default (DEA/technology-data)</w:t>
      </w:r>
    </w:p>
    <w:p>
      <w:pPr>
        <w:pStyle w:val="FirstParagraph"/>
      </w:pPr>
      <w:r>
        <w:rPr>
          <w:rStyle w:val="VerbatimChar"/>
        </w:rPr>
        <w:t xml:space="preserve">battery inverter,efficiency</w:t>
      </w:r>
      <w:r>
        <w:t xml:space="preserve"> </w:t>
      </w:r>
      <w:r>
        <w:t xml:space="preserve">(labelled</w:t>
      </w:r>
      <w:r>
        <w:t xml:space="preserve"> </w:t>
      </w:r>
      <w:r>
        <w:t xml:space="preserve">“Round trip efficiency DC”</w:t>
      </w:r>
      <w:r>
        <w:t xml:space="preserve"> </w:t>
      </w:r>
      <w:r>
        <w:t xml:space="preserve">in the source): 0.955</w:t>
      </w:r>
      <w:r>
        <w:t xml:space="preserve"> </w:t>
      </w:r>
      <w:r>
        <w:t xml:space="preserve">(2025) → 0.96 (2030 onward, flat).</w:t>
      </w:r>
      <w:r>
        <w:t xml:space="preserve"> </w:t>
      </w:r>
      <w:r>
        <w:rPr>
          <w:rStyle w:val="VerbatimChar"/>
        </w:rPr>
        <w:t xml:space="preserve">battery storage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efficiency entry at all</w:t>
      </w:r>
      <w:r>
        <w:t xml:space="preserve"> </w:t>
      </w:r>
      <w:r>
        <w:t xml:space="preserve">—</w:t>
      </w:r>
      <w:r>
        <w:t xml:space="preserve"> </w:t>
      </w:r>
      <w:r>
        <w:t xml:space="preserve">the energy-storage medium was implicitly assumed perfectly lossless.</w:t>
      </w:r>
    </w:p>
    <w:bookmarkEnd w:id="24"/>
    <w:bookmarkStart w:id="25" w:name="benchmark-check-2"/>
    <w:p>
      <w:pPr>
        <w:pStyle w:val="Heading2"/>
      </w:pPr>
      <w:r>
        <w:t xml:space="preserve">5.2 Benchmark check</w:t>
      </w:r>
    </w:p>
    <w:p>
      <w:pPr>
        <w:pStyle w:val="FirstParagraph"/>
      </w:pPr>
      <w:r>
        <w:t xml:space="preserve">DEA’s 0.96 is specifically the</w:t>
      </w:r>
      <w:r>
        <w:t xml:space="preserve"> </w:t>
      </w:r>
      <w:r>
        <w:rPr>
          <w:b/>
          <w:bCs/>
        </w:rPr>
        <w:t xml:space="preserve">inverter/PCS component’s own</w:t>
      </w:r>
      <w:r>
        <w:t xml:space="preserve"> </w:t>
      </w:r>
      <w:r>
        <w:t xml:space="preserve">conversion efficiency, not a</w:t>
      </w:r>
      <w:r>
        <w:t xml:space="preserve"> </w:t>
      </w:r>
      <w:r>
        <w:t xml:space="preserve">whole-system figure — real field data shows installed</w:t>
      </w:r>
      <w:r>
        <w:t xml:space="preserve"> </w:t>
      </w:r>
      <w:r>
        <w:rPr>
          <w:b/>
          <w:bCs/>
        </w:rPr>
        <w:t xml:space="preserve">whole-system AC round-trip</w:t>
      </w:r>
      <w:r>
        <w:rPr>
          <w:b/>
          <w:bCs/>
        </w:rPr>
        <w:t xml:space="preserve"> </w:t>
      </w:r>
      <w:r>
        <w:rPr>
          <w:b/>
          <w:bCs/>
        </w:rPr>
        <w:t xml:space="preserve">efficiency running 88–94%</w:t>
      </w:r>
      <w:r>
        <w:t xml:space="preserve"> </w:t>
      </w:r>
      <w:r>
        <w:t xml:space="preserve">in practice (thermal management/cooling, BMS overhead, and</w:t>
      </w:r>
      <w:r>
        <w:t xml:space="preserve"> </w:t>
      </w:r>
      <w:r>
        <w:t xml:space="preserve">auxiliary loads all cost additional energy that inverter-only efficiency doesn’t capture).</w:t>
      </w:r>
    </w:p>
    <w:p>
      <w:pPr>
        <w:pStyle w:val="BodyText"/>
      </w:pPr>
      <w:r>
        <w:rPr>
          <w:b/>
          <w:bCs/>
        </w:rPr>
        <w:t xml:space="preserve">NREL</w:t>
      </w:r>
      <w:r>
        <w:t xml:space="preserve"> </w:t>
      </w:r>
      <w:r>
        <w:t xml:space="preserve">(same report) selects</w:t>
      </w:r>
      <w:r>
        <w:t xml:space="preserve"> </w:t>
      </w:r>
      <w:r>
        <w:rPr>
          <w:b/>
          <w:bCs/>
        </w:rPr>
        <w:t xml:space="preserve">85%</w:t>
      </w:r>
      <w:r>
        <w:t xml:space="preserve"> </w:t>
      </w:r>
      <w:r>
        <w:t xml:space="preserve">explicitly as a whole-system figure:</w:t>
      </w:r>
      <w:r>
        <w:t xml:space="preserve"> </w:t>
      </w:r>
      <w:r>
        <w:rPr>
          <w:i/>
          <w:iCs/>
        </w:rPr>
        <w:t xml:space="preserve">“Round-trip</w:t>
      </w:r>
      <w:r>
        <w:rPr>
          <w:i/>
          <w:iCs/>
        </w:rPr>
        <w:t xml:space="preserve"> </w:t>
      </w:r>
      <w:r>
        <w:rPr>
          <w:i/>
          <w:iCs/>
        </w:rPr>
        <w:t xml:space="preserve">efficiency is defined as the system efficiency through a charge/discharge cycle… it would</w:t>
      </w:r>
      <w:r>
        <w:rPr>
          <w:i/>
          <w:iCs/>
        </w:rPr>
        <w:t xml:space="preserve"> </w:t>
      </w:r>
      <w:r>
        <w:rPr>
          <w:i/>
          <w:iCs/>
        </w:rPr>
        <w:t xml:space="preserve">include losses associated with cooling systems or battery control equipment… chosen to be</w:t>
      </w:r>
      <w:r>
        <w:rPr>
          <w:i/>
          <w:iCs/>
        </w:rPr>
        <w:t xml:space="preserve"> </w:t>
      </w:r>
      <w:r>
        <w:rPr>
          <w:i/>
          <w:iCs/>
        </w:rPr>
        <w:t xml:space="preserve">85%, which is well aligned with published values.”</w:t>
      </w:r>
    </w:p>
    <w:bookmarkEnd w:id="25"/>
    <w:bookmarkStart w:id="26" w:name="on-a-possible-improving-trend"/>
    <w:p>
      <w:pPr>
        <w:pStyle w:val="Heading2"/>
      </w:pPr>
      <w:r>
        <w:t xml:space="preserve">5.3 On a possible improving trend</w:t>
      </w:r>
    </w:p>
    <w:p>
      <w:pPr>
        <w:pStyle w:val="FirstParagraph"/>
      </w:pPr>
      <w:r>
        <w:t xml:space="preserve">Checked specifically whether efficiency should rise over the projection period the way CapEx</w:t>
      </w:r>
      <w:r>
        <w:t xml:space="preserve"> </w:t>
      </w:r>
      <w:r>
        <w:t xml:space="preserve">does. Two considerations:</w:t>
      </w:r>
    </w:p>
    <w:p>
      <w:pPr>
        <w:pStyle w:val="Compact"/>
        <w:numPr>
          <w:ilvl w:val="0"/>
          <w:numId w:val="1006"/>
        </w:numPr>
      </w:pPr>
      <w:r>
        <w:t xml:space="preserve">Modern PCS/inverter hardware already commonly achieves 96–99%</w:t>
      </w:r>
      <w:r>
        <w:t xml:space="preserve"> </w:t>
      </w:r>
      <w:r>
        <w:rPr>
          <w:i/>
          <w:iCs/>
        </w:rPr>
        <w:t xml:space="preserve">today</w:t>
      </w:r>
      <w:r>
        <w:t xml:space="preserve"> </w:t>
      </w:r>
      <w:r>
        <w:t xml:space="preserve">— DEA’s own 2030</w:t>
      </w:r>
      <w:r>
        <w:t xml:space="preserve"> </w:t>
      </w:r>
      <w:r>
        <w:t xml:space="preserve">figure (96%) is already near that practical range, leaving limited room for the</w:t>
      </w:r>
      <w:r>
        <w:t xml:space="preserve"> </w:t>
      </w:r>
      <w:r>
        <w:t xml:space="preserve">power-electronics conversion step itself to improve further (a real physical ceiling</w:t>
      </w:r>
      <w:r>
        <w:t xml:space="preserve"> </w:t>
      </w:r>
      <w:r>
        <w:t xml:space="preserve">effect, unlike CapEx).</w:t>
      </w:r>
    </w:p>
    <w:p>
      <w:pPr>
        <w:pStyle w:val="Compact"/>
        <w:numPr>
          <w:ilvl w:val="0"/>
          <w:numId w:val="1006"/>
        </w:numPr>
      </w:pPr>
      <w:r>
        <w:t xml:space="preserve">However, the 96%→85% gap is auxiliary/thermal/BMS overhead, not core conversion loss, and</w:t>
      </w:r>
      <w:r>
        <w:t xml:space="preserve"> </w:t>
      </w:r>
      <w:r>
        <w:t xml:space="preserve">that kind of system-integration overhead plausibly has more room to improve with better</w:t>
      </w:r>
      <w:r>
        <w:t xml:space="preserve"> </w:t>
      </w:r>
      <w:r>
        <w:t xml:space="preserve">engineering over 20+ years than raw power-electronics efficiency does.</w:t>
      </w:r>
    </w:p>
    <w:p>
      <w:pPr>
        <w:pStyle w:val="FirstParagraph"/>
      </w:pPr>
      <w:r>
        <w:t xml:space="preserve">No sourced year-by-year trajectory was found for this, however — NREL’s own report, the same</w:t>
      </w:r>
      <w:r>
        <w:t xml:space="preserve"> </w:t>
      </w:r>
      <w:r>
        <w:t xml:space="preserve">one providing the detailed year-by-year CapEx trajectory (Table 2), treats round-trip</w:t>
      </w:r>
      <w:r>
        <w:t xml:space="preserve"> </w:t>
      </w:r>
      <w:r>
        <w:t xml:space="preserve">efficiency as a</w:t>
      </w:r>
      <w:r>
        <w:t xml:space="preserve"> </w:t>
      </w:r>
      <w:r>
        <w:rPr>
          <w:b/>
          <w:bCs/>
        </w:rPr>
        <w:t xml:space="preserve">single flat constant for its entire 2024–2060 projection period</w:t>
      </w:r>
      <w:r>
        <w:t xml:space="preserve">, with no</w:t>
      </w:r>
      <w:r>
        <w:t xml:space="preserve"> </w:t>
      </w:r>
      <w:r>
        <w:t xml:space="preserve">equivalent efficiency-over-time table. Given the standard applied throughout this</w:t>
      </w:r>
      <w:r>
        <w:t xml:space="preserve"> </w:t>
      </w:r>
      <w:r>
        <w:t xml:space="preserve">recalibration (every changed number traces to a specific source, not an assumed curve), the</w:t>
      </w:r>
      <w:r>
        <w:t xml:space="preserve"> </w:t>
      </w:r>
      <w:r>
        <w:t xml:space="preserve">value was kept</w:t>
      </w:r>
      <w:r>
        <w:t xml:space="preserve"> </w:t>
      </w:r>
      <w:r>
        <w:rPr>
          <w:b/>
          <w:bCs/>
        </w:rPr>
        <w:t xml:space="preserve">flat</w:t>
      </w:r>
      <w:r>
        <w:t xml:space="preserve"> </w:t>
      </w:r>
      <w:r>
        <w:t xml:space="preserve">rather than applying an unsourced improvement trend.</w:t>
      </w:r>
    </w:p>
    <w:bookmarkEnd w:id="26"/>
    <w:bookmarkStart w:id="27" w:name="final-value-applied"/>
    <w:p>
      <w:pPr>
        <w:pStyle w:val="Heading2"/>
      </w:pPr>
      <w:r>
        <w:t xml:space="preserve">5.4 Final value (applied)</w:t>
      </w:r>
    </w:p>
    <w:p>
      <w:pPr>
        <w:pStyle w:val="FirstParagraph"/>
      </w:pPr>
      <w:r>
        <w:rPr>
          <w:b/>
          <w:bCs/>
        </w:rPr>
        <w:t xml:space="preserve">Flat 0.85,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battery inverter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(mechanically reaches both representations via the</w:t>
      </w:r>
      <w:r>
        <w:t xml:space="preserve"> </w:t>
      </w:r>
      <w:r>
        <w:t xml:space="preserve">architecture fix in Section 6.1), all years.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software-bugs-found-and-fixed"/>
    <w:p>
      <w:pPr>
        <w:pStyle w:val="Heading1"/>
      </w:pPr>
      <w:r>
        <w:t xml:space="preserve">6. Software bugs found and fixed</w:t>
      </w:r>
    </w:p>
    <w:p>
      <w:pPr>
        <w:pStyle w:val="FirstParagraph"/>
      </w:pPr>
      <w:r>
        <w:t xml:space="preserve">These are independent of the calibration work above — genuine defects in how the existing</w:t>
      </w:r>
      <w:r>
        <w:t xml:space="preserve"> </w:t>
      </w:r>
      <w:r>
        <w:t xml:space="preserve">code applied</w:t>
      </w:r>
      <w:r>
        <w:t xml:space="preserve"> </w:t>
      </w:r>
      <w:r>
        <w:rPr>
          <w:i/>
          <w:iCs/>
        </w:rPr>
        <w:t xml:space="preserve">whatever</w:t>
      </w:r>
      <w:r>
        <w:t xml:space="preserve"> </w:t>
      </w:r>
      <w:r>
        <w:t xml:space="preserve">cost/efficiency values were configured, discovered while</w:t>
      </w:r>
      <w:r>
        <w:t xml:space="preserve"> </w:t>
      </w:r>
      <w:r>
        <w:t xml:space="preserve">investigating the questions above. All are fixed in the codebase (not just documented).</w:t>
      </w:r>
    </w:p>
    <w:bookmarkStart w:id="29" w:name="X5af99d7065e3dff94708f9a600d6a8797de46ed"/>
    <w:p>
      <w:pPr>
        <w:pStyle w:val="Heading2"/>
      </w:pPr>
      <w:r>
        <w:t xml:space="preserve">6.1 Existing-battery efficiency silently defaulted to 100% (lossless)</w:t>
      </w:r>
    </w:p>
    <w:p>
      <w:pPr>
        <w:pStyle w:val="FirstParagraph"/>
      </w:pPr>
      <w:r>
        <w:rPr>
          <w:rStyle w:val="VerbatimChar"/>
        </w:rPr>
        <w:t xml:space="preserve">costs_for_storage()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process_cost_data.py</w:t>
      </w:r>
      <w:r>
        <w:t xml:space="preserve"> </w:t>
      </w:r>
      <w:r>
        <w:t xml:space="preserve">derives a combined</w:t>
      </w:r>
      <w:r>
        <w:t xml:space="preserve"> </w:t>
      </w:r>
      <w:r>
        <w:rPr>
          <w:rStyle w:val="VerbatimChar"/>
        </w:rPr>
        <w:t xml:space="preserve">battery</w:t>
      </w:r>
      <w:r>
        <w:t xml:space="preserve"> </w:t>
      </w:r>
      <w:r>
        <w:t xml:space="preserve">cost row (used</w:t>
      </w:r>
      <w:r>
        <w:t xml:space="preserve"> </w:t>
      </w:r>
      <w:r>
        <w:t xml:space="preserve">by the existing-fleet</w:t>
      </w:r>
      <w:r>
        <w:t xml:space="preserve"> </w:t>
      </w:r>
      <w:r>
        <w:rPr>
          <w:rStyle w:val="VerbatimChar"/>
        </w:rPr>
        <w:t xml:space="preserve">StorageUnit</w:t>
      </w:r>
      <w:r>
        <w:t xml:space="preserve">) from</w:t>
      </w:r>
      <w:r>
        <w:t xml:space="preserve"> </w:t>
      </w:r>
      <w:r>
        <w:rPr>
          <w:rStyle w:val="VerbatimChar"/>
        </w:rPr>
        <w:t xml:space="preserve">battery inverter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battery storage</w:t>
      </w:r>
      <w:r>
        <w:t xml:space="preserve">, but only</w:t>
      </w:r>
      <w:r>
        <w:t xml:space="preserve"> </w:t>
      </w:r>
      <w:r>
        <w:t xml:space="preserve">ever set</w:t>
      </w:r>
      <w:r>
        <w:t xml:space="preserve"> </w:t>
      </w:r>
      <w:r>
        <w:rPr>
          <w:rStyle w:val="VerbatimChar"/>
        </w:rPr>
        <w:t xml:space="preserve">capital_cost</w:t>
      </w:r>
      <w:r>
        <w:t xml:space="preserve">/</w:t>
      </w:r>
      <w:r>
        <w:rPr>
          <w:rStyle w:val="VerbatimChar"/>
        </w:rPr>
        <w:t xml:space="preserve">marginal_cost</w:t>
      </w:r>
      <w:r>
        <w:t xml:space="preserve">/</w:t>
      </w:r>
      <w:r>
        <w:rPr>
          <w:rStyle w:val="VerbatimChar"/>
        </w:rPr>
        <w:t xml:space="preserve">co2_emissions</w:t>
      </w:r>
      <w:r>
        <w:t xml:space="preserve"> </w:t>
      </w:r>
      <w:r>
        <w:t xml:space="preserve">on that derived row — never</w:t>
      </w:r>
      <w:r>
        <w:t xml:space="preserve"> </w:t>
      </w:r>
      <w:r>
        <w:rPr>
          <w:rStyle w:val="VerbatimChar"/>
        </w:rPr>
        <w:t xml:space="preserve">efficiency</w:t>
      </w:r>
      <w:r>
        <w:t xml:space="preserve">. The resulting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was passed straight into</w:t>
      </w:r>
      <w:r>
        <w:t xml:space="preserve"> </w:t>
      </w:r>
      <w:r>
        <w:rPr>
          <w:rStyle w:val="VerbatimChar"/>
        </w:rPr>
        <w:t xml:space="preserve">n.madd("StorageUnit", ..., efficiency_store=NaN, efficiency_dispatch=NaN, ...)</w:t>
      </w:r>
      <w:r>
        <w:t xml:space="preserve">, which</w:t>
      </w:r>
      <w:r>
        <w:t xml:space="preserve"> </w:t>
      </w:r>
      <w:r>
        <w:t xml:space="preserve">PyPSA silently filled with its own component-schema default of</w:t>
      </w:r>
      <w:r>
        <w:t xml:space="preserve"> </w:t>
      </w:r>
      <w:r>
        <w:rPr>
          <w:b/>
          <w:bCs/>
        </w:rPr>
        <w:t xml:space="preserve">1.0</w:t>
      </w:r>
      <w:r>
        <w:t xml:space="preserve"> </w:t>
      </w:r>
      <w:r>
        <w:t xml:space="preserve">— i.e. every existing</w:t>
      </w:r>
      <w:r>
        <w:t xml:space="preserve"> </w:t>
      </w:r>
      <w:r>
        <w:t xml:space="preserve">battery in every network solved this session was modelled as perfectly, losslessly</w:t>
      </w:r>
      <w:r>
        <w:t xml:space="preserve"> </w:t>
      </w:r>
      <w:r>
        <w:t xml:space="preserve">efficient, with no warning.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costs.at["battery", "efficiency"]</w:t>
      </w:r>
      <w:r>
        <w:t xml:space="preserve"> </w:t>
      </w:r>
      <w:r>
        <w:t xml:space="preserve">is now explicitly set to inherit</w:t>
      </w:r>
      <w:r>
        <w:t xml:space="preserve"> </w:t>
      </w:r>
      <w:r>
        <w:rPr>
          <w:rStyle w:val="VerbatimChar"/>
        </w:rPr>
        <w:t xml:space="preserve">battery inverter</w:t>
      </w:r>
      <w:r>
        <w:t xml:space="preserve">’s efficiency.</w:t>
      </w:r>
    </w:p>
    <w:bookmarkEnd w:id="29"/>
    <w:bookmarkStart w:id="30" w:name="Xf4f0dd420af25d7d0be3ab93e8ec8b0f6684d26"/>
    <w:p>
      <w:pPr>
        <w:pStyle w:val="Heading2"/>
      </w:pPr>
      <w:r>
        <w:t xml:space="preserve">6.2 New-build battery double-applied round-trip efficiency</w:t>
      </w:r>
    </w:p>
    <w:p>
      <w:pPr>
        <w:pStyle w:val="FirstParagraph"/>
      </w:pPr>
      <w:r>
        <w:rPr>
          <w:rStyle w:val="VerbatimChar"/>
        </w:rPr>
        <w:t xml:space="preserve">add_extra_components.py</w:t>
      </w:r>
      <w:r>
        <w:t xml:space="preserve"> </w:t>
      </w:r>
      <w:r>
        <w:t xml:space="preserve">applied the</w:t>
      </w:r>
      <w:r>
        <w:t xml:space="preserve"> </w:t>
      </w:r>
      <w:r>
        <w:rPr>
          <w:i/>
          <w:iCs/>
        </w:rPr>
        <w:t xml:space="preserve">round-trip</w:t>
      </w:r>
      <w:r>
        <w:t xml:space="preserve"> </w:t>
      </w:r>
      <w:r>
        <w:t xml:space="preserve">efficiency figure unsplit to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charger and discharger</w:t>
      </w:r>
      <w:r>
        <w:t xml:space="preserve"> </w:t>
      </w:r>
      <w:r>
        <w:rPr>
          <w:rStyle w:val="VerbatimChar"/>
        </w:rPr>
        <w:t xml:space="preserve">Link</w:t>
      </w:r>
      <w:r>
        <w:t xml:space="preserve">, compounding it (0.96 × 0.96 = 92.16% actual round-trip)</w:t>
      </w:r>
      <w:r>
        <w:t xml:space="preserve"> </w:t>
      </w:r>
      <w:r>
        <w:t xml:space="preserve">instead of reproducing the intended round-trip value.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each leg now uses</w:t>
      </w:r>
      <w:r>
        <w:t xml:space="preserve"> </w:t>
      </w:r>
      <w:r>
        <w:rPr>
          <w:rStyle w:val="VerbatimChar"/>
        </w:rPr>
        <w:t xml:space="preserve">sqrt(round_trip_efficiency)</w:t>
      </w:r>
      <w:r>
        <w:t xml:space="preserve">, matching the convention the</w:t>
      </w:r>
      <w:r>
        <w:t xml:space="preserve"> </w:t>
      </w:r>
      <w:r>
        <w:t xml:space="preserve">existing-battery</w:t>
      </w:r>
      <w:r>
        <w:t xml:space="preserve"> </w:t>
      </w:r>
      <w:r>
        <w:rPr>
          <w:rStyle w:val="VerbatimChar"/>
        </w:rPr>
        <w:t xml:space="preserve">StorageUnit</w:t>
      </w:r>
      <w:r>
        <w:t xml:space="preserve"> </w:t>
      </w:r>
      <w:r>
        <w:t xml:space="preserve">already used (once 6.1 was fixed) — both representations now</w:t>
      </w:r>
      <w:r>
        <w:t xml:space="preserve"> </w:t>
      </w:r>
      <w:r>
        <w:t xml:space="preserve">agree.</w:t>
      </w:r>
    </w:p>
    <w:bookmarkEnd w:id="30"/>
    <w:bookmarkStart w:id="31" w:name="Xd577791ef96162f024a5308597805932aa527a6"/>
    <w:p>
      <w:pPr>
        <w:pStyle w:val="Heading2"/>
      </w:pPr>
      <w:r>
        <w:t xml:space="preserve">6.3 Degradation cost placement (Store vs. Link signed-flow issue)</w:t>
      </w:r>
    </w:p>
    <w:p>
      <w:pPr>
        <w:pStyle w:val="FirstParagraph"/>
      </w:pPr>
      <w:r>
        <w:t xml:space="preserve">While wiring in the VOM/degradation cost (Section 4), found that the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component’s own</w:t>
      </w:r>
      <w:r>
        <w:t xml:space="preserve"> </w:t>
      </w:r>
      <w:r>
        <w:rPr>
          <w:rStyle w:val="VerbatimChar"/>
        </w:rPr>
        <w:t xml:space="preserve">marginal_cost</w:t>
      </w:r>
      <w:r>
        <w:t xml:space="preserve"> </w:t>
      </w:r>
      <w:r>
        <w:t xml:space="preserve">applies to its signed power flow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(positive discharging, negative</w:t>
      </w:r>
      <w:r>
        <w:t xml:space="preserve"> </w:t>
      </w:r>
      <w:r>
        <w:t xml:space="preserve">charging) — a positive</w:t>
      </w:r>
      <w:r>
        <w:t xml:space="preserve"> </w:t>
      </w:r>
      <w:r>
        <w:rPr>
          <w:rStyle w:val="VerbatimChar"/>
        </w:rPr>
        <w:t xml:space="preserve">marginal_cost</w:t>
      </w:r>
      <w:r>
        <w:t xml:space="preserve"> </w:t>
      </w:r>
      <w:r>
        <w:t xml:space="preserve">there would</w:t>
      </w:r>
      <w:r>
        <w:t xml:space="preserve"> </w:t>
      </w:r>
      <w:r>
        <w:rPr>
          <w:i/>
          <w:iCs/>
        </w:rPr>
        <w:t xml:space="preserve">reward</w:t>
      </w:r>
      <w:r>
        <w:t xml:space="preserve"> </w:t>
      </w:r>
      <w:r>
        <w:t xml:space="preserve">charging (negative cost) rather</w:t>
      </w:r>
      <w:r>
        <w:t xml:space="preserve"> </w:t>
      </w:r>
      <w:r>
        <w:t xml:space="preserve">than only charging for discharge.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marginal_cost</w:t>
      </w:r>
      <w:r>
        <w:t xml:space="preserve"> </w:t>
      </w:r>
      <w:r>
        <w:t xml:space="preserve">is explicitly kept at 0. The charger</w:t>
      </w:r>
      <w:r>
        <w:t xml:space="preserve"> </w:t>
      </w:r>
      <w:r>
        <w:rPr>
          <w:rStyle w:val="VerbatimChar"/>
        </w:rPr>
        <w:t xml:space="preserve">Link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marginal_cost</w:t>
      </w:r>
      <w:r>
        <w:t xml:space="preserve"> </w:t>
      </w:r>
      <w:r>
        <w:t xml:space="preserve">is explicitly kept at 0 too. The degradation VOM is applied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the</w:t>
      </w:r>
      <w:r>
        <w:t xml:space="preserve"> </w:t>
      </w:r>
      <w:r>
        <w:t xml:space="preserve">discharger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(whose flow is one-directional by construction) — once per MWh actually</w:t>
      </w:r>
      <w:r>
        <w:t xml:space="preserve"> </w:t>
      </w:r>
      <w:r>
        <w:t xml:space="preserve">delivered, matching how the existing-battery</w:t>
      </w:r>
      <w:r>
        <w:t xml:space="preserve"> </w:t>
      </w:r>
      <w:r>
        <w:rPr>
          <w:rStyle w:val="VerbatimChar"/>
        </w:rPr>
        <w:t xml:space="preserve">StorageUnit</w:t>
      </w:r>
      <w:r>
        <w:t xml:space="preserve">’s single</w:t>
      </w:r>
      <w:r>
        <w:t xml:space="preserve"> </w:t>
      </w:r>
      <w:r>
        <w:rPr>
          <w:rStyle w:val="VerbatimChar"/>
        </w:rPr>
        <w:t xml:space="preserve">marginal_cost</w:t>
      </w:r>
      <w:r>
        <w:t xml:space="preserve"> </w:t>
      </w:r>
      <w:r>
        <w:t xml:space="preserve">slot</w:t>
      </w:r>
      <w:r>
        <w:t xml:space="preserve"> </w:t>
      </w:r>
      <w:r>
        <w:t xml:space="preserve">already only charges on</w:t>
      </w:r>
      <w:r>
        <w:t xml:space="preserve"> </w:t>
      </w:r>
      <w:r>
        <w:rPr>
          <w:rStyle w:val="VerbatimChar"/>
        </w:rPr>
        <w:t xml:space="preserve">p_dispatch</w:t>
      </w:r>
      <w:r>
        <w:t xml:space="preserve"> </w:t>
      </w:r>
      <w:r>
        <w:t xml:space="preserve">(discharge), not</w:t>
      </w:r>
      <w:r>
        <w:t xml:space="preserve"> </w:t>
      </w:r>
      <w:r>
        <w:rPr>
          <w:rStyle w:val="VerbatimChar"/>
        </w:rPr>
        <w:t xml:space="preserve">p_store</w:t>
      </w:r>
      <w:r>
        <w:t xml:space="preserve"> </w:t>
      </w:r>
      <w:r>
        <w:t xml:space="preserve">(charging), by PyPSA’s own</w:t>
      </w:r>
      <w:r>
        <w:t xml:space="preserve"> </w:t>
      </w:r>
      <w:r>
        <w:t xml:space="preserve">design.</w:t>
      </w:r>
    </w:p>
    <w:bookmarkEnd w:id="31"/>
    <w:bookmarkStart w:id="32" w:name="Xbb904799f27cc820675c591d3b3f9552664a267"/>
    <w:p>
      <w:pPr>
        <w:pStyle w:val="Heading2"/>
      </w:pPr>
      <w:r>
        <w:t xml:space="preserve">6.4 Existing battery used a uniform assumed duration instead of real per-asset data</w:t>
      </w:r>
    </w:p>
    <w:p>
      <w:pPr>
        <w:pStyle w:val="FirstParagraph"/>
      </w:pPr>
      <w:r>
        <w:rPr>
          <w:rStyle w:val="VerbatimChar"/>
        </w:rPr>
        <w:t xml:space="preserve">attach_existing_batteries()</w:t>
      </w:r>
      <w:r>
        <w:t xml:space="preserve"> </w:t>
      </w:r>
      <w:r>
        <w:t xml:space="preserve">applied the single config-wide</w:t>
      </w:r>
      <w:r>
        <w:t xml:space="preserve"> </w:t>
      </w:r>
      <w:r>
        <w:rPr>
          <w:rStyle w:val="VerbatimChar"/>
        </w:rPr>
        <w:t xml:space="preserve">max_hours.battery: 8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existing battery asset, discarding real per-asset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/</w:t>
      </w:r>
      <w:r>
        <w:rPr>
          <w:rStyle w:val="VerbatimChar"/>
        </w:rPr>
        <w:t xml:space="preserve">StorageCapacity_MWh</w:t>
      </w:r>
      <w:r>
        <w:t xml:space="preserve"> </w:t>
      </w:r>
      <w:r>
        <w:t xml:space="preserve">data already present in</w:t>
      </w:r>
      <w:r>
        <w:t xml:space="preserve"> </w:t>
      </w:r>
      <w:r>
        <w:rPr>
          <w:rStyle w:val="VerbatimChar"/>
        </w:rPr>
        <w:t xml:space="preserve">powerplants.csv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capacity (MW)</w:t>
            </w:r>
          </w:p>
        </w:tc>
        <w:tc>
          <w:tcPr/>
          <w:p>
            <w:pPr>
              <w:pStyle w:val="Compact"/>
            </w:pPr>
            <w:r>
              <w:t xml:space="preserve">real duration (h)</w:t>
            </w:r>
          </w:p>
        </w:tc>
        <w:tc>
          <w:tcPr/>
          <w:p>
            <w:pPr>
              <w:pStyle w:val="Compact"/>
            </w:pPr>
            <w:r>
              <w:t xml:space="preserve">real energy (MWh)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160.0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72.0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45.0</w:t>
            </w:r>
          </w:p>
        </w:tc>
      </w:tr>
    </w:tbl>
    <w:p>
      <w:pPr>
        <w:pStyle w:val="BodyText"/>
      </w:pPr>
      <w:r>
        <w:t xml:space="preserve">Capacity-weighted real average:</w:t>
      </w:r>
      <w:r>
        <w:t xml:space="preserve"> </w:t>
      </w:r>
      <w:r>
        <w:rPr>
          <w:b/>
          <w:bCs/>
        </w:rPr>
        <w:t xml:space="preserve">~3.34 hours</w:t>
      </w:r>
      <w:r>
        <w:t xml:space="preserve"> </w:t>
      </w:r>
      <w:r>
        <w:t xml:space="preserve">— the model had been treating this fleet as</w:t>
      </w:r>
      <w:r>
        <w:t xml:space="preserve"> </w:t>
      </w:r>
      <w:r>
        <w:t xml:space="preserve">uniformly 8-hour,</w:t>
      </w:r>
      <w:r>
        <w:t xml:space="preserve"> </w:t>
      </w:r>
      <w:r>
        <w:rPr>
          <w:b/>
          <w:bCs/>
        </w:rPr>
        <w:t xml:space="preserve">overstating existing battery energy capacity by ~2.4x</w:t>
      </w:r>
      <w:r>
        <w:t xml:space="preserve"> </w:t>
      </w:r>
      <w:r>
        <w:t xml:space="preserve">(297 MWh actual</w:t>
      </w:r>
      <w:r>
        <w:t xml:space="preserve"> </w:t>
      </w:r>
      <w:r>
        <w:t xml:space="preserve">vs. 712 MWh as modelled, matching the flat 712 MWh figure observed across every network</w:t>
      </w:r>
      <w:r>
        <w:t xml:space="preserve"> </w:t>
      </w:r>
      <w:r>
        <w:t xml:space="preserve">solved this session).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attach_existing_batteries()</w:t>
      </w:r>
      <w:r>
        <w:t xml:space="preserve"> </w:t>
      </w:r>
      <w:r>
        <w:t xml:space="preserve">now reads each asset’s own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powerplants.csv</w:t>
      </w:r>
      <w:r>
        <w:t xml:space="preserve"> </w:t>
      </w:r>
      <w:r>
        <w:t xml:space="preserve">(falling back to the config default only where real data is missing/</w:t>
      </w:r>
      <w:r>
        <w:t xml:space="preserve"> </w:t>
      </w:r>
      <w:r>
        <w:t xml:space="preserve">non-positive).</w:t>
      </w:r>
    </w:p>
    <w:bookmarkEnd w:id="32"/>
    <w:bookmarkStart w:id="33" w:name="Xdccadd9dd1808df3637fccb6066cd0ef8e76cb9"/>
    <w:p>
      <w:pPr>
        <w:pStyle w:val="Heading2"/>
      </w:pPr>
      <w:r>
        <w:t xml:space="preserve">6.5 Existing battery capital cost was blended at the wrong (uniform) duration</w:t>
      </w:r>
    </w:p>
    <w:p>
      <w:pPr>
        <w:pStyle w:val="FirstParagraph"/>
      </w:pPr>
      <w:r>
        <w:t xml:space="preserve">A consequence of 6.4:</w:t>
      </w:r>
      <w:r>
        <w:t xml:space="preserve"> </w:t>
      </w:r>
      <w:r>
        <w:rPr>
          <w:rStyle w:val="VerbatimChar"/>
        </w:rPr>
        <w:t xml:space="preserve">costs.at["battery", "capital_cost"]</w:t>
      </w:r>
      <w:r>
        <w:t xml:space="preserve"> </w:t>
      </w:r>
      <w:r>
        <w:t xml:space="preserve">is a single figure computed by</w:t>
      </w:r>
      <w:r>
        <w:t xml:space="preserve"> </w:t>
      </w:r>
      <w:r>
        <w:t xml:space="preserve">blending inverter + storage costs at the config-wide</w:t>
      </w:r>
      <w:r>
        <w:t xml:space="preserve"> </w:t>
      </w:r>
      <w:r>
        <w:rPr>
          <w:rStyle w:val="VerbatimChar"/>
        </w:rPr>
        <w:t xml:space="preserve">max_hours</w:t>
      </w:r>
      <w:r>
        <w:t xml:space="preserve"> </w:t>
      </w:r>
      <w:r>
        <w:t xml:space="preserve">(8h). Charging every asset</w:t>
      </w:r>
      <w:r>
        <w:t xml:space="preserve"> </w:t>
      </w:r>
      <w:r>
        <w:t xml:space="preserve">this same blended rate regardless of its own real duration overstated the cost of</w:t>
      </w:r>
      <w:r>
        <w:t xml:space="preserve"> </w:t>
      </w:r>
      <w:r>
        <w:t xml:space="preserve">shorter-duration assets (e.g. a real 2h battery billed as if it carried 8h of storage CapEx).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capital cost is now recomputed per-asset from the un-blended inverter/storage</w:t>
      </w:r>
      <w:r>
        <w:t xml:space="preserve"> </w:t>
      </w:r>
      <w:r>
        <w:t xml:space="preserve">component costs, using each asset’s own real duration:</w:t>
      </w:r>
    </w:p>
    <w:p>
      <w:pPr>
        <w:pStyle w:val="SourceCode"/>
      </w:pPr>
      <w:r>
        <w:rPr>
          <w:rStyle w:val="VerbatimChar"/>
        </w:rPr>
        <w:t xml:space="preserve">asset_capital_cost = inverter_capital_cost + asset_duration × storage_capital_cost</w:t>
      </w:r>
    </w:p>
    <w:p>
      <w:pPr>
        <w:pStyle w:val="FirstParagraph"/>
      </w:pPr>
      <w:r>
        <w:t xml:space="preserve">Verified against real data (pre-recalibration cost basis, for illustration):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capacity (MW)</w:t>
            </w:r>
          </w:p>
        </w:tc>
        <w:tc>
          <w:tcPr/>
          <w:p>
            <w:pPr>
              <w:pStyle w:val="Compact"/>
            </w:pPr>
            <w:r>
              <w:t xml:space="preserve">duration (h)</w:t>
            </w:r>
          </w:p>
        </w:tc>
        <w:tc>
          <w:tcPr/>
          <w:p>
            <w:pPr>
              <w:pStyle w:val="Compact"/>
            </w:pPr>
            <w:r>
              <w:t xml:space="preserve">old capital_cost (uniform, €/MW/yr)</w:t>
            </w:r>
          </w:p>
        </w:tc>
        <w:tc>
          <w:tcPr/>
          <w:p>
            <w:pPr>
              <w:pStyle w:val="Compact"/>
            </w:pPr>
            <w:r>
              <w:t xml:space="preserve">new capital_cost (per-asset, €/MW/yr)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128,460</w:t>
            </w:r>
          </w:p>
        </w:tc>
        <w:tc>
          <w:tcPr/>
          <w:p>
            <w:pPr>
              <w:pStyle w:val="Compact"/>
            </w:pPr>
            <w:r>
              <w:t xml:space="preserve">76,629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128,460</w:t>
            </w:r>
          </w:p>
        </w:tc>
        <w:tc>
          <w:tcPr/>
          <w:p>
            <w:pPr>
              <w:pStyle w:val="Compact"/>
            </w:pPr>
            <w:r>
              <w:t xml:space="preserve">50,714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128,460</w:t>
            </w:r>
          </w:p>
        </w:tc>
        <w:tc>
          <w:tcPr/>
          <w:p>
            <w:pPr>
              <w:pStyle w:val="Compact"/>
            </w:pPr>
            <w:r>
              <w:t xml:space="preserve">63,672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128,460</w:t>
            </w:r>
          </w:p>
        </w:tc>
        <w:tc>
          <w:tcPr/>
          <w:p>
            <w:pPr>
              <w:pStyle w:val="Compact"/>
            </w:pPr>
            <w:r>
              <w:t xml:space="preserve">63,672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lifetime-checked-not-changed"/>
    <w:p>
      <w:pPr>
        <w:pStyle w:val="Heading1"/>
      </w:pPr>
      <w:r>
        <w:t xml:space="preserve">7. Lifetime (checked, not changed)</w:t>
      </w:r>
    </w:p>
    <w:p>
      <w:pPr>
        <w:pStyle w:val="FirstParagraph"/>
      </w:pPr>
      <w:r>
        <w:t xml:space="preserve">DEA’s inverter lifetime is flat at</w:t>
      </w:r>
      <w:r>
        <w:t xml:space="preserve"> </w:t>
      </w:r>
      <w:r>
        <w:rPr>
          <w:b/>
          <w:bCs/>
        </w:rPr>
        <w:t xml:space="preserve">10 years</w:t>
      </w:r>
      <w:r>
        <w:t xml:space="preserve"> </w:t>
      </w:r>
      <w:r>
        <w:t xml:space="preserve">across the entire 2025–2050 projection, while</w:t>
      </w:r>
      <w:r>
        <w:t xml:space="preserve"> </w:t>
      </w:r>
      <w:r>
        <w:t xml:space="preserve">storage lifetime rises (22.5y → 25y → 27.5y → 30y, 2025→2040, then flat). This asymmetry —</w:t>
      </w:r>
      <w:r>
        <w:t xml:space="preserve"> </w:t>
      </w:r>
      <w:r>
        <w:t xml:space="preserve">one component’s lifetime improving, the other static — was investigated but not corrected:</w:t>
      </w:r>
    </w:p>
    <w:p>
      <w:pPr>
        <w:pStyle w:val="Compact"/>
        <w:numPr>
          <w:ilvl w:val="0"/>
          <w:numId w:val="1007"/>
        </w:numPr>
      </w:pPr>
      <w:r>
        <w:t xml:space="preserve">NREL’s own whole-system lifetime figure is</w:t>
      </w:r>
      <w:r>
        <w:t xml:space="preserve"> </w:t>
      </w:r>
      <w:r>
        <w:rPr>
          <w:b/>
          <w:bCs/>
        </w:rPr>
        <w:t xml:space="preserve">15 years</w:t>
      </w:r>
      <w:r>
        <w:t xml:space="preserve">, explicitly described as</w:t>
      </w:r>
      <w:r>
        <w:t xml:space="preserve"> </w:t>
      </w:r>
      <w:r>
        <w:t xml:space="preserve">conservative/low end of the literature (</w:t>
      </w:r>
      <w:r>
        <w:rPr>
          <w:i/>
          <w:iCs/>
        </w:rPr>
        <w:t xml:space="preserve">“existing 4-hour batteries are all new, so no</w:t>
      </w:r>
      <w:r>
        <w:rPr>
          <w:i/>
          <w:iCs/>
        </w:rPr>
        <w:t xml:space="preserve"> </w:t>
      </w:r>
      <w:r>
        <w:rPr>
          <w:i/>
          <w:iCs/>
        </w:rPr>
        <w:t xml:space="preserve">system has yet reached 15 or more years”</w:t>
      </w:r>
      <w:r>
        <w:t xml:space="preserve">), with published values reportedly ranging up</w:t>
      </w:r>
      <w:r>
        <w:t xml:space="preserve"> </w:t>
      </w:r>
      <w:r>
        <w:t xml:space="preserve">toward ~20–25 years.</w:t>
      </w:r>
    </w:p>
    <w:p>
      <w:pPr>
        <w:pStyle w:val="Compact"/>
        <w:numPr>
          <w:ilvl w:val="0"/>
          <w:numId w:val="1007"/>
        </w:numPr>
      </w:pPr>
      <w:r>
        <w:t xml:space="preserve">NREL’s own methodology also keeps lifetime</w:t>
      </w:r>
      <w:r>
        <w:t xml:space="preserve"> </w:t>
      </w:r>
      <w:r>
        <w:rPr>
          <w:b/>
          <w:bCs/>
        </w:rPr>
        <w:t xml:space="preserve">flat</w:t>
      </w:r>
      <w:r>
        <w:t xml:space="preserve"> </w:t>
      </w:r>
      <w:r>
        <w:t xml:space="preserve">across their whole projection period —</w:t>
      </w:r>
      <w:r>
        <w:t xml:space="preserve"> </w:t>
      </w:r>
      <w:r>
        <w:t xml:space="preserve">no rising trend, same pattern as the efficiency finding in Section 5.</w:t>
      </w:r>
    </w:p>
    <w:p>
      <w:pPr>
        <w:pStyle w:val="FirstParagraph"/>
      </w:pPr>
      <w:r>
        <w:rPr>
          <w:b/>
          <w:bCs/>
        </w:rPr>
        <w:t xml:space="preserve">Not changed</w:t>
      </w:r>
      <w:r>
        <w:t xml:space="preserve">, given its smaller impact on total system cost relative to CapEx/FOM/VOM, and</w:t>
      </w:r>
      <w:r>
        <w:t xml:space="preserve"> </w:t>
      </w:r>
      <w:r>
        <w:t xml:space="preserve">because raising the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(10y → ~15y) without a sourced</w:t>
      </w:r>
      <w:r>
        <w:t xml:space="preserve"> </w:t>
      </w:r>
      <w:r>
        <w:rPr>
          <w:i/>
          <w:iCs/>
        </w:rPr>
        <w:t xml:space="preserve">trajectory</w:t>
      </w:r>
      <w:r>
        <w:t xml:space="preserve"> </w:t>
      </w:r>
      <w:r>
        <w:t xml:space="preserve">would introduce the</w:t>
      </w:r>
      <w:r>
        <w:t xml:space="preserve"> </w:t>
      </w:r>
      <w:r>
        <w:t xml:space="preserve">same kind of unsourced-guess problem avoided elsewhere in this document. Left as a documented</w:t>
      </w:r>
      <w:r>
        <w:t xml:space="preserve"> </w:t>
      </w:r>
      <w:r>
        <w:t xml:space="preserve">open item, not a correction.</w:t>
      </w:r>
    </w:p>
    <w:p>
      <w:r>
        <w:pict>
          <v:rect style="width:0;height:1.5pt" o:hralign="center" o:hrstd="t" o:hr="t"/>
        </w:pict>
      </w:r>
    </w:p>
    <w:bookmarkEnd w:id="35"/>
    <w:bookmarkStart w:id="36" w:name="summary-table-final-applied-values"/>
    <w:p>
      <w:pPr>
        <w:pStyle w:val="Heading1"/>
      </w:pPr>
      <w:r>
        <w:t xml:space="preserve">8. Summary table — final applied values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inverter CapEx (€/MW)</w:t>
            </w:r>
          </w:p>
        </w:tc>
        <w:tc>
          <w:tcPr/>
          <w:p>
            <w:pPr>
              <w:pStyle w:val="Compact"/>
            </w:pPr>
            <w:r>
              <w:t xml:space="preserve">storage CapEx (€/MWh)</w:t>
            </w:r>
          </w:p>
        </w:tc>
        <w:tc>
          <w:tcPr/>
          <w:p>
            <w:pPr>
              <w:pStyle w:val="Compact"/>
            </w:pPr>
            <w:r>
              <w:t xml:space="preserve">FOM (%/yr, both)</w:t>
            </w:r>
          </w:p>
        </w:tc>
        <w:tc>
          <w:tcPr/>
          <w:p>
            <w:pPr>
              <w:pStyle w:val="Compact"/>
            </w:pPr>
            <w:r>
              <w:t xml:space="preserve">VOM/degradation (€/MWh)</w:t>
            </w:r>
          </w:p>
        </w:tc>
        <w:tc>
          <w:tcPr/>
          <w:p>
            <w:pPr>
              <w:pStyle w:val="Compact"/>
            </w:pPr>
            <w:r>
              <w:t xml:space="preserve">round-trip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88,437</w:t>
            </w:r>
          </w:p>
        </w:tc>
        <w:tc>
          <w:tcPr/>
          <w:p>
            <w:pPr>
              <w:pStyle w:val="Compact"/>
            </w:pPr>
            <w:r>
              <w:t xml:space="preserve">78,488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15.70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2035</w:t>
            </w:r>
          </w:p>
        </w:tc>
        <w:tc>
          <w:tcPr/>
          <w:p>
            <w:pPr>
              <w:pStyle w:val="Compact"/>
            </w:pPr>
            <w:r>
              <w:t xml:space="preserve">75,682</w:t>
            </w:r>
          </w:p>
        </w:tc>
        <w:tc>
          <w:tcPr/>
          <w:p>
            <w:pPr>
              <w:pStyle w:val="Compact"/>
            </w:pPr>
            <w:r>
              <w:t xml:space="preserve">68,696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13.74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2040</w:t>
            </w:r>
          </w:p>
        </w:tc>
        <w:tc>
          <w:tcPr/>
          <w:p>
            <w:pPr>
              <w:pStyle w:val="Compact"/>
            </w:pPr>
            <w:r>
              <w:t xml:space="preserve">66,962</w:t>
            </w:r>
          </w:p>
        </w:tc>
        <w:tc>
          <w:tcPr/>
          <w:p>
            <w:pPr>
              <w:pStyle w:val="Compact"/>
            </w:pPr>
            <w:r>
              <w:t xml:space="preserve">62,944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12.59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2045</w:t>
            </w:r>
          </w:p>
        </w:tc>
        <w:tc>
          <w:tcPr/>
          <w:p>
            <w:pPr>
              <w:pStyle w:val="Compact"/>
            </w:pPr>
            <w:r>
              <w:t xml:space="preserve">55,206</w:t>
            </w:r>
          </w:p>
        </w:tc>
        <w:tc>
          <w:tcPr/>
          <w:p>
            <w:pPr>
              <w:pStyle w:val="Compact"/>
            </w:pPr>
            <w:r>
              <w:t xml:space="preserve">58,311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11.66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2050</w:t>
            </w:r>
          </w:p>
        </w:tc>
        <w:tc>
          <w:tcPr/>
          <w:p>
            <w:pPr>
              <w:pStyle w:val="Compact"/>
            </w:pPr>
            <w:r>
              <w:t xml:space="preserve">42,787</w:t>
            </w:r>
          </w:p>
        </w:tc>
        <w:tc>
          <w:tcPr/>
          <w:p>
            <w:pPr>
              <w:pStyle w:val="Compact"/>
            </w:pPr>
            <w:r>
              <w:t xml:space="preserve">53,484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10.70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</w:tbl>
    <w:p>
      <w:pPr>
        <w:pStyle w:val="BodyText"/>
      </w:pPr>
      <w:r>
        <w:t xml:space="preserve">Applied identically across all 10 batch configs (</w:t>
      </w:r>
      <w:r>
        <w:rPr>
          <w:rStyle w:val="VerbatimChar"/>
        </w:rPr>
        <w:t xml:space="preserve">config.uc_bess_{2030,2035,2040,2045,2050}.yaml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config.uc_no_bess_{2030,2035,2040,2045,2050}.yaml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costs.{investment,FOM,VOM,efficiency}</w:t>
      </w:r>
      <w:r>
        <w:t xml:space="preserve"> </w:t>
      </w:r>
      <w:r>
        <w:t xml:space="preserve">overrides. Lifetime left at DEA’s own default trajectory (Section 7).</w:t>
      </w:r>
    </w:p>
    <w:p>
      <w:r>
        <w:pict>
          <v:rect style="width:0;height:1.5pt" o:hralign="center" o:hrstd="t" o:hr="t"/>
        </w:pict>
      </w:r>
    </w:p>
    <w:bookmarkEnd w:id="36"/>
    <w:bookmarkStart w:id="37" w:name="sources"/>
    <w:p>
      <w:pPr>
        <w:pStyle w:val="Heading1"/>
      </w:pPr>
      <w:r>
        <w:t xml:space="preserve">9. Sources</w:t>
      </w:r>
    </w:p>
    <w:p>
      <w:pPr>
        <w:pStyle w:val="Compact"/>
        <w:numPr>
          <w:ilvl w:val="0"/>
          <w:numId w:val="1008"/>
        </w:numPr>
      </w:pPr>
      <w:r>
        <w:t xml:space="preserve">Danish Energy Agency,</w:t>
      </w:r>
      <w:r>
        <w:t xml:space="preserve"> </w:t>
      </w:r>
      <w:r>
        <w:rPr>
          <w:i/>
          <w:iCs/>
        </w:rPr>
        <w:t xml:space="preserve">Technology Data Catalogue for Energy Storage</w:t>
      </w:r>
      <w:r>
        <w:t xml:space="preserve">, as distributed via</w:t>
      </w:r>
      <w:r>
        <w:t xml:space="preserve"> </w:t>
      </w:r>
      <w:r>
        <w:t xml:space="preserve">the PyPSA</w:t>
      </w:r>
      <w:r>
        <w:t xml:space="preserve"> </w:t>
      </w:r>
      <w:r>
        <w:rPr>
          <w:rStyle w:val="VerbatimChar"/>
        </w:rPr>
        <w:t xml:space="preserve">technology-data</w:t>
      </w:r>
      <w:r>
        <w:t xml:space="preserve"> </w:t>
      </w:r>
      <w:r>
        <w:t xml:space="preserve">project (v0.13.2).</w:t>
      </w:r>
    </w:p>
    <w:p>
      <w:pPr>
        <w:pStyle w:val="Compact"/>
        <w:numPr>
          <w:ilvl w:val="0"/>
          <w:numId w:val="1008"/>
        </w:numPr>
      </w:pPr>
      <w:r>
        <w:t xml:space="preserve">Cole, W. et al. (2025),</w:t>
      </w:r>
      <w:r>
        <w:t xml:space="preserve"> </w:t>
      </w:r>
      <w:r>
        <w:rPr>
          <w:i/>
          <w:iCs/>
        </w:rPr>
        <w:t xml:space="preserve">Cost Projections for Utility-Scale Battery Storage: 2025 Update</w:t>
      </w:r>
      <w:r>
        <w:t xml:space="preserve">,</w:t>
      </w:r>
      <w:r>
        <w:t xml:space="preserve"> </w:t>
      </w:r>
      <w:r>
        <w:t xml:space="preserve">National Renewable Energy Laboratory, NREL/TP-6A40-93281.</w:t>
      </w:r>
      <w:r>
        <w:t xml:space="preserve"> </w:t>
      </w:r>
      <w:r>
        <w:t xml:space="preserve">https://docs.nrel.gov/docs/fy25osti/93281.pdf</w:t>
      </w:r>
    </w:p>
    <w:p>
      <w:pPr>
        <w:pStyle w:val="Compact"/>
        <w:numPr>
          <w:ilvl w:val="0"/>
          <w:numId w:val="1008"/>
        </w:numPr>
      </w:pPr>
      <w:r>
        <w:t xml:space="preserve">Ember (Dec 2025),</w:t>
      </w:r>
      <w:r>
        <w:t xml:space="preserve"> </w:t>
      </w:r>
      <w:r>
        <w:rPr>
          <w:i/>
          <w:iCs/>
        </w:rPr>
        <w:t xml:space="preserve">“How cheap is battery storage?”</w:t>
      </w:r>
      <w:r>
        <w:t xml:space="preserve">.</w:t>
      </w:r>
      <w:r>
        <w:t xml:space="preserve"> </w:t>
      </w:r>
      <w:r>
        <w:t xml:space="preserve">https://ember-energy.org/latest-insights/how-cheap-is-battery-storage/</w:t>
      </w:r>
    </w:p>
    <w:p>
      <w:pPr>
        <w:pStyle w:val="Compact"/>
        <w:numPr>
          <w:ilvl w:val="0"/>
          <w:numId w:val="1008"/>
        </w:numPr>
      </w:pPr>
      <w:r>
        <w:t xml:space="preserve">Lazard, Levelized Cost of Storage (LCOS) analysis — cited within the Ember source above as</w:t>
      </w:r>
      <w:r>
        <w:t xml:space="preserve"> </w:t>
      </w:r>
      <w:r>
        <w:t xml:space="preserve">an independent cross-check on the ~2% O&amp;M figure.</w:t>
      </w:r>
    </w:p>
    <w:p>
      <w:pPr>
        <w:pStyle w:val="Compact"/>
        <w:numPr>
          <w:ilvl w:val="0"/>
          <w:numId w:val="1008"/>
        </w:numPr>
      </w:pPr>
      <w:r>
        <w:t xml:space="preserve">Factoring the Cycle Aging Cost of Batteries Participating in Electricity Markets (cycle-</w:t>
      </w:r>
      <w:r>
        <w:t xml:space="preserve"> </w:t>
      </w:r>
      <w:r>
        <w:t xml:space="preserve">aging cost methodology reference).</w:t>
      </w:r>
    </w:p>
    <w:p>
      <w:pPr>
        <w:pStyle w:val="FirstParagraph"/>
      </w:pPr>
      <w:r>
        <w:rPr>
          <w:i/>
          <w:iCs/>
        </w:rPr>
        <w:t xml:space="preserve">Document prepared from the working session recalibrating BESS input assumptions in the</w:t>
      </w:r>
      <w:r>
        <w:rPr>
          <w:i/>
          <w:iCs/>
        </w:rPr>
        <w:t xml:space="preserve"> </w:t>
      </w:r>
      <w:r>
        <w:rPr>
          <w:i/>
          <w:iCs/>
        </w:rPr>
        <w:t xml:space="preserve">Senegal PyPSA-Earth model. All external figures were independently fetched/verified during</w:t>
      </w:r>
      <w:r>
        <w:rPr>
          <w:i/>
          <w:iCs/>
        </w:rPr>
        <w:t xml:space="preserve"> </w:t>
      </w:r>
      <w:r>
        <w:rPr>
          <w:i/>
          <w:iCs/>
        </w:rPr>
        <w:t xml:space="preserve">that session rather than taken from memory; see the two associated Jupyter notebooks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Input_Cost_EDA.ipynb</w:t>
      </w:r>
      <w:r>
        <w:rPr>
          <w:i/>
          <w:iCs/>
        </w:rPr>
        <w:t xml:space="preserve">, Sections 9–12) for the underlying computation and plots.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BESS Input Cost Assumptions — Methodology and Sources</dc:title>
  <dc:creator/>
  <cp:keywords/>
  <dcterms:created xsi:type="dcterms:W3CDTF">2026-08-18T13:12:45Z</dcterms:created>
  <dcterms:modified xsi:type="dcterms:W3CDTF">2026-08-18T13:12:45Z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2026-08-18</vt:lpwstr>
  </property>
  <property fmtid="{D5CDD505-2E9C-101B-9397-08002B2CF9AE}" pid="3" name="subtitle">
    <vt:lpwstr>Senegal PyPSA-Earth model: recalibration of battery storage inputs against real-world benchmarks</vt:lpwstr>
  </property>
</Properties>
</file>