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Generation Technology Cost Assumptions — Methodology and Sources</w:t>
      </w:r>
    </w:p>
    <w:p>
      <w:pPr>
        <w:pStyle w:val="Subtitle"/>
      </w:pPr>
      <w:r>
        <w:t xml:space="preserve">Senegal PyPSA-Earth model: benchmarking of solar, wind, hydro, and thermal generation inputs against real-world sources, and correction of fuel costs</w:t>
      </w:r>
    </w:p>
    <w:p>
      <w:pPr>
        <w:pStyle w:val="Date"/>
      </w:pPr>
      <w:r>
        <w:t xml:space="preserve">2026-08-18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The PyPSA-Earth pipeline sources generation technology costs from the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 </w:t>
      </w:r>
      <w:r>
        <w:t xml:space="preserve">project (v0.13.2), which in turn compiles figures from a mix of sources per technology —</w:t>
      </w:r>
      <w:r>
        <w:t xml:space="preserve"> </w:t>
      </w:r>
      <w:r>
        <w:t xml:space="preserve">predominantly the Danish Energy Agency (DEA)</w:t>
      </w:r>
      <w:r>
        <w:t xml:space="preserve"> </w:t>
      </w:r>
      <w:r>
        <w:rPr>
          <w:i/>
          <w:iCs/>
        </w:rPr>
        <w:t xml:space="preserve">Technology Data Catalogue for Generation of</w:t>
      </w:r>
      <w:r>
        <w:rPr>
          <w:i/>
          <w:iCs/>
        </w:rPr>
        <w:t xml:space="preserve"> </w:t>
      </w:r>
      <w:r>
        <w:rPr>
          <w:i/>
          <w:iCs/>
        </w:rPr>
        <w:t xml:space="preserve">Electricity and District Heating</w:t>
      </w:r>
      <w:r>
        <w:t xml:space="preserve">, with some older carriers (CCGT, OCGT, oil, coal, biomass</w:t>
      </w:r>
      <w:r>
        <w:t xml:space="preserve"> </w:t>
      </w:r>
      <w:r>
        <w:t xml:space="preserve">fuel costs) backfilled from a 2013 DIW working paper itself based on 2010–2011-vintage IEA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This document records the benchmarking exercise carried out against independent external</w:t>
      </w:r>
      <w:r>
        <w:t xml:space="preserve"> </w:t>
      </w:r>
      <w:r>
        <w:t xml:space="preserve">sources for every non-storage generation carrier in the model (</w:t>
      </w:r>
      <w:r>
        <w:rPr>
          <w:rStyle w:val="VerbatimChar"/>
        </w:rPr>
        <w:t xml:space="preserve">solar</w:t>
      </w:r>
      <w:r>
        <w:t xml:space="preserve">,</w:t>
      </w:r>
      <w:r>
        <w:t xml:space="preserve"> </w:t>
      </w:r>
      <w:r>
        <w:rPr>
          <w:rStyle w:val="VerbatimChar"/>
        </w:rPr>
        <w:t xml:space="preserve">onwind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hydro</w:t>
      </w:r>
      <w:r>
        <w:t xml:space="preserve">,</w:t>
      </w:r>
      <w:r>
        <w:t xml:space="preserve"> </w:t>
      </w:r>
      <w:r>
        <w:rPr>
          <w:rStyle w:val="VerbatimChar"/>
        </w:rPr>
        <w:t xml:space="preserve">CCGT</w:t>
      </w:r>
      <w:r>
        <w:t xml:space="preserve">,</w:t>
      </w:r>
      <w:r>
        <w:t xml:space="preserve"> </w:t>
      </w:r>
      <w:r>
        <w:rPr>
          <w:rStyle w:val="VerbatimChar"/>
        </w:rPr>
        <w:t xml:space="preserve">OCGT</w:t>
      </w:r>
      <w:r>
        <w:t xml:space="preserve">,</w:t>
      </w:r>
      <w:r>
        <w:t xml:space="preserve"> </w:t>
      </w:r>
      <w:r>
        <w:rPr>
          <w:rStyle w:val="VerbatimChar"/>
        </w:rPr>
        <w:t xml:space="preserve">oil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coal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) across six parameters —</w:t>
      </w:r>
      <w:r>
        <w:t xml:space="preserve"> </w:t>
      </w:r>
      <w:r>
        <w:rPr>
          <w:b/>
          <w:bCs/>
        </w:rPr>
        <w:t xml:space="preserve">investment (CapEx),</w:t>
      </w:r>
      <w:r>
        <w:rPr>
          <w:b/>
          <w:bCs/>
        </w:rPr>
        <w:t xml:space="preserve"> </w:t>
      </w:r>
      <w:r>
        <w:rPr>
          <w:b/>
          <w:bCs/>
        </w:rPr>
        <w:t xml:space="preserve">lifetime, efficiency, fixed O&amp;M (FOM), variable O&amp;M (VOM), and fuel cost</w:t>
      </w:r>
      <w:r>
        <w:t xml:space="preserve"> </w:t>
      </w:r>
      <w:r>
        <w:t xml:space="preserve">— and what, if</w:t>
      </w:r>
      <w:r>
        <w:t xml:space="preserve"> </w:t>
      </w:r>
      <w:r>
        <w:t xml:space="preserve">anything, was corrected as a result.</w:t>
      </w:r>
    </w:p>
    <w:p>
      <w:pPr>
        <w:pStyle w:val="BodyText"/>
      </w:pPr>
      <w:r>
        <w:rPr>
          <w:b/>
          <w:bCs/>
        </w:rPr>
        <w:t xml:space="preserve">Only fuel cost was corrected in this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gas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coal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biomass</w:t>
      </w:r>
      <w:r>
        <w:t xml:space="preserve">;</w:t>
      </w:r>
      <w:r>
        <w:t xml:space="preserve"> </w:t>
      </w:r>
      <w:r>
        <w:rPr>
          <w:rStyle w:val="VerbatimChar"/>
        </w:rPr>
        <w:t xml:space="preserve">oil</w:t>
      </w:r>
      <w:r>
        <w:t xml:space="preserve"> </w:t>
      </w:r>
      <w:r>
        <w:t xml:space="preserve">was checked and</w:t>
      </w:r>
      <w:r>
        <w:t xml:space="preserve"> </w:t>
      </w:r>
      <w:r>
        <w:t xml:space="preserve">left unchanged). Investment, lifetime, efficiency, and FOM/VOM were all benchmarked and are</w:t>
      </w:r>
      <w:r>
        <w:t xml:space="preserve"> </w:t>
      </w:r>
      <w:r>
        <w:t xml:space="preserve">reported below, but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changed: in most cases the model’s figures were found to be</w:t>
      </w:r>
      <w:r>
        <w:t xml:space="preserve"> </w:t>
      </w:r>
      <w:r>
        <w:t xml:space="preserve">reasonably close to at least one credible reference, and where a real gap was found (onshore</w:t>
      </w:r>
      <w:r>
        <w:t xml:space="preserve"> </w:t>
      </w:r>
      <w:r>
        <w:t xml:space="preserve">wind CapEx and FOM, biomass efficiency and VOM), it is recorded here as a flagged, open item</w:t>
      </w:r>
      <w:r>
        <w:t xml:space="preserve"> </w:t>
      </w:r>
      <w:r>
        <w:t xml:space="preserve">for a future sensitivity run rather than corrected outright, for the same reason described in</w:t>
      </w:r>
      <w:r>
        <w:t xml:space="preserve"> </w:t>
      </w:r>
      <w:r>
        <w:t xml:space="preserve">the companion BESS document — every changed number in this project traces to a specific</w:t>
      </w:r>
      <w:r>
        <w:t xml:space="preserve"> </w:t>
      </w:r>
      <w:r>
        <w:t xml:space="preserve">source, and no clean, current, Senegal-specific benchmark could be found for those particular</w:t>
      </w:r>
      <w:r>
        <w:t xml:space="preserve"> </w:t>
      </w:r>
      <w:r>
        <w:t xml:space="preserve">figures to correct</w:t>
      </w:r>
      <w:r>
        <w:t xml:space="preserve"> </w:t>
      </w:r>
      <w:r>
        <w:rPr>
          <w:i/>
          <w:iCs/>
        </w:rPr>
        <w:t xml:space="preserve">to</w:t>
      </w:r>
      <w:r>
        <w:t xml:space="preserve">.</w:t>
      </w:r>
    </w:p>
    <w:p>
      <w:pPr>
        <w:pStyle w:val="BodyText"/>
      </w:pPr>
      <w:r>
        <w:t xml:space="preserve">Battery storage (BESS) inputs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re-covered here in depth — that recalibration</w:t>
      </w:r>
      <w:r>
        <w:t xml:space="preserve"> </w:t>
      </w:r>
      <w:r>
        <w:t xml:space="preserve">(CapEx, FOM, VOM/degradation, efficiency) was done separately and is documented in</w:t>
      </w:r>
      <w:r>
        <w:t xml:space="preserve"> </w:t>
      </w:r>
      <w:r>
        <w:rPr>
          <w:i/>
          <w:iCs/>
        </w:rPr>
        <w:t xml:space="preserve">BESS_cost_assumptions</w:t>
      </w:r>
      <w:r>
        <w:t xml:space="preserve"> </w:t>
      </w:r>
      <w:r>
        <w:t xml:space="preserve">(Section 8 below gives a one-paragraph summary for completeness).</w:t>
      </w:r>
    </w:p>
    <w:p>
      <w:pPr>
        <w:pStyle w:val="BodyText"/>
      </w:pPr>
      <w:r>
        <w:t xml:space="preserve">All fuel cost changes are applied via</w:t>
      </w:r>
      <w:r>
        <w:t xml:space="preserve"> </w:t>
      </w:r>
      <w:r>
        <w:rPr>
          <w:rStyle w:val="VerbatimChar"/>
        </w:rPr>
        <w:t xml:space="preserve">costs.fuel:</w:t>
      </w:r>
      <w:r>
        <w:t xml:space="preserve"> </w:t>
      </w:r>
      <w:r>
        <w:t xml:space="preserve">overrides in each scenario’s config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config.uc_bess_{year}.yaml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config.uc_no_bess_{year}.yaml</w:t>
      </w:r>
      <w:r>
        <w:t xml:space="preserve">, years 2025–2050), flowing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process_cost_data.py</w:t>
      </w:r>
      <w:r>
        <w:t xml:space="preserve">’s override loop into the resolved cost table used by</w:t>
      </w:r>
      <w:r>
        <w:t xml:space="preserve"> </w:t>
      </w:r>
      <w:r>
        <w:rPr>
          <w:rStyle w:val="VerbatimChar"/>
        </w:rPr>
        <w:t xml:space="preserve">add_electricity.py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2" w:name="investment-capex-checked-not-changed"/>
    <w:p>
      <w:pPr>
        <w:pStyle w:val="Heading1"/>
      </w:pPr>
      <w:r>
        <w:t xml:space="preserve">2. Investment (CapEx) — checked, not changed</w:t>
      </w:r>
    </w:p>
    <w:bookmarkStart w:id="10" w:name="method"/>
    <w:p>
      <w:pPr>
        <w:pStyle w:val="Heading2"/>
      </w:pPr>
      <w:r>
        <w:t xml:space="preserve">2.1 Method</w:t>
      </w:r>
    </w:p>
    <w:p>
      <w:pPr>
        <w:pStyle w:val="FirstParagraph"/>
      </w:pPr>
      <w:r>
        <w:t xml:space="preserve">Model figures (from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, transcribed with full per-parameter sourcing in</w:t>
      </w:r>
      <w:r>
        <w:t xml:space="preserve"> </w:t>
      </w:r>
      <w:r>
        <w:rPr>
          <w:rStyle w:val="VerbatimChar"/>
        </w:rPr>
        <w:t xml:space="preserve">input_cost_data.xlsx</w:t>
      </w:r>
      <w:r>
        <w:t xml:space="preserve">) were compared against four independent tiers, all expressed on an</w:t>
      </w:r>
      <w:r>
        <w:t xml:space="preserve"> </w:t>
      </w:r>
      <w:r>
        <w:t xml:space="preserve">overnight-CAPEX (USD/kW) basis at a flat EUR→USD rate of 1.08 (nominal comparison only, not</w:t>
      </w:r>
      <w:r>
        <w:t xml:space="preserve"> </w:t>
      </w:r>
      <w:r>
        <w:t xml:space="preserve">inflation-adjusted to each source’s vintage year):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benchmark</w:t>
      </w:r>
      <w:r>
        <w:t xml:space="preserve"> </w:t>
      </w:r>
      <w:r>
        <w:t xml:space="preserve">— IRENA</w:t>
      </w:r>
      <w:r>
        <w:t xml:space="preserve"> </w:t>
      </w:r>
      <w:r>
        <w:rPr>
          <w:i/>
          <w:iCs/>
        </w:rPr>
        <w:t xml:space="preserve">Renewable Power Generation Costs 2024</w:t>
      </w:r>
      <w:r>
        <w:t xml:space="preserve"> </w:t>
      </w:r>
      <w:r>
        <w:t xml:space="preserve">(solar/wind), Lazard</w:t>
      </w:r>
      <w:r>
        <w:t xml:space="preserve"> </w:t>
      </w:r>
      <w:r>
        <w:rPr>
          <w:i/>
          <w:iCs/>
        </w:rPr>
        <w:t xml:space="preserve">LCOE+</w:t>
      </w:r>
      <w:r>
        <w:t xml:space="preserve"> </w:t>
      </w:r>
      <w:r>
        <w:t xml:space="preserve">v18.0 (2025) (CCGT).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EIA AEO2022</w:t>
      </w:r>
      <w:r>
        <w:t xml:space="preserve">, Table 8.2 — a second independent global anchor, standardized across</w:t>
      </w:r>
      <w:r>
        <w:t xml:space="preserve"> </w:t>
      </w:r>
      <w:r>
        <w:t xml:space="preserve">nearly every conventional and renewable technology in one document (2021 USD/kW,</w:t>
      </w:r>
      <w:r>
        <w:t xml:space="preserve"> </w:t>
      </w:r>
      <w:r>
        <w:t xml:space="preserve">Sargent &amp; Lundy basis).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Senegal-calibrated benchmark</w:t>
      </w:r>
      <w:r>
        <w:t xml:space="preserve"> </w:t>
      </w:r>
      <w:r>
        <w:t xml:space="preserve">— UTS</w:t>
      </w:r>
      <w:r>
        <w:t xml:space="preserve"> </w:t>
      </w:r>
      <w:r>
        <w:rPr>
          <w:i/>
          <w:iCs/>
        </w:rPr>
        <w:t xml:space="preserve">Africa Power Report: Senegal</w:t>
      </w:r>
      <w:r>
        <w:t xml:space="preserve"> </w:t>
      </w:r>
      <w:r>
        <w:t xml:space="preserve">(2025).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Senegal actual-project benchmark</w:t>
      </w:r>
      <w:r>
        <w:t xml:space="preserve"> </w:t>
      </w:r>
      <w:r>
        <w:t xml:space="preserve">— Taiba N’Diaye wind farm (the one real Senegalese</w:t>
      </w:r>
      <w:r>
        <w:t xml:space="preserve"> </w:t>
      </w:r>
      <w:r>
        <w:t xml:space="preserve">transaction available).</w:t>
      </w:r>
    </w:p>
    <w:bookmarkEnd w:id="10"/>
    <w:bookmarkStart w:id="11" w:name="findings"/>
    <w:p>
      <w:pPr>
        <w:pStyle w:val="Heading2"/>
      </w:pPr>
      <w:r>
        <w:t xml:space="preserve">2.2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 (USD/kW)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  <w:tc>
          <w:tcPr/>
          <w:p>
            <w:pPr>
              <w:pStyle w:val="Compact"/>
            </w:pPr>
            <w:r>
              <w:t xml:space="preserve">Senegal (UTS/actual)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</w:t>
            </w:r>
          </w:p>
        </w:tc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t xml:space="preserve">691 (IRENA)</w:t>
            </w:r>
          </w:p>
        </w:tc>
        <w:tc>
          <w:tcPr/>
          <w:p>
            <w:pPr>
              <w:pStyle w:val="Compact"/>
            </w:pPr>
            <w:r>
              <w:t xml:space="preserve">1,327</w:t>
            </w:r>
          </w:p>
        </w:tc>
        <w:tc>
          <w:tcPr/>
          <w:p>
            <w:pPr>
              <w:pStyle w:val="Compact"/>
            </w:pPr>
            <w:r>
              <w:t xml:space="preserve">989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onwind</w:t>
            </w:r>
          </w:p>
        </w:tc>
        <w:tc>
          <w:tcPr/>
          <w:p>
            <w:pPr>
              <w:pStyle w:val="Compact"/>
            </w:pPr>
            <w:r>
              <w:t xml:space="preserve">1,101</w:t>
            </w:r>
          </w:p>
        </w:tc>
        <w:tc>
          <w:tcPr/>
          <w:p>
            <w:pPr>
              <w:pStyle w:val="Compact"/>
            </w:pPr>
            <w:r>
              <w:t xml:space="preserve">1,041 (IRENA)</w:t>
            </w:r>
          </w:p>
        </w:tc>
        <w:tc>
          <w:tcPr/>
          <w:p>
            <w:pPr>
              <w:pStyle w:val="Compact"/>
            </w:pPr>
            <w:r>
              <w:t xml:space="preserve">1,718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2,085 (Taiba N’Diaye, actual)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</w:t>
            </w:r>
          </w:p>
        </w:tc>
        <w:tc>
          <w:tcPr/>
          <w:p>
            <w:pPr>
              <w:pStyle w:val="Compact"/>
            </w:pPr>
            <w:r>
              <w:t xml:space="preserve">2,457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3,083</w:t>
            </w:r>
          </w:p>
        </w:tc>
        <w:tc>
          <w:tcPr/>
          <w:p>
            <w:pPr>
              <w:pStyle w:val="Compact"/>
            </w:pPr>
            <w:r>
              <w:t xml:space="preserve">2,674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914</w:t>
            </w:r>
          </w:p>
        </w:tc>
        <w:tc>
          <w:tcPr/>
          <w:p>
            <w:pPr>
              <w:pStyle w:val="Compact"/>
            </w:pPr>
            <w:r>
              <w:t xml:space="preserve">2,500 (Lazard)</w:t>
            </w:r>
          </w:p>
        </w:tc>
        <w:tc>
          <w:tcPr/>
          <w:p>
            <w:pPr>
              <w:pStyle w:val="Compact"/>
            </w:pPr>
            <w:r>
              <w:t xml:space="preserve">1,062</w:t>
            </w:r>
          </w:p>
        </w:tc>
        <w:tc>
          <w:tcPr/>
          <w:p>
            <w:pPr>
              <w:pStyle w:val="Compact"/>
            </w:pPr>
            <w:r>
              <w:t xml:space="preserve">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471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785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384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2,018</w:t>
            </w:r>
          </w:p>
        </w:tc>
        <w:tc>
          <w:tcPr/>
          <w:p>
            <w:pPr>
              <w:pStyle w:val="Compact"/>
            </w:pPr>
            <w:r>
              <w:t xml:space="preserve">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4,133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4,074</w:t>
            </w:r>
          </w:p>
        </w:tc>
        <w:tc>
          <w:tcPr/>
          <w:p>
            <w:pPr>
              <w:pStyle w:val="Compact"/>
            </w:pPr>
            <w:r>
              <w:t xml:space="preserve">2,018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2,525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4,524</w:t>
            </w:r>
          </w:p>
        </w:tc>
        <w:tc>
          <w:tcPr/>
          <w:p>
            <w:pPr>
              <w:pStyle w:val="Compact"/>
            </w:pPr>
            <w:r>
              <w:t xml:space="preserve">2,371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Onshore wind is the most consequential finding in this section.</w:t>
      </w:r>
      <w:r>
        <w:t xml:space="preserve"> </w:t>
      </w:r>
      <w:r>
        <w:t xml:space="preserve">Three independent</w:t>
      </w:r>
      <w:r>
        <w:t xml:space="preserve"> </w:t>
      </w:r>
      <w:r>
        <w:t xml:space="preserve">“generic reference”</w:t>
      </w:r>
      <w:r>
        <w:t xml:space="preserve"> </w:t>
      </w:r>
      <w:r>
        <w:t xml:space="preserve">sources cluster near $1,000–1,700/kW (model $1,101, IRENA $1,041, EIA</w:t>
      </w:r>
      <w:r>
        <w:t xml:space="preserve"> </w:t>
      </w:r>
      <w:r>
        <w:t xml:space="preserve">$1,718), while the one real Senegalese transaction — Taiba N’Diaye — sits at $2,085/kW,</w:t>
      </w:r>
      <w:r>
        <w:t xml:space="preserve"> </w:t>
      </w:r>
      <w:r>
        <w:t xml:space="preserve">well above all three. This is the strongest evidence anywhere in the benchmarking exercise</w:t>
      </w:r>
      <w:r>
        <w:t xml:space="preserve"> </w:t>
      </w:r>
      <w:r>
        <w:t xml:space="preserve">that a first-of-kind African wind project costs meaningfully more than any generic</w:t>
      </w:r>
      <w:r>
        <w:t xml:space="preserve"> </w:t>
      </w:r>
      <w:r>
        <w:t xml:space="preserve">reference figure, Senegal-calibrated or not.</w:t>
      </w:r>
      <w:r>
        <w:t xml:space="preserve"> </w:t>
      </w:r>
      <w:r>
        <w:rPr>
          <w:b/>
          <w:bCs/>
        </w:rPr>
        <w:t xml:space="preserve">Flagged, not corrected</w:t>
      </w:r>
      <w:r>
        <w:t xml:space="preserve">: no second</w:t>
      </w:r>
      <w:r>
        <w:t xml:space="preserve"> </w:t>
      </w:r>
      <w:r>
        <w:t xml:space="preserve">Senegalese wind transaction exists to confirm Taiba N’Diaye is representative rather than a</w:t>
      </w:r>
      <w:r>
        <w:t xml:space="preserve"> </w:t>
      </w:r>
      <w:r>
        <w:t xml:space="preserve">one-off, so raising the model’s figure to match a single data point was judged premature.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CCGT</w:t>
      </w:r>
      <w:r>
        <w:t xml:space="preserve">: EIA ($1,062/kW) sits close to the model ($914/kW); Lazard’s recent US quotes</w:t>
      </w:r>
      <w:r>
        <w:t xml:space="preserve"> </w:t>
      </w:r>
      <w:r>
        <w:t xml:space="preserve">($2,500/kW) are the outlier — most plausibly recent US gas-turbine supply-chain inflation</w:t>
      </w:r>
      <w:r>
        <w:t xml:space="preserve"> </w:t>
      </w:r>
      <w:r>
        <w:t xml:space="preserve">that does not generalise to Senegal. Model figure judged reasonable.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Coal</w:t>
      </w:r>
      <w:r>
        <w:t xml:space="preserve">: EIA ($4,074/kW) and the model’s Lazard-sourced figure ($4,133/kW) agree closely.</w:t>
      </w:r>
      <w:r>
        <w:t xml:space="preserve"> </w:t>
      </w:r>
      <w:r>
        <w:t xml:space="preserve">Senegal has no operating utility-scale coal plant, so there is no real transaction to</w:t>
      </w:r>
      <w:r>
        <w:t xml:space="preserve"> </w:t>
      </w:r>
      <w:r>
        <w:t xml:space="preserve">adjudicate between this pair and the lower UTS figure ($2,018/kW).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Biomass</w:t>
      </w:r>
      <w:r>
        <w:t xml:space="preserve">: model figure ($2,525/kW) sits close to the Senegal-calibrated UTS figure</w:t>
      </w:r>
      <w:r>
        <w:t xml:space="preserve"> </w:t>
      </w:r>
      <w:r>
        <w:t xml:space="preserve">($2,371/kW); EIA’s figure ($4,524/kW) is nearly 80% higher — a reminder that</w:t>
      </w:r>
      <w:r>
        <w:t xml:space="preserve"> </w:t>
      </w:r>
      <w:r>
        <w:t xml:space="preserve">“matches the</w:t>
      </w:r>
      <w:r>
        <w:t xml:space="preserve"> </w:t>
      </w:r>
      <w:r>
        <w:t xml:space="preserve">Senegal reference”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“matches the global reference”</w:t>
      </w:r>
      <w:r>
        <w:t xml:space="preserve"> </w:t>
      </w:r>
      <w:r>
        <w:t xml:space="preserve">can point in different directions,</w:t>
      </w:r>
      <w:r>
        <w:t xml:space="preserve"> </w:t>
      </w:r>
      <w:r>
        <w:t xml:space="preserve">and the Senegal-specific comparison is the more decision-relevant one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vintage does not cleanly predict deviation.</w:t>
      </w:r>
      <w:r>
        <w:t xml:space="preserve"> </w:t>
      </w:r>
      <w:r>
        <w:t xml:space="preserve">Plotting each technology’s</w:t>
      </w:r>
      <w:r>
        <w:t xml:space="preserve"> </w:t>
      </w:r>
      <w:r>
        <w:rPr>
          <w:rStyle w:val="VerbatimChar"/>
        </w:rPr>
        <w:t xml:space="preserve">currency_year</w:t>
      </w:r>
      <w:r>
        <w:t xml:space="preserve"> </w:t>
      </w:r>
      <w:r>
        <w:t xml:space="preserve">against its deviation from the global benchmark shows no clean</w:t>
      </w:r>
      <w:r>
        <w:t xml:space="preserve"> </w:t>
      </w:r>
      <w:r>
        <w:t xml:space="preserve">relationship — a 2011-vintage transmission figure and a 2020-vintage storage figure both</w:t>
      </w:r>
      <w:r>
        <w:t xml:space="preserve"> </w:t>
      </w:r>
      <w:r>
        <w:t xml:space="preserve">sit far from current benchmarks, but technology-specific learning-curve speed confounds</w:t>
      </w:r>
      <w:r>
        <w:t xml:space="preserve"> </w:t>
      </w:r>
      <w:r>
        <w:t xml:space="preserve">vintage: fast-learning technologies (batteries, and to a lesser extent solar) need</w:t>
      </w:r>
      <w:r>
        <w:t xml:space="preserve"> </w:t>
      </w:r>
      <w:r>
        <w:t xml:space="preserve">re-benchmarking far more often than slow-learning ones (hydro, biomass, oil) from the same</w:t>
      </w:r>
      <w:r>
        <w:t xml:space="preserve"> </w:t>
      </w:r>
      <w:r>
        <w:t xml:space="preserve">source year.</w:t>
      </w:r>
    </w:p>
    <w:p>
      <w:pPr>
        <w:pStyle w:val="FirstParagraph"/>
      </w:pPr>
      <w:r>
        <w:rPr>
          <w:b/>
          <w:bCs/>
        </w:rPr>
        <w:t xml:space="preserve">No CapEx values changed.</w:t>
      </w:r>
      <w:r>
        <w:t xml:space="preserve"> </w:t>
      </w:r>
      <w:r>
        <w:t xml:space="preserve">Onshore wind is the one open item worth a sensitivity run before</w:t>
      </w:r>
      <w:r>
        <w:t xml:space="preserve"> </w:t>
      </w:r>
      <w:r>
        <w:t xml:space="preserve">the thesis is finalised, since wind is actually built in both solved networks (unlike coal</w:t>
      </w:r>
      <w:r>
        <w:t xml:space="preserve"> </w:t>
      </w:r>
      <w:r>
        <w:t xml:space="preserve">and biomass, discussed below).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lifetime-checked-not-changed"/>
    <w:p>
      <w:pPr>
        <w:pStyle w:val="Heading1"/>
      </w:pPr>
      <w:r>
        <w:t xml:space="preserve">3. Lifetime — checked, not changed</w:t>
      </w:r>
    </w:p>
    <w:p>
      <w:pPr>
        <w:pStyle w:val="FirstParagraph"/>
      </w:pPr>
      <w:r>
        <w:t xml:space="preserve">Compared against a reference-country capacity-expansion case (Indonesia — MEMR 2024 /</w:t>
      </w:r>
      <w:r>
        <w:t xml:space="preserve"> </w:t>
      </w:r>
      <w:r>
        <w:t xml:space="preserve">Langer et al. 2024, via one TU Delft thesis; Athanasiou catalogue, via another). Not</w:t>
      </w:r>
      <w:r>
        <w:t xml:space="preserve"> </w:t>
      </w:r>
      <w:r>
        <w:t xml:space="preserve">Senegal-specific — a plausibility check, not validation, chosen because it is the only source</w:t>
      </w:r>
      <w:r>
        <w:t xml:space="preserve"> </w:t>
      </w:r>
      <w:r>
        <w:t xml:space="preserve">found reporting lifetime consistently for nearly the whole technology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 (years)</w:t>
            </w:r>
          </w:p>
        </w:tc>
        <w:tc>
          <w:tcPr/>
          <w:p>
            <w:pPr>
              <w:pStyle w:val="Compact"/>
            </w:pPr>
            <w:r>
              <w:t xml:space="preserve">reference (years)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onwind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Four exact matches</w:t>
      </w:r>
      <w:r>
        <w:t xml:space="preserve"> </w:t>
      </w:r>
      <w:r>
        <w:t xml:space="preserve">(CCGT, OCGT, oil at 25 years; onshore wind at 30) suggest the thermal</w:t>
      </w:r>
      <w:r>
        <w:t xml:space="preserve"> </w:t>
      </w:r>
      <w:r>
        <w:t xml:space="preserve">and wind lifetime assumptions are conventional, industry-standard figures. The two gaps both</w:t>
      </w:r>
      <w:r>
        <w:t xml:space="preserve"> </w:t>
      </w:r>
      <w:r>
        <w:t xml:space="preserve">run the same direction — model longer than reference — for hydro (80 vs. 50y) and coal (40</w:t>
      </w:r>
      <w:r>
        <w:t xml:space="preserve"> </w:t>
      </w:r>
      <w:r>
        <w:t xml:space="preserve">vs. 30y); both are old-vintage DIW/Lazard entries using a more optimistic technical life than</w:t>
      </w:r>
      <w:r>
        <w:t xml:space="preserve"> </w:t>
      </w:r>
      <w:r>
        <w:t xml:space="preserve">the 2024 reference study assumes.</w:t>
      </w:r>
      <w:r>
        <w:t xml:space="preserve"> </w:t>
      </w:r>
      <w:r>
        <w:rPr>
          <w:b/>
          <w:bCs/>
        </w:rPr>
        <w:t xml:space="preserve">Not changed</w:t>
      </w:r>
      <w:r>
        <w:t xml:space="preserve"> </w:t>
      </w:r>
      <w:r>
        <w:t xml:space="preserve">— worth a footnote if either materially</w:t>
      </w:r>
      <w:r>
        <w:t xml:space="preserve"> </w:t>
      </w:r>
      <w:r>
        <w:t xml:space="preserve">affects a levelised-cost result, but neither carrier’s lifetime was judged consequential</w:t>
      </w:r>
      <w:r>
        <w:t xml:space="preserve"> </w:t>
      </w:r>
      <w:r>
        <w:t xml:space="preserve">enough on its own to correct without a clearer Senegal-specific anchor.</w:t>
      </w:r>
    </w:p>
    <w:p>
      <w:r>
        <w:pict>
          <v:rect style="width:0;height:1.5pt" o:hralign="center" o:hrstd="t" o:hr="t"/>
        </w:pict>
      </w:r>
    </w:p>
    <w:bookmarkEnd w:id="13"/>
    <w:bookmarkStart w:id="14" w:name="X3375bc026f16e46e5d1b77d582ecd132e94466c"/>
    <w:p>
      <w:pPr>
        <w:pStyle w:val="Heading1"/>
      </w:pPr>
      <w:r>
        <w:t xml:space="preserve">4. Efficiency — checked, not changed (biomass flagged)</w:t>
      </w:r>
    </w:p>
    <w:p>
      <w:pPr>
        <w:pStyle w:val="FirstParagraph"/>
      </w:pPr>
      <w:r>
        <w:t xml:space="preserve">Thermal and hydro efficiency only (solar/wind/battery/transmission excluded —</w:t>
      </w:r>
      <w:r>
        <w:t xml:space="preserve"> </w:t>
      </w:r>
      <w:r>
        <w:t xml:space="preserve">“efficiency”</w:t>
      </w:r>
      <w:r>
        <w:t xml:space="preserve"> </w:t>
      </w:r>
      <w:r>
        <w:t xml:space="preserve">is</w:t>
      </w:r>
      <w:r>
        <w:t xml:space="preserve"> </w:t>
      </w:r>
      <w:r>
        <w:t xml:space="preserve">set to 1 by convention for those and is not a meaningful cross-source metric). Reference-case</w:t>
      </w:r>
      <w:r>
        <w:t xml:space="preserve"> </w:t>
      </w:r>
      <w:r>
        <w:t xml:space="preserve">figures from the same Indonesia MEMR 2024 source as Section 3; a second, fully independent</w:t>
      </w:r>
      <w:r>
        <w:t xml:space="preserve"> </w:t>
      </w:r>
      <w:r>
        <w:t xml:space="preserve">check via EIA AEO2022 heat rates (converted at 3,412 Btu = 1 kWh — note this may not use</w:t>
      </w:r>
      <w:r>
        <w:t xml:space="preserve"> </w:t>
      </w:r>
      <w:r>
        <w:t xml:space="preserve">exactly the same accounting basis, HHV vs. LHV, as the DEA figures underlying the model).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EIA (heat-rate implied)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61.0%</w:t>
            </w:r>
          </w:p>
        </w:tc>
        <w:tc>
          <w:tcPr/>
          <w:p>
            <w:pPr>
              <w:pStyle w:val="Compact"/>
            </w:pPr>
            <w:r>
              <w:t xml:space="preserve">53.6%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43.0%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  <w:tc>
          <w:tcPr/>
          <w:p>
            <w:pPr>
              <w:pStyle w:val="Compact"/>
            </w:pPr>
            <w:r>
              <w:t xml:space="preserve">48.0%</w:t>
            </w:r>
          </w:p>
        </w:tc>
        <w:tc>
          <w:tcPr/>
          <w:p>
            <w:pPr>
              <w:pStyle w:val="Compact"/>
            </w:pPr>
            <w:r>
              <w:t xml:space="preserve">41.1%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  <w:tc>
          <w:tcPr/>
          <w:p>
            <w:pPr>
              <w:pStyle w:val="Compact"/>
            </w:pPr>
            <w:r>
              <w:t xml:space="preserve">37.0%</w:t>
            </w:r>
          </w:p>
        </w:tc>
        <w:tc>
          <w:tcPr/>
          <w:p>
            <w:pPr>
              <w:pStyle w:val="Compact"/>
            </w:pPr>
            <w:r>
              <w:t xml:space="preserve">39.5%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</w:t>
            </w:r>
          </w:p>
        </w:tc>
        <w:tc>
          <w:tcPr/>
          <w:p>
            <w:pPr>
              <w:pStyle w:val="Compact"/>
            </w:pPr>
            <w:r>
              <w:t xml:space="preserve">90.0%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Biomass is the clear anomaly.</w:t>
      </w:r>
      <w:r>
        <w:t xml:space="preserve"> </w:t>
      </w:r>
      <w:r>
        <w:t xml:space="preserve">The model’s 46.8% is 10–15 percentage points above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independent benchmarks, and reads closer to a modern combined-cycle gas efficiency than a</w:t>
      </w:r>
      <w:r>
        <w:t xml:space="preserve"> </w:t>
      </w:r>
      <w:r>
        <w:t xml:space="preserve">solid-biomass steam cycle (literature consistently reports 25–35% for that technology class).</w:t>
      </w:r>
      <w:r>
        <w:t xml:space="preserve"> </w:t>
      </w:r>
      <w:r>
        <w:t xml:space="preserve">Everything else is close enough to be unremarkable — CCGT and coal both track their reference</w:t>
      </w:r>
      <w:r>
        <w:t xml:space="preserve"> </w:t>
      </w:r>
      <w:r>
        <w:t xml:space="preserve">figures within a few points, and the OCGT/hydro gaps run in plausible opposite directions.</w:t>
      </w:r>
    </w:p>
    <w:p>
      <w:pPr>
        <w:pStyle w:val="BodyText"/>
      </w:pPr>
      <w:r>
        <w:rPr>
          <w:b/>
          <w:bCs/>
        </w:rPr>
        <w:t xml:space="preserve">Not changed.</w:t>
      </w:r>
      <w:r>
        <w:t xml:space="preserve"> </w:t>
      </w:r>
      <w:r>
        <w:t xml:space="preserve">Biomass has never been built in any solved network in this project to date,</w:t>
      </w:r>
      <w:r>
        <w:t xml:space="preserve"> </w:t>
      </w:r>
      <w:r>
        <w:t xml:space="preserve">so this doesn’t affect current results, but it is flagged as the figure most worth checking</w:t>
      </w:r>
      <w:r>
        <w:t xml:space="preserve"> </w:t>
      </w:r>
      <w:r>
        <w:t xml:space="preserve">against the underlying DIW source directly (possible transcription issue upstream in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) before being cited or relied on for anything beyond illustration.</w:t>
      </w:r>
    </w:p>
    <w:p>
      <w:r>
        <w:pict>
          <v:rect style="width:0;height:1.5pt" o:hralign="center" o:hrstd="t" o:hr="t"/>
        </w:pict>
      </w:r>
    </w:p>
    <w:bookmarkEnd w:id="14"/>
    <w:bookmarkStart w:id="15" w:name="fixed-om-fom-checked-not-changed"/>
    <w:p>
      <w:pPr>
        <w:pStyle w:val="Heading1"/>
      </w:pPr>
      <w:r>
        <w:t xml:space="preserve">5. Fixed O&amp;M (FOM) — checked, not changed</w:t>
      </w:r>
    </w:p>
    <w:p>
      <w:pPr>
        <w:pStyle w:val="FirstParagraph"/>
      </w:pPr>
      <w:r>
        <w:t xml:space="preserve">Model FOM is</w:t>
      </w:r>
      <w:r>
        <w:t xml:space="preserve"> </w:t>
      </w:r>
      <w:r>
        <w:rPr>
          <w:rStyle w:val="VerbatimChar"/>
        </w:rPr>
        <w:t xml:space="preserve">%/year of investment</w:t>
      </w:r>
      <w:r>
        <w:t xml:space="preserve">. External sources report</w:t>
      </w:r>
      <w:r>
        <w:t xml:space="preserve"> </w:t>
      </w:r>
      <w:r>
        <w:rPr>
          <w:rStyle w:val="VerbatimChar"/>
        </w:rPr>
        <w:t xml:space="preserve">$/kW/year</w:t>
      </w:r>
      <w:r>
        <w:t xml:space="preserve">, converted to a</w:t>
      </w:r>
      <w:r>
        <w:t xml:space="preserve"> </w:t>
      </w:r>
      <w:r>
        <w:t xml:space="preserve">percentage using</w:t>
      </w:r>
      <w:r>
        <w:t xml:space="preserve"> </w:t>
      </w:r>
      <w:r>
        <w:rPr>
          <w:i/>
          <w:iCs/>
        </w:rPr>
        <w:t xml:space="preserve">that source’s own</w:t>
      </w:r>
      <w:r>
        <w:t xml:space="preserve"> </w:t>
      </w:r>
      <w:r>
        <w:t xml:space="preserve">investment figure (not the model’s), so the arithmetic</w:t>
      </w:r>
      <w:r>
        <w:t xml:space="preserve"> </w:t>
      </w:r>
      <w:r>
        <w:t xml:space="preserve">stays auditable rather than mixing bases.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</w:t>
            </w:r>
          </w:p>
        </w:tc>
        <w:tc>
          <w:tcPr/>
          <w:p>
            <w:pPr>
              <w:pStyle w:val="Compact"/>
            </w:pPr>
            <w:r>
              <w:t xml:space="preserve">2.1%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onwind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1.9%</w:t>
            </w:r>
          </w:p>
        </w:tc>
        <w:tc>
          <w:tcPr/>
          <w:p>
            <w:pPr>
              <w:pStyle w:val="Compact"/>
            </w:pPr>
            <w:r>
              <w:t xml:space="preserve">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t xml:space="preserve">2.7%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4.5%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</w:tr>
    </w:tbl>
    <w:p>
      <w:pPr>
        <w:pStyle w:val="BodyText"/>
      </w:pPr>
      <w:r>
        <w:t xml:space="preserve">No systematic direction: the model sits above both references for CCGT and biomass, below</w:t>
      </w:r>
      <w:r>
        <w:t xml:space="preserve"> </w:t>
      </w:r>
      <w:r>
        <w:t xml:space="preserve">both for onshore wind and coal, and in between for the rest — consistent with each</w:t>
      </w:r>
      <w:r>
        <w:t xml:space="preserve"> </w:t>
      </w:r>
      <w:r>
        <w:rPr>
          <w:rStyle w:val="VerbatimChar"/>
        </w:rPr>
        <w:t xml:space="preserve">technology-data</w:t>
      </w:r>
      <w:r>
        <w:t xml:space="preserve"> </w:t>
      </w:r>
      <w:r>
        <w:t xml:space="preserve">entry being sourced independently rather than adjusted together as a</w:t>
      </w:r>
      <w:r>
        <w:t xml:space="preserve"> </w:t>
      </w:r>
      <w:r>
        <w:t xml:space="preserve">coherent set.</w:t>
      </w:r>
      <w:r>
        <w:t xml:space="preserve"> </w:t>
      </w:r>
      <w:r>
        <w:rPr>
          <w:b/>
          <w:bCs/>
        </w:rPr>
        <w:t xml:space="preserve">Onshore wind stands out most</w:t>
      </w:r>
      <w:r>
        <w:t xml:space="preserve">: the model’s 1.2%/year is roughly a third of</w:t>
      </w:r>
      <w:r>
        <w:t xml:space="preserve"> </w:t>
      </w:r>
      <w:r>
        <w:t xml:space="preserve">the reference case’s 3.0%/year, pairing with the CapEx finding in Section 2 — both point the</w:t>
      </w:r>
      <w:r>
        <w:t xml:space="preserve"> </w:t>
      </w:r>
      <w:r>
        <w:t xml:space="preserve">same direction, that the model may understate the full cost of operating wind in a market</w:t>
      </w:r>
      <w:r>
        <w:t xml:space="preserve"> </w:t>
      </w:r>
      <w:r>
        <w:t xml:space="preserve">like Senegal’s, not just the cost of building it.</w:t>
      </w:r>
    </w:p>
    <w:p>
      <w:pPr>
        <w:pStyle w:val="BodyText"/>
      </w:pPr>
      <w:r>
        <w:rPr>
          <w:b/>
          <w:bCs/>
        </w:rPr>
        <w:t xml:space="preserve">Not changed</w:t>
      </w:r>
      <w:r>
        <w:t xml:space="preserve">, for the same reason as CapEx: flagged as a sensitivity-run candidate rather</w:t>
      </w:r>
      <w:r>
        <w:t xml:space="preserve"> </w:t>
      </w:r>
      <w:r>
        <w:t xml:space="preserve">than corrected against a non-Senegal reference case.</w:t>
      </w:r>
    </w:p>
    <w:p>
      <w:r>
        <w:pict>
          <v:rect style="width:0;height:1.5pt" o:hralign="center" o:hrstd="t" o:hr="t"/>
        </w:pict>
      </w:r>
    </w:p>
    <w:bookmarkEnd w:id="15"/>
    <w:bookmarkStart w:id="16" w:name="Xc64435d164d1720cc4000e77ac708079b517df1"/>
    <w:p>
      <w:pPr>
        <w:pStyle w:val="Heading1"/>
      </w:pPr>
      <w:r>
        <w:t xml:space="preserve">6. Variable O&amp;M (VOM) — checked, not changed (biomass flagged)</w:t>
      </w:r>
    </w:p>
    <w:p>
      <w:pPr>
        <w:pStyle w:val="FirstParagraph"/>
      </w:pPr>
      <w:r>
        <w:t xml:space="preserve">Directly comparable in $/MWh (excluding fuel) — no unit conversion needed.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onwind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hydro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</w:tbl>
    <w:p>
      <w:pPr>
        <w:pStyle w:val="BodyText"/>
      </w:pPr>
      <w:r>
        <w:rPr>
          <w:b/>
          <w:bCs/>
        </w:rPr>
        <w:t xml:space="preserve">Oil/diesel is the strongest match found anywhere in this benchmarking exercise</w:t>
      </w:r>
      <w:r>
        <w:t xml:space="preserve"> </w:t>
      </w:r>
      <w:r>
        <w:t xml:space="preserve">— model</w:t>
      </w:r>
      <w:r>
        <w:t xml:space="preserve"> </w:t>
      </w:r>
      <w:r>
        <w:t xml:space="preserve">6.35, reference case 6.84, both diesel reciprocating plants, independently sourced, within 8%</w:t>
      </w:r>
      <w:r>
        <w:t xml:space="preserve"> </w:t>
      </w:r>
      <w:r>
        <w:t xml:space="preserve">of each other.</w:t>
      </w:r>
      <w:r>
        <w:t xml:space="preserve"> </w:t>
      </w:r>
      <w:r>
        <w:rPr>
          <w:b/>
          <w:bCs/>
        </w:rPr>
        <w:t xml:space="preserve">Biomass’s zero VOM is the standout gap</w:t>
      </w:r>
      <w:r>
        <w:t xml:space="preserve">: both references carry a real,</w:t>
      </w:r>
      <w:r>
        <w:t xml:space="preserve"> </w:t>
      </w:r>
      <w:r>
        <w:t xml:space="preserve">nonzero variable cost (3–5/MWh), and a true zero is unusual for any combustion technology with</w:t>
      </w:r>
      <w:r>
        <w:t xml:space="preserve"> </w:t>
      </w:r>
      <w:r>
        <w:t xml:space="preserve">ash handling and consumables. Combined with the efficiency anomaly in Section 4, biomass is</w:t>
      </w:r>
      <w:r>
        <w:t xml:space="preserve"> </w:t>
      </w:r>
      <w:r>
        <w:t xml:space="preserve">the technology most worth a closer look at its underlying DIW source before it is used for</w:t>
      </w:r>
      <w:r>
        <w:t xml:space="preserve"> </w:t>
      </w:r>
      <w:r>
        <w:t xml:space="preserve">anything beyond illustration.</w:t>
      </w:r>
    </w:p>
    <w:p>
      <w:pPr>
        <w:pStyle w:val="BodyText"/>
      </w:pPr>
      <w:r>
        <w:rPr>
          <w:b/>
          <w:bCs/>
        </w:rPr>
        <w:t xml:space="preserve">Not changed</w:t>
      </w:r>
      <w:r>
        <w:t xml:space="preserve"> </w:t>
      </w:r>
      <w:r>
        <w:t xml:space="preserve">— biomass currently plays no role in either solved network, so this is a</w:t>
      </w:r>
      <w:r>
        <w:t xml:space="preserve"> </w:t>
      </w:r>
      <w:r>
        <w:t xml:space="preserve">“check before you lean on it”</w:t>
      </w:r>
      <w:r>
        <w:t xml:space="preserve"> </w:t>
      </w:r>
      <w:r>
        <w:t xml:space="preserve">flag, not an urgent fix.</w:t>
      </w:r>
    </w:p>
    <w:p>
      <w:r>
        <w:pict>
          <v:rect style="width:0;height:1.5pt" o:hralign="center" o:hrstd="t" o:hr="t"/>
        </w:pict>
      </w:r>
    </w:p>
    <w:bookmarkEnd w:id="16"/>
    <w:bookmarkStart w:id="21" w:name="fuel-cost-checked-and-corrected"/>
    <w:p>
      <w:pPr>
        <w:pStyle w:val="Heading1"/>
      </w:pPr>
      <w:r>
        <w:t xml:space="preserve">7. Fuel cost — checked</w:t>
      </w:r>
      <w:r>
        <w:t xml:space="preserve"> </w:t>
      </w:r>
      <w:r>
        <w:rPr>
          <w:b/>
          <w:bCs/>
        </w:rPr>
        <w:t xml:space="preserve">and corrected</w:t>
      </w:r>
    </w:p>
    <w:bookmarkStart w:id="17" w:name="why-this-parameter-specifically"/>
    <w:p>
      <w:pPr>
        <w:pStyle w:val="Heading2"/>
      </w:pPr>
      <w:r>
        <w:t xml:space="preserve">7.1 Why this parameter, specifically</w:t>
      </w:r>
    </w:p>
    <w:p>
      <w:pPr>
        <w:pStyle w:val="FirstParagraph"/>
      </w:pPr>
      <w:r>
        <w:t xml:space="preserve">Fuel cost feeds directly into</w:t>
      </w:r>
      <w:r>
        <w:t xml:space="preserve"> </w:t>
      </w:r>
      <w:r>
        <w:rPr>
          <w:rStyle w:val="VerbatimChar"/>
        </w:rPr>
        <w:t xml:space="preserve">marginal_cost</w:t>
      </w:r>
      <w:r>
        <w:t xml:space="preserve"> </w:t>
      </w:r>
      <w:r>
        <w:t xml:space="preserve">(= VOM + fuel/efficiency) and had not been</w:t>
      </w:r>
      <w:r>
        <w:t xml:space="preserve"> </w:t>
      </w:r>
      <w:r>
        <w:t xml:space="preserve">checked anywhere else in this benchmarking pass, despite Senegal’s generation fleet still</w:t>
      </w:r>
      <w:r>
        <w:t xml:space="preserve"> </w:t>
      </w:r>
      <w:r>
        <w:t xml:space="preserve">being overwhelmingly dependent on imported liquid fuel (oil- and gas-fired plants supplied</w:t>
      </w:r>
      <w:r>
        <w:t xml:space="preserve"> </w:t>
      </w:r>
      <w:r>
        <w:t xml:space="preserve">roughly 80% of generation in 2024). A stale fuel price assumption has more leverage over model</w:t>
      </w:r>
      <w:r>
        <w:t xml:space="preserve"> </w:t>
      </w:r>
      <w:r>
        <w:t xml:space="preserve">outcomes than almost any other single parameter, since it directly shapes how often thermal</w:t>
      </w:r>
      <w:r>
        <w:t xml:space="preserve"> </w:t>
      </w:r>
      <w:r>
        <w:t xml:space="preserve">generation is dispatched instead of BESS in every solved network in this project.</w:t>
      </w:r>
    </w:p>
    <w:bookmarkEnd w:id="17"/>
    <w:bookmarkStart w:id="18" w:name="Xc164fe16b03ae486fdd1e92019f0c524d436237"/>
    <w:p>
      <w:pPr>
        <w:pStyle w:val="Heading2"/>
      </w:pPr>
      <w:r>
        <w:t xml:space="preserve">7.2 Model defaults (</w:t>
      </w:r>
      <w:r>
        <w:rPr>
          <w:rStyle w:val="VerbatimChar"/>
        </w:rPr>
        <w:t xml:space="preserve">technology-data</w:t>
      </w:r>
      <w:r>
        <w:t xml:space="preserve">, pre-correction)</w:t>
      </w:r>
    </w:p>
    <w:p>
      <w:pPr>
        <w:pStyle w:val="FirstParagraph"/>
      </w:pPr>
      <w:r>
        <w:t xml:space="preserve">All four fuel entries are static catalogue values with no year-projection trajectory attached</w:t>
      </w:r>
      <w:r>
        <w:t xml:space="preserve"> </w:t>
      </w:r>
      <w:r>
        <w:t xml:space="preserve">— unlike CapEx, which has a full year-by-year table,</w:t>
      </w:r>
      <w:r>
        <w:t xml:space="preserve"> </w:t>
      </w:r>
      <w:r>
        <w:rPr>
          <w:rStyle w:val="VerbatimChar"/>
        </w:rPr>
        <w:t xml:space="preserve">fuel</w:t>
      </w:r>
      <w:r>
        <w:t xml:space="preserve"> </w:t>
      </w:r>
      <w:r>
        <w:t xml:space="preserve">is carried forward flat regardless</w:t>
      </w:r>
      <w:r>
        <w:t xml:space="preserve"> </w:t>
      </w:r>
      <w:r>
        <w:t xml:space="preserve">of the selected cost-year: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model default (EUR/MWh_th)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vintage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(→ CCGT, OCGT)</w:t>
            </w:r>
          </w:p>
        </w:tc>
        <w:tc>
          <w:tcPr/>
          <w:p>
            <w:pPr>
              <w:pStyle w:val="Compact"/>
            </w:pPr>
            <w:r>
              <w:t xml:space="preserve">24.57</w:t>
            </w:r>
          </w:p>
        </w:tc>
        <w:tc>
          <w:tcPr/>
          <w:p>
            <w:pPr>
              <w:pStyle w:val="Compact"/>
            </w:pPr>
            <w:r>
              <w:t xml:space="preserve">DIW (2013), based on IEA 2011 data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9.55</w:t>
            </w:r>
          </w:p>
        </w:tc>
        <w:tc>
          <w:tcPr/>
          <w:p>
            <w:pPr>
              <w:pStyle w:val="Compact"/>
            </w:pPr>
            <w:r>
              <w:t xml:space="preserve">DIW (2013), based on IEA 2011 data (~99 USD/t)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7.41</w:t>
            </w:r>
          </w:p>
        </w:tc>
        <w:tc>
          <w:tcPr/>
          <w:p>
            <w:pPr>
              <w:pStyle w:val="Compact"/>
            </w:pPr>
            <w:r>
              <w:t xml:space="preserve">IEA (2011b), old PyPSA cost assumptions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52.91</w:t>
            </w:r>
          </w:p>
        </w:tc>
        <w:tc>
          <w:tcPr/>
          <w:p>
            <w:pPr>
              <w:pStyle w:val="Compact"/>
            </w:pPr>
            <w:r>
              <w:t xml:space="preserve">IEA WEM2017, 97 USD/boe projection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costs.at["OCGT","fuel"] = costs.at["gas","fuel"]</w:t>
      </w:r>
      <w:r>
        <w:t xml:space="preserve"> </w:t>
      </w:r>
      <w:r>
        <w:t xml:space="preserve">and the equivalent for CCGT run in</w:t>
      </w:r>
      <w:r>
        <w:t xml:space="preserve"> </w:t>
      </w:r>
      <w:r>
        <w:rPr>
          <w:rStyle w:val="VerbatimChar"/>
        </w:rPr>
        <w:t xml:space="preserve">process_cost_data.py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any override, so correcting</w:t>
      </w:r>
      <w:r>
        <w:t xml:space="preserve"> </w:t>
      </w:r>
      <w:r>
        <w:rPr>
          <w:rStyle w:val="VerbatimChar"/>
        </w:rPr>
        <w:t xml:space="preserve">gas</w:t>
      </w:r>
      <w:r>
        <w:t xml:space="preserve"> </w:t>
      </w:r>
      <w:r>
        <w:t xml:space="preserve">alone is sufficient to</w:t>
      </w:r>
      <w:r>
        <w:t xml:space="preserve"> </w:t>
      </w:r>
      <w:r>
        <w:t xml:space="preserve">correct both gas-fired carriers automatically.</w:t>
      </w:r>
    </w:p>
    <w:bookmarkEnd w:id="18"/>
    <w:bookmarkStart w:id="19" w:name="benchmarks-checked"/>
    <w:p>
      <w:pPr>
        <w:pStyle w:val="Heading2"/>
      </w:pPr>
      <w:r>
        <w:t xml:space="preserve">7.3 Benchmarks checked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Oil</w:t>
      </w:r>
      <w:r>
        <w:t xml:space="preserve">: Brent crude (~$79.7/bbl, Aug 2026) and Rotterdam/Singapore/Fujairah HSFO 380 bunker</w:t>
      </w:r>
      <w:r>
        <w:t xml:space="preserve"> </w:t>
      </w:r>
      <w:r>
        <w:t xml:space="preserve">fuel (~$550/mt, the closer proxy to what a Senegalese HFO plant actually burns), both</w:t>
      </w:r>
      <w:r>
        <w:t xml:space="preserve"> </w:t>
      </w:r>
      <w:r>
        <w:t xml:space="preserve">converted to EUR/MWh_th. Senegal’s own</w:t>
      </w:r>
      <w:r>
        <w:t xml:space="preserve"> </w:t>
      </w:r>
      <w:r>
        <w:t xml:space="preserve">“Gas to Power”</w:t>
      </w:r>
      <w:r>
        <w:t xml:space="preserve"> </w:t>
      </w:r>
      <w:r>
        <w:t xml:space="preserve">strategy note (Ministry of Petroleum</w:t>
      </w:r>
      <w:r>
        <w:t xml:space="preserve"> </w:t>
      </w:r>
      <w:r>
        <w:t xml:space="preserve">and Energy) independently cites $14/MMBtu HFO as its own fossil comparator.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Gas</w:t>
      </w:r>
      <w:r>
        <w:t xml:space="preserve">: initially checked against three international hub benchmarks — Henry Hub (US</w:t>
      </w:r>
      <w:r>
        <w:t xml:space="preserve"> </w:t>
      </w:r>
      <w:r>
        <w:t xml:space="preserve">domestic), TTF (European), and JKM (Asian LNG spot) — but these were judged the wrong</w:t>
      </w:r>
      <w:r>
        <w:t xml:space="preserve"> </w:t>
      </w:r>
      <w:r>
        <w:t xml:space="preserve">comparison: Senegal’s actual future gas supply is</w:t>
      </w:r>
      <w:r>
        <w:t xml:space="preserve"> </w:t>
      </w:r>
      <w:r>
        <w:rPr>
          <w:b/>
          <w:bCs/>
        </w:rPr>
        <w:t xml:space="preserve">domestic and piped</w:t>
      </w:r>
      <w:r>
        <w:t xml:space="preserve"> </w:t>
      </w:r>
      <w:r>
        <w:t xml:space="preserve">(GTA, Sangomar,</w:t>
      </w:r>
      <w:r>
        <w:t xml:space="preserve"> </w:t>
      </w:r>
      <w:r>
        <w:t xml:space="preserve">Yakaar/Teranga), not internationally-traded LNG, and the hub benchmarks are additionally</w:t>
      </w:r>
      <w:r>
        <w:t xml:space="preserve"> </w:t>
      </w:r>
      <w:r>
        <w:t xml:space="preserve">distorted by an active Gulf LNG supply disruption at time of writing. Used instead:</w:t>
      </w:r>
      <w:r>
        <w:t xml:space="preserve"> </w:t>
      </w:r>
      <w:r>
        <w:t xml:space="preserve">Senegal’s own</w:t>
      </w:r>
      <w:r>
        <w:t xml:space="preserve"> </w:t>
      </w:r>
      <w:r>
        <w:t xml:space="preserve">“Gas to Power”</w:t>
      </w:r>
      <w:r>
        <w:t xml:space="preserve"> </w:t>
      </w:r>
      <w:r>
        <w:t xml:space="preserve">strategy note, which cites</w:t>
      </w:r>
      <w:r>
        <w:t xml:space="preserve"> </w:t>
      </w:r>
      <w:r>
        <w:rPr>
          <w:b/>
          <w:bCs/>
        </w:rPr>
        <w:t xml:space="preserve">$5–6/MMBtu domestic gas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Coal</w:t>
      </w:r>
      <w:r>
        <w:t xml:space="preserve">: API2 Rotterdam benchmark (~$120/t, Aug 2026, 6,000 kcal/kg NAR = 25.1 GJ/t). No</w:t>
      </w:r>
      <w:r>
        <w:t xml:space="preserve"> </w:t>
      </w:r>
      <w:r>
        <w:t xml:space="preserve">landed Senegal-specific coal price found — Sendou’s coal is imported — so this is used as</w:t>
      </w:r>
      <w:r>
        <w:t xml:space="preserve"> </w:t>
      </w:r>
      <w:r>
        <w:t xml:space="preserve">the best available proxy without a further (unquantified) shipping/import premium.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Biomass</w:t>
      </w:r>
      <w:r>
        <w:t xml:space="preserve">: Lamers et al. (2015) agricultural-residue feedstock cost range, already cited</w:t>
      </w:r>
      <w:r>
        <w:t xml:space="preserve"> </w:t>
      </w:r>
      <w:r>
        <w:t xml:space="preserve">in the project’s own UTS</w:t>
      </w:r>
      <w:r>
        <w:t xml:space="preserve"> </w:t>
      </w:r>
      <w:r>
        <w:rPr>
          <w:i/>
          <w:iCs/>
        </w:rPr>
        <w:t xml:space="preserve">Africa Power Report: Senegal</w:t>
      </w:r>
      <w:r>
        <w:t xml:space="preserve"> </w:t>
      </w:r>
      <w:r>
        <w:t xml:space="preserve">—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EU</w:t>
      </w:r>
      <w:r>
        <w:t xml:space="preserve"> </w:t>
      </w:r>
      <w:r>
        <w:t xml:space="preserve">wood-pellet market benchmark (37–64 EUR/MWh_th), since Senegal’s dominant available</w:t>
      </w:r>
      <w:r>
        <w:t xml:space="preserve"> </w:t>
      </w:r>
      <w:r>
        <w:t xml:space="preserve">feedstock (groundnut shell, 700,000–900,000 t/year in the groundnut basin) is a near-waste</w:t>
      </w:r>
      <w:r>
        <w:t xml:space="preserve"> </w:t>
      </w:r>
      <w:r>
        <w:t xml:space="preserve">agricultural residue, not commercially-traded wood pellets — a different market entirely.</w:t>
      </w:r>
    </w:p>
    <w:bookmarkEnd w:id="19"/>
    <w:bookmarkStart w:id="20" w:name="corrections-applied"/>
    <w:p>
      <w:pPr>
        <w:pStyle w:val="Heading2"/>
      </w:pPr>
      <w:r>
        <w:t xml:space="preserve">7.4 Corrections applied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old default (EUR/MWh_th)</w:t>
            </w:r>
          </w:p>
        </w:tc>
        <w:tc>
          <w:tcPr/>
          <w:p>
            <w:pPr>
              <w:pStyle w:val="Compact"/>
            </w:pPr>
            <w:r>
              <w:t xml:space="preserve">new value (EUR/MWh_th)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  <w:r>
              <w:t xml:space="preserve">24.57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16.25</w:t>
            </w:r>
          </w:p>
        </w:tc>
        <w:tc>
          <w:tcPr/>
          <w:p>
            <w:pPr>
              <w:pStyle w:val="Compact"/>
            </w:pPr>
            <w:r>
              <w:t xml:space="preserve">−34%</w:t>
            </w:r>
          </w:p>
        </w:tc>
        <w:tc>
          <w:tcPr/>
          <w:p>
            <w:pPr>
              <w:pStyle w:val="Compact"/>
            </w:pPr>
            <w:r>
              <w:t xml:space="preserve">Senegal-specific domestic gas price ($5–6/MMBtu midpoint), replacing an international-hub or 2010-vintage DIW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9.55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14.90</w:t>
            </w:r>
          </w:p>
        </w:tc>
        <w:tc>
          <w:tcPr/>
          <w:p>
            <w:pPr>
              <w:pStyle w:val="Compact"/>
            </w:pPr>
            <w:r>
              <w:t xml:space="preserve">+56%</w:t>
            </w:r>
          </w:p>
        </w:tc>
        <w:tc>
          <w:tcPr/>
          <w:p>
            <w:pPr>
              <w:pStyle w:val="Compact"/>
            </w:pPr>
            <w:r>
              <w:t xml:space="preserve">Current API2 Rotterdam benchmark, replacing a 2010-vintage DIW figure roughly half today’s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7.41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14.40</w:t>
            </w:r>
          </w:p>
        </w:tc>
        <w:tc>
          <w:tcPr/>
          <w:p>
            <w:pPr>
              <w:pStyle w:val="Compact"/>
            </w:pPr>
            <w:r>
              <w:t xml:space="preserve">+94%</w:t>
            </w:r>
          </w:p>
        </w:tc>
        <w:tc>
          <w:tcPr/>
          <w:p>
            <w:pPr>
              <w:pStyle w:val="Compact"/>
            </w:pPr>
            <w:r>
              <w:t xml:space="preserve">Low end of EU agricultural-residue benchmark (Lamers et al. 2015), replacing a decade-old IEA 2011b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</w:t>
            </w:r>
          </w:p>
        </w:tc>
        <w:tc>
          <w:tcPr/>
          <w:p>
            <w:pPr>
              <w:pStyle w:val="Compact"/>
            </w:pPr>
            <w:r>
              <w:t xml:space="preserve">52.91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(unchanged)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Already sits between the global (Brent/HSFO) and Senegal-specific (government strategy note) benchmarks — no correction needed</w:t>
            </w:r>
          </w:p>
        </w:tc>
      </w:tr>
    </w:tbl>
    <w:p>
      <w:pPr>
        <w:pStyle w:val="BodyText"/>
      </w:pPr>
      <w:r>
        <w:t xml:space="preserve">Applied as a flat</w:t>
      </w:r>
      <w:r>
        <w:t xml:space="preserve"> </w:t>
      </w:r>
      <w:r>
        <w:rPr>
          <w:rStyle w:val="VerbatimChar"/>
        </w:rPr>
        <w:t xml:space="preserve">costs.fuel:</w:t>
      </w:r>
      <w:r>
        <w:t xml:space="preserve"> </w:t>
      </w:r>
      <w:r>
        <w:t xml:space="preserve">override (not year-varying) across all twelve</w:t>
      </w:r>
      <w:r>
        <w:t xml:space="preserve"> </w:t>
      </w:r>
      <w:r>
        <w:rPr>
          <w:rStyle w:val="VerbatimChar"/>
        </w:rPr>
        <w:t xml:space="preserve">config.uc_bess_{2025,2030,2035,2040,2045,2050}.yaml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config.uc_no_bess_{...}.yaml</w:t>
      </w:r>
      <w:r>
        <w:t xml:space="preserve"> </w:t>
      </w:r>
      <w:r>
        <w:t xml:space="preserve">files.</w:t>
      </w:r>
    </w:p>
    <w:p>
      <w:pPr>
        <w:pStyle w:val="BodyText"/>
      </w:pPr>
      <w:r>
        <w:rPr>
          <w:b/>
          <w:bCs/>
        </w:rPr>
        <w:t xml:space="preserve">Coal and biomass were never built in any solved network in this project to date</w:t>
      </w:r>
      <w:r>
        <w:t xml:space="preserve"> </w:t>
      </w:r>
      <w:r>
        <w:t xml:space="preserve">— their</w:t>
      </w:r>
      <w:r>
        <w:t xml:space="preserve"> </w:t>
      </w:r>
      <w:r>
        <w:t xml:space="preserve">correction is a documentation/correctness fix, not expected to move any dispatch result.</w:t>
      </w:r>
      <w:r>
        <w:t xml:space="preserve"> </w:t>
      </w:r>
      <w:r>
        <w:rPr>
          <w:b/>
          <w:bCs/>
        </w:rPr>
        <w:t xml:space="preserve">Gas is the one correction with real leverage</w:t>
      </w:r>
      <w:r>
        <w:t xml:space="preserve">: it directly sets CCGT/OCGT marginal cost,</w:t>
      </w:r>
      <w:r>
        <w:t xml:space="preserve"> </w:t>
      </w:r>
      <w:r>
        <w:t xml:space="preserve">which sets how much thermal generation competes with BESS in every scenario.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8ef70925dc5ed0eef5e36c6f2d2e7c287ea2ce8"/>
    <w:p>
      <w:pPr>
        <w:pStyle w:val="Heading1"/>
      </w:pPr>
      <w:r>
        <w:t xml:space="preserve">8. Marginal cost — the downstream effect of the fuel correction</w:t>
      </w:r>
    </w:p>
    <w:p>
      <w:pPr>
        <w:pStyle w:val="FirstParagraph"/>
      </w:pPr>
      <w:r>
        <w:rPr>
          <w:rStyle w:val="VerbatimChar"/>
        </w:rPr>
        <w:t xml:space="preserve">marginal_cost</w:t>
      </w:r>
      <w:r>
        <w:t xml:space="preserve"> </w:t>
      </w:r>
      <w:r>
        <w:t xml:space="preserve">(EUR/MWh_e) =</w:t>
      </w:r>
      <w:r>
        <w:t xml:space="preserve"> </w:t>
      </w:r>
      <w:r>
        <w:rPr>
          <w:rStyle w:val="VerbatimChar"/>
        </w:rPr>
        <w:t xml:space="preserve">VOM</w:t>
      </w:r>
      <w:r>
        <w:t xml:space="preserve"> </w:t>
      </w:r>
      <w:r>
        <w:t xml:space="preserve">(EUR/MWh_e) +</w:t>
      </w:r>
      <w:r>
        <w:t xml:space="preserve"> </w:t>
      </w:r>
      <w:r>
        <w:rPr>
          <w:rStyle w:val="VerbatimChar"/>
        </w:rPr>
        <w:t xml:space="preserve">fuel</w:t>
      </w:r>
      <w:r>
        <w:t xml:space="preserve"> </w:t>
      </w:r>
      <w:r>
        <w:t xml:space="preserve">(EUR/MWh_th) /</w:t>
      </w:r>
      <w:r>
        <w:t xml:space="preserve"> </w:t>
      </w:r>
      <w:r>
        <w:rPr>
          <w:rStyle w:val="VerbatimChar"/>
        </w:rPr>
        <w:t xml:space="preserve">efficiency</w:t>
      </w:r>
      <w:r>
        <w:t xml:space="preserve">. VOM and</w:t>
      </w:r>
      <w:r>
        <w:t xml:space="preserve"> </w:t>
      </w:r>
      <w:r>
        <w:t xml:space="preserve">efficiency were not changed (Sections 4 and 6), so the entire shift below comes from Section 7</w:t>
      </w:r>
      <w:r>
        <w:t xml:space="preserve"> </w:t>
      </w:r>
      <w:r>
        <w:t xml:space="preserve">alone. Figures use each carrier’s model efficiency and VOM as a representative constant</w:t>
      </w:r>
      <w:r>
        <w:t xml:space="preserve"> </w:t>
      </w:r>
      <w:r>
        <w:t xml:space="preserve">(Sections 4/6); efficiency has a mild secondary year-dependence in the underlying DEA data</w:t>
      </w:r>
      <w:r>
        <w:t xml:space="preserve"> </w:t>
      </w:r>
      <w:r>
        <w:t xml:space="preserve">that is unaffected by this correction and not re-derived here.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VOM (EUR/MWh)</w:t>
            </w:r>
          </w:p>
        </w:tc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old marginal cost (EUR/MWh)</w:t>
            </w:r>
          </w:p>
        </w:tc>
        <w:tc>
          <w:tcPr/>
          <w:p>
            <w:pPr>
              <w:pStyle w:val="Compact"/>
            </w:pPr>
            <w:r>
              <w:t xml:space="preserve">new marginal cost (EUR/MWh)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CCGT</w:t>
            </w:r>
          </w:p>
        </w:tc>
        <w:tc>
          <w:tcPr/>
          <w:p>
            <w:pPr>
              <w:pStyle w:val="Compact"/>
            </w:pPr>
            <w:r>
              <w:t xml:space="preserve">4.23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45.18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OCGT</w:t>
            </w:r>
          </w:p>
        </w:tc>
        <w:tc>
          <w:tcPr/>
          <w:p>
            <w:pPr>
              <w:pStyle w:val="Compact"/>
            </w:pPr>
            <w:r>
              <w:t xml:space="preserve">4.76</w:t>
            </w:r>
          </w:p>
        </w:tc>
        <w:tc>
          <w:tcPr/>
          <w:p>
            <w:pPr>
              <w:pStyle w:val="Compact"/>
            </w:pPr>
            <w:r>
              <w:t xml:space="preserve">43.0%</w:t>
            </w:r>
          </w:p>
        </w:tc>
        <w:tc>
          <w:tcPr/>
          <w:p>
            <w:pPr>
              <w:pStyle w:val="Compact"/>
            </w:pPr>
            <w:r>
              <w:t xml:space="preserve">61.90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coal</w:t>
            </w:r>
          </w:p>
        </w:tc>
        <w:tc>
          <w:tcPr/>
          <w:p>
            <w:pPr>
              <w:pStyle w:val="Compact"/>
            </w:pPr>
            <w:r>
              <w:t xml:space="preserve">3.26</w:t>
            </w:r>
          </w:p>
        </w:tc>
        <w:tc>
          <w:tcPr/>
          <w:p>
            <w:pPr>
              <w:pStyle w:val="Compact"/>
            </w:pPr>
            <w:r>
              <w:t xml:space="preserve">35.6%</w:t>
            </w:r>
          </w:p>
        </w:tc>
        <w:tc>
          <w:tcPr/>
          <w:p>
            <w:pPr>
              <w:pStyle w:val="Compact"/>
            </w:pPr>
            <w:r>
              <w:t xml:space="preserve">30.11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biomass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46.8%</w:t>
            </w:r>
          </w:p>
        </w:tc>
        <w:tc>
          <w:tcPr/>
          <w:p>
            <w:pPr>
              <w:pStyle w:val="Compact"/>
            </w:pPr>
            <w:r>
              <w:t xml:space="preserve">15.83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+94%</w:t>
            </w:r>
          </w:p>
        </w:tc>
      </w:tr>
    </w:tbl>
    <w:p>
      <w:pPr>
        <w:pStyle w:val="BodyText"/>
      </w:pPr>
      <w:r>
        <w:rPr>
          <w:b/>
          <w:bCs/>
        </w:rPr>
        <w:t xml:space="preserve">Gas-fired generation (CCGT/OCGT) got meaningfully cheaper to dispatch</w:t>
      </w:r>
      <w:r>
        <w:t xml:space="preserve"> </w:t>
      </w:r>
      <w:r>
        <w:t xml:space="preserve">— roughly 31%</w:t>
      </w:r>
      <w:r>
        <w:t xml:space="preserve"> </w:t>
      </w:r>
      <w:r>
        <w:t xml:space="preserve">cheaper per MWh — which tends to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how competitive thermal generation is against</w:t>
      </w:r>
      <w:r>
        <w:t xml:space="preserve"> </w:t>
      </w:r>
      <w:r>
        <w:t xml:space="preserve">BESS in the model’s dispatch decisions, the opposite direction from what a naive</w:t>
      </w:r>
      <w:r>
        <w:t xml:space="preserve"> </w:t>
      </w:r>
      <w:r>
        <w:t xml:space="preserve">“corrected</w:t>
      </w:r>
      <w:r>
        <w:t xml:space="preserve"> </w:t>
      </w:r>
      <w:r>
        <w:t xml:space="preserve">figures always favour renewables”</w:t>
      </w:r>
      <w:r>
        <w:t xml:space="preserve"> </w:t>
      </w:r>
      <w:r>
        <w:t xml:space="preserve">assumption might suggest. This is exactly the sensitivity</w:t>
      </w:r>
      <w:r>
        <w:t xml:space="preserve"> </w:t>
      </w:r>
      <w:r>
        <w:t xml:space="preserve">the companion fuel-cost notebook flagged as</w:t>
      </w:r>
      <w:r>
        <w:t xml:space="preserve"> </w:t>
      </w:r>
      <w:r>
        <w:t xml:space="preserve">“the single most consequential open question”</w:t>
      </w:r>
      <w:r>
        <w:t xml:space="preserve"> </w:t>
      </w:r>
      <w:r>
        <w:t xml:space="preserve">—</w:t>
      </w:r>
      <w:r>
        <w:t xml:space="preserve"> </w:t>
      </w:r>
      <w:r>
        <w:t xml:space="preserve">it has now been resolved with a Senegal-specific source rather than left as a caveat, and the</w:t>
      </w:r>
      <w:r>
        <w:t xml:space="preserve"> </w:t>
      </w:r>
      <w:r>
        <w:t xml:space="preserve">direction of the effect (cheaper gas, not more expensive) is worth keeping in mind when</w:t>
      </w:r>
      <w:r>
        <w:t xml:space="preserve"> </w:t>
      </w:r>
      <w:r>
        <w:t xml:space="preserve">interpreting the transmission/BESS comparison results run on top of this correction.</w:t>
      </w:r>
      <w:r>
        <w:t xml:space="preserve"> </w:t>
      </w:r>
      <w:r>
        <w:t xml:space="preserve">Coal and biomass got correspondingly more expensive to dispatch, but since neither carrier is</w:t>
      </w:r>
      <w:r>
        <w:t xml:space="preserve"> </w:t>
      </w:r>
      <w:r>
        <w:t xml:space="preserve">ever built in a solved network, this has no practical effect on current results.</w:t>
      </w:r>
    </w:p>
    <w:p>
      <w:r>
        <w:pict>
          <v:rect style="width:0;height:1.5pt" o:hralign="center" o:hrstd="t" o:hr="t"/>
        </w:pict>
      </w:r>
    </w:p>
    <w:bookmarkEnd w:id="22"/>
    <w:bookmarkStart w:id="23" w:name="bess-storage-summary-only"/>
    <w:p>
      <w:pPr>
        <w:pStyle w:val="Heading1"/>
      </w:pPr>
      <w:r>
        <w:t xml:space="preserve">9. BESS (storage) — summary only</w:t>
      </w:r>
    </w:p>
    <w:p>
      <w:pPr>
        <w:pStyle w:val="FirstParagraph"/>
      </w:pPr>
      <w:r>
        <w:t xml:space="preserve">Battery storage CapEx, FOM, VOM/degradation, and efficiency were recalibrated separately</w:t>
      </w:r>
      <w:r>
        <w:t xml:space="preserve"> </w:t>
      </w:r>
      <w:r>
        <w:t xml:space="preserve">against NREL (Cole et al. 2025,</w:t>
      </w:r>
      <w:r>
        <w:t xml:space="preserve"> </w:t>
      </w:r>
      <w:r>
        <w:rPr>
          <w:i/>
          <w:iCs/>
        </w:rPr>
        <w:t xml:space="preserve">Cost Projections for Utility-Scale Battery Storage: 2025</w:t>
      </w:r>
      <w:r>
        <w:rPr>
          <w:i/>
          <w:iCs/>
        </w:rPr>
        <w:t xml:space="preserve"> </w:t>
      </w:r>
      <w:r>
        <w:rPr>
          <w:i/>
          <w:iCs/>
        </w:rPr>
        <w:t xml:space="preserve">Update</w:t>
      </w:r>
      <w:r>
        <w:t xml:space="preserve">) and Ember (</w:t>
      </w:r>
      <w:r>
        <w:rPr>
          <w:i/>
          <w:iCs/>
        </w:rPr>
        <w:t xml:space="preserve">“How cheap is battery storage?”</w:t>
      </w:r>
      <w:r>
        <w:t xml:space="preserve">, Dec 2025), alongside two real software</w:t>
      </w:r>
      <w:r>
        <w:t xml:space="preserve"> </w:t>
      </w:r>
      <w:r>
        <w:t xml:space="preserve">bugs that were found and fixed in the process (existing-battery efficiency defaulting to a</w:t>
      </w:r>
      <w:r>
        <w:t xml:space="preserve"> </w:t>
      </w:r>
      <w:r>
        <w:t xml:space="preserve">lossless 100%, and new-build battery round-trip efficiency double-compounding). See</w:t>
      </w:r>
      <w:r>
        <w:t xml:space="preserve"> </w:t>
      </w:r>
      <w:r>
        <w:rPr>
          <w:i/>
          <w:iCs/>
        </w:rPr>
        <w:t xml:space="preserve">BESS_cost_assumptions.pdf/docx</w:t>
      </w:r>
      <w:r>
        <w:t xml:space="preserve"> </w:t>
      </w:r>
      <w:r>
        <w:t xml:space="preserve">for the full methodology, values, and sources — not repeated</w:t>
      </w:r>
      <w:r>
        <w:t xml:space="preserve"> </w:t>
      </w:r>
      <w:r>
        <w:t xml:space="preserve">here.</w:t>
      </w:r>
    </w:p>
    <w:p>
      <w:r>
        <w:pict>
          <v:rect style="width:0;height:1.5pt" o:hralign="center" o:hrstd="t" o:hr="t"/>
        </w:pict>
      </w:r>
    </w:p>
    <w:bookmarkEnd w:id="23"/>
    <w:bookmarkStart w:id="24" w:name="X1a43b3a206e2b169668806bcb5f19baaccfb27d"/>
    <w:p>
      <w:pPr>
        <w:pStyle w:val="Heading1"/>
      </w:pPr>
      <w:r>
        <w:t xml:space="preserve">10. Summary — what changed vs. what was checked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checked against</w:t>
            </w:r>
          </w:p>
        </w:tc>
        <w:tc>
          <w:tcPr/>
          <w:p>
            <w:pPr>
              <w:pStyle w:val="Compact"/>
            </w:pPr>
            <w:r>
              <w:t xml:space="preserve">changed?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Investment (CapEx)</w:t>
            </w:r>
          </w:p>
        </w:tc>
        <w:tc>
          <w:tcPr/>
          <w:p>
            <w:pPr>
              <w:pStyle w:val="Compact"/>
            </w:pPr>
            <w:r>
              <w:t xml:space="preserve">IRENA, Lazard, EIA AEO2022, UTS Africa Power Report, Taiba N’Diaye</w:t>
            </w:r>
          </w:p>
        </w:tc>
        <w:tc>
          <w:tcPr/>
          <w:p>
            <w:pPr>
              <w:pStyle w:val="Compact"/>
            </w:pPr>
            <w:r>
              <w:t xml:space="preserve">No — onshore wind flagged as a sensitivity-run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Indonesia reference case (MEMR 2024 / Athanasiou)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Indonesia reference case, EIA AEO2022 heat rates</w:t>
            </w:r>
          </w:p>
        </w:tc>
        <w:tc>
          <w:tcPr/>
          <w:p>
            <w:pPr>
              <w:pStyle w:val="Compact"/>
            </w:pPr>
            <w:r>
              <w:t xml:space="preserve">No — biomass flagged as an anomaly worth checking upstream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O&amp;M</w:t>
            </w:r>
          </w:p>
        </w:tc>
        <w:tc>
          <w:tcPr/>
          <w:p>
            <w:pPr>
              <w:pStyle w:val="Compact"/>
            </w:pPr>
            <w:r>
              <w:t xml:space="preserve">Indonesia reference case, EIA AEO2022</w:t>
            </w:r>
          </w:p>
        </w:tc>
        <w:tc>
          <w:tcPr/>
          <w:p>
            <w:pPr>
              <w:pStyle w:val="Compact"/>
            </w:pPr>
            <w:r>
              <w:t xml:space="preserve">No — onshore wind flagged, pairs with CapEx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O&amp;M</w:t>
            </w:r>
          </w:p>
        </w:tc>
        <w:tc>
          <w:tcPr/>
          <w:p>
            <w:pPr>
              <w:pStyle w:val="Compact"/>
            </w:pPr>
            <w:r>
              <w:t xml:space="preserve">Indonesia reference case, EIA AEO2022</w:t>
            </w:r>
          </w:p>
        </w:tc>
        <w:tc>
          <w:tcPr/>
          <w:p>
            <w:pPr>
              <w:pStyle w:val="Compact"/>
            </w:pPr>
            <w:r>
              <w:t xml:space="preserve">No — biomass zero-VOM flagged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Fuel cost</w:t>
            </w:r>
          </w:p>
        </w:tc>
        <w:tc>
          <w:tcPr/>
          <w:p>
            <w:pPr>
              <w:pStyle w:val="Compact"/>
            </w:pPr>
            <w:r>
              <w:t xml:space="preserve">Senegal Gas-to-Power strategy note, API2 Rotterdam, Lamers et al. 2015, Brent/HSFO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gas, coal, biomass corrected; oil confirmed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cost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(derived)</w:t>
            </w:r>
          </w:p>
        </w:tc>
        <w:tc>
          <w:tcPr/>
          <w:p>
            <w:pPr>
              <w:pStyle w:val="Compact"/>
            </w:pPr>
            <w:r>
              <w:t xml:space="preserve">Shifted as a direct consequence of the fuel correction — see Section 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sources"/>
    <w:p>
      <w:pPr>
        <w:pStyle w:val="Heading1"/>
      </w:pPr>
      <w:r>
        <w:t xml:space="preserve">11. Sources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technology-data</w:t>
      </w:r>
      <w:r>
        <w:t xml:space="preserve"> </w:t>
      </w:r>
      <w:r>
        <w:t xml:space="preserve">project (v0.13.2) and the underlying Danish Energy Agency</w:t>
      </w:r>
      <w:r>
        <w:t xml:space="preserve"> </w:t>
      </w:r>
      <w:r>
        <w:rPr>
          <w:i/>
          <w:iCs/>
        </w:rPr>
        <w:t xml:space="preserve">Technology</w:t>
      </w:r>
      <w:r>
        <w:rPr>
          <w:i/>
          <w:iCs/>
        </w:rPr>
        <w:t xml:space="preserve"> </w:t>
      </w:r>
      <w:r>
        <w:rPr>
          <w:i/>
          <w:iCs/>
        </w:rPr>
        <w:t xml:space="preserve">Data Catalogue for Generation of Electricity and District Heating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DIW Berlin (2013),</w:t>
      </w:r>
      <w:r>
        <w:t xml:space="preserve"> </w:t>
      </w:r>
      <w:r>
        <w:rPr>
          <w:i/>
          <w:iCs/>
        </w:rPr>
        <w:t xml:space="preserve">Current and prospective costs of electricity generation until 2050</w:t>
      </w:r>
      <w:r>
        <w:t xml:space="preserve">.</w:t>
      </w:r>
      <w:r>
        <w:t xml:space="preserve"> </w:t>
      </w:r>
      <w:r>
        <w:t xml:space="preserve">http://hdl.handle.net/10419/80348</w:t>
      </w:r>
    </w:p>
    <w:p>
      <w:pPr>
        <w:pStyle w:val="Compact"/>
        <w:numPr>
          <w:ilvl w:val="0"/>
          <w:numId w:val="1004"/>
        </w:numPr>
      </w:pPr>
      <w:r>
        <w:t xml:space="preserve">IRENA (2024),</w:t>
      </w:r>
      <w:r>
        <w:t xml:space="preserve"> </w:t>
      </w:r>
      <w:r>
        <w:rPr>
          <w:i/>
          <w:iCs/>
        </w:rPr>
        <w:t xml:space="preserve">Renewable Power Generation Costs in 2024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Lazard (2025),</w:t>
      </w:r>
      <w:r>
        <w:t xml:space="preserve"> </w:t>
      </w:r>
      <w:r>
        <w:rPr>
          <w:i/>
          <w:iCs/>
        </w:rPr>
        <w:t xml:space="preserve">Levelized Cost of Energy+</w:t>
      </w:r>
      <w:r>
        <w:t xml:space="preserve"> </w:t>
      </w:r>
      <w:r>
        <w:t xml:space="preserve">(LCOE+), v18.0.</w:t>
      </w:r>
    </w:p>
    <w:p>
      <w:pPr>
        <w:pStyle w:val="Compact"/>
        <w:numPr>
          <w:ilvl w:val="0"/>
          <w:numId w:val="1004"/>
        </w:numPr>
      </w:pPr>
      <w:r>
        <w:t xml:space="preserve">US EIA,</w:t>
      </w:r>
      <w:r>
        <w:t xml:space="preserve"> </w:t>
      </w:r>
      <w:r>
        <w:rPr>
          <w:i/>
          <w:iCs/>
        </w:rPr>
        <w:t xml:space="preserve">Annual Energy Outlook 2022</w:t>
      </w:r>
      <w:r>
        <w:t xml:space="preserve">, Table 8.2,</w:t>
      </w:r>
      <w:r>
        <w:t xml:space="preserve"> </w:t>
      </w:r>
      <w:r>
        <w:rPr>
          <w:i/>
          <w:iCs/>
        </w:rPr>
        <w:t xml:space="preserve">Cost and Performance Characteristics of</w:t>
      </w:r>
      <w:r>
        <w:rPr>
          <w:i/>
          <w:iCs/>
        </w:rPr>
        <w:t xml:space="preserve"> </w:t>
      </w:r>
      <w:r>
        <w:rPr>
          <w:i/>
          <w:iCs/>
        </w:rPr>
        <w:t xml:space="preserve">New Generating Technologies</w:t>
      </w:r>
      <w:r>
        <w:t xml:space="preserve"> </w:t>
      </w:r>
      <w:r>
        <w:t xml:space="preserve">(Sargent &amp; Lundy basis).</w:t>
      </w:r>
    </w:p>
    <w:p>
      <w:pPr>
        <w:pStyle w:val="Compact"/>
        <w:numPr>
          <w:ilvl w:val="0"/>
          <w:numId w:val="1004"/>
        </w:numPr>
      </w:pPr>
      <w:r>
        <w:t xml:space="preserve">UTS (2025),</w:t>
      </w:r>
      <w:r>
        <w:t xml:space="preserve"> </w:t>
      </w:r>
      <w:r>
        <w:rPr>
          <w:i/>
          <w:iCs/>
        </w:rPr>
        <w:t xml:space="preserve">Africa Power Report: Senegal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 Weijer, T. (TU Delft thesis), citing Indonesia’s Ministry of Energy and Mineral</w:t>
      </w:r>
      <w:r>
        <w:t xml:space="preserve"> </w:t>
      </w:r>
      <w:r>
        <w:t xml:space="preserve">Resources (MEMR) 2024 data and Langer et al. (2024).</w:t>
      </w:r>
    </w:p>
    <w:p>
      <w:pPr>
        <w:pStyle w:val="Compact"/>
        <w:numPr>
          <w:ilvl w:val="0"/>
          <w:numId w:val="1004"/>
        </w:numPr>
      </w:pPr>
      <w:r>
        <w:t xml:space="preserve">Yoga, R. (TU Delft thesis), citing the Indonesia Power Sector Technology Data Catalogue</w:t>
      </w:r>
      <w:r>
        <w:t xml:space="preserve"> </w:t>
      </w:r>
      <w:r>
        <w:t xml:space="preserve">(Athanasiou catalogue).</w:t>
      </w:r>
    </w:p>
    <w:p>
      <w:pPr>
        <w:pStyle w:val="Compact"/>
        <w:numPr>
          <w:ilvl w:val="0"/>
          <w:numId w:val="1004"/>
        </w:numPr>
      </w:pPr>
      <w:r>
        <w:t xml:space="preserve">Republic of Senegal, Ministry of Petroleum and Energy,</w:t>
      </w:r>
      <w:r>
        <w:t xml:space="preserve"> </w:t>
      </w:r>
      <w:r>
        <w:rPr>
          <w:i/>
          <w:iCs/>
        </w:rPr>
        <w:t xml:space="preserve">Gas to Power</w:t>
      </w:r>
      <w:r>
        <w:t xml:space="preserve"> </w:t>
      </w:r>
      <w:r>
        <w:t xml:space="preserve">strategy note.</w:t>
      </w:r>
    </w:p>
    <w:p>
      <w:pPr>
        <w:pStyle w:val="Compact"/>
        <w:numPr>
          <w:ilvl w:val="0"/>
          <w:numId w:val="1004"/>
        </w:numPr>
      </w:pPr>
      <w:r>
        <w:t xml:space="preserve">API2 Rotterdam coal price index (Aug 2026 spot reference).</w:t>
      </w:r>
    </w:p>
    <w:p>
      <w:pPr>
        <w:pStyle w:val="Compact"/>
        <w:numPr>
          <w:ilvl w:val="0"/>
          <w:numId w:val="1004"/>
        </w:numPr>
      </w:pPr>
      <w:r>
        <w:t xml:space="preserve">Lamers, P. et al. (2015) — agricultural- and forest-residue feedstock cost ranges, as cited</w:t>
      </w:r>
      <w:r>
        <w:t xml:space="preserve"> </w:t>
      </w:r>
      <w:r>
        <w:t xml:space="preserve">in UTS</w:t>
      </w:r>
      <w:r>
        <w:t xml:space="preserve"> </w:t>
      </w:r>
      <w:r>
        <w:rPr>
          <w:i/>
          <w:iCs/>
        </w:rPr>
        <w:t xml:space="preserve">Africa Power Report: Senegal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IEA (2011b) — legacy biomass fuel-cost source, superseded by the above for this correction.</w:t>
      </w:r>
    </w:p>
    <w:p>
      <w:pPr>
        <w:pStyle w:val="Compact"/>
        <w:numPr>
          <w:ilvl w:val="0"/>
          <w:numId w:val="1004"/>
        </w:numPr>
      </w:pPr>
      <w:r>
        <w:t xml:space="preserve">Brent crude and Rotterdam/Singapore/Fujairah HSFO 380 bunker fuel spot references (Aug</w:t>
      </w:r>
      <w:r>
        <w:t xml:space="preserve"> </w:t>
      </w:r>
      <w:r>
        <w:t xml:space="preserve">2026).</w:t>
      </w:r>
    </w:p>
    <w:p>
      <w:pPr>
        <w:pStyle w:val="FirstParagraph"/>
      </w:pPr>
      <w:r>
        <w:rPr>
          <w:i/>
          <w:iCs/>
        </w:rPr>
        <w:t xml:space="preserve">Document prepared from the working session benchmarking generation technology cost inputs in</w:t>
      </w:r>
      <w:r>
        <w:rPr>
          <w:i/>
          <w:iCs/>
        </w:rPr>
        <w:t xml:space="preserve"> </w:t>
      </w:r>
      <w:r>
        <w:rPr>
          <w:i/>
          <w:iCs/>
        </w:rPr>
        <w:t xml:space="preserve">the Senegal PyPSA-Earth model. All external figures were independently fetched/verified during</w:t>
      </w:r>
      <w:r>
        <w:rPr>
          <w:i/>
          <w:iCs/>
        </w:rPr>
        <w:t xml:space="preserve"> </w:t>
      </w:r>
      <w:r>
        <w:rPr>
          <w:i/>
          <w:iCs/>
        </w:rPr>
        <w:t xml:space="preserve">that session;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BESS_Input_Cost_Benchmarking_2.ipynb</w:t>
      </w:r>
      <w:r>
        <w:rPr>
          <w:i/>
          <w:iCs/>
        </w:rPr>
        <w:t xml:space="preserve"> </w:t>
      </w:r>
      <w:r>
        <w:rPr>
          <w:i/>
          <w:iCs/>
        </w:rPr>
        <w:t xml:space="preserve">(Sections 1–3, 5–12) for the</w:t>
      </w:r>
      <w:r>
        <w:rPr>
          <w:i/>
          <w:iCs/>
        </w:rPr>
        <w:t xml:space="preserve"> </w:t>
      </w:r>
      <w:r>
        <w:rPr>
          <w:i/>
          <w:iCs/>
        </w:rPr>
        <w:t xml:space="preserve">underlying computation and plots this document draws on.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Generation Technology Cost Assumptions — Methodology and Sources</dc:title>
  <dc:creator/>
  <cp:keywords/>
  <dcterms:created xsi:type="dcterms:W3CDTF">2026-08-18T14:48:49Z</dcterms:created>
  <dcterms:modified xsi:type="dcterms:W3CDTF">2026-08-18T14:48:49Z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2026-08-18</vt:lpwstr>
  </property>
  <property fmtid="{D5CDD505-2E9C-101B-9397-08002B2CF9AE}" pid="3" name="subtitle">
    <vt:lpwstr>Senegal PyPSA-Earth model: benchmarking of solar, wind, hydro, and thermal generation inputs against real-world sources, and correction of fuel costs</vt:lpwstr>
  </property>
</Properties>
</file>