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05273">
      <w:pPr>
        <w:spacing w:after="240"/>
        <w:jc w:val="center"/>
      </w:pPr>
      <w:r>
        <w:rPr>
          <w:sz w:val="48"/>
          <w:szCs w:val="48"/>
        </w:rPr>
        <w:t>HSLSA: Verifiable Supply-Chain Levels for Hardware, from RTL to a Booted Device</w:t>
      </w:r>
    </w:p>
    <w:p w14:paraId="2300013B">
      <w:pPr>
        <w:spacing w:after="0"/>
        <w:jc w:val="center"/>
      </w:pPr>
      <w:r>
        <w:rPr>
          <w:rFonts w:hint="default"/>
          <w:sz w:val="22"/>
          <w:szCs w:val="22"/>
          <w:lang w:val="en-IN"/>
        </w:rPr>
        <w:t xml:space="preserve">Praful Khanduri </w:t>
      </w:r>
    </w:p>
    <w:p w14:paraId="6FEE451C">
      <w:pPr>
        <w:spacing w:after="0"/>
        <w:jc w:val="center"/>
        <w:rPr>
          <w:i/>
          <w:iCs/>
          <w:sz w:val="20"/>
          <w:szCs w:val="20"/>
        </w:rPr>
      </w:pPr>
      <w:r>
        <w:rPr>
          <w:i/>
          <w:iCs/>
          <w:sz w:val="20"/>
          <w:szCs w:val="20"/>
        </w:rPr>
        <w:t>Independent Researcher</w:t>
      </w:r>
    </w:p>
    <w:p w14:paraId="54937B9D">
      <w:pPr>
        <w:spacing w:after="0"/>
        <w:jc w:val="center"/>
        <w:rPr>
          <w:rFonts w:hint="default"/>
          <w:i/>
          <w:iCs/>
          <w:sz w:val="20"/>
          <w:szCs w:val="20"/>
          <w:lang w:val="en-IN"/>
        </w:rPr>
      </w:pPr>
      <w:r>
        <w:rPr>
          <w:rFonts w:hint="default"/>
          <w:i/>
          <w:iCs/>
          <w:sz w:val="20"/>
          <w:szCs w:val="20"/>
          <w:lang w:val="en-IN"/>
        </w:rPr>
        <w:t>p</w:t>
      </w:r>
      <w:bookmarkStart w:id="0" w:name="_GoBack"/>
      <w:bookmarkEnd w:id="0"/>
      <w:r>
        <w:rPr>
          <w:rFonts w:hint="default"/>
          <w:i/>
          <w:iCs/>
          <w:sz w:val="20"/>
          <w:szCs w:val="20"/>
          <w:lang w:val="en-IN"/>
        </w:rPr>
        <w:t>kkhanduri9@gmail.com</w:t>
      </w:r>
    </w:p>
    <w:p w14:paraId="68E11A4F">
      <w:pPr>
        <w:spacing w:after="360"/>
        <w:jc w:val="center"/>
      </w:pPr>
      <w:r>
        <w:rPr>
          <w:sz w:val="20"/>
          <w:szCs w:val="20"/>
        </w:rPr>
        <w:t>https://github.com/Horiodino/hw-slsa</w:t>
      </w:r>
    </w:p>
    <w:p w14:paraId="07464747">
      <w:pPr>
        <w:sectPr>
          <w:pgSz w:w="12240" w:h="15840"/>
          <w:pgMar w:top="1080" w:right="900" w:bottom="1440" w:left="900" w:header="708" w:footer="708" w:gutter="0"/>
          <w:cols w:space="720" w:num="1"/>
          <w:docGrid w:linePitch="360" w:charSpace="0"/>
        </w:sectPr>
      </w:pPr>
    </w:p>
    <w:p w14:paraId="5C143DD4">
      <w:pPr>
        <w:spacing w:after="120"/>
        <w:jc w:val="both"/>
      </w:pPr>
      <w:r>
        <w:rPr>
          <w:b/>
          <w:bCs/>
          <w:i/>
          <w:iCs/>
          <w:sz w:val="18"/>
          <w:szCs w:val="18"/>
        </w:rPr>
        <w:t>Abstract.</w:t>
      </w:r>
      <w:r>
        <w:rPr>
          <w:b/>
          <w:bCs/>
          <w:sz w:val="18"/>
          <w:szCs w:val="18"/>
        </w:rPr>
        <w:t xml:space="preserve"> Software supply chains now have signed step-by-step provenance (in-toto), assurance levels a buyer can require (SLSA), and bills of materials (SBOM). Hardware has pieces of this: device identity rooted in silicon (DICE, Caliptra), independent firmware review reports (OCP S.A.F.E.), and NIST IR 8536, a traceability meta-framework that deliberately leaves record payloads and risk tiers to each industry. What hardware lacks is a scheme that lets a buyer check, with a pass or fail result, how a chip or a board was designed, fabricated, packaged, assembled and provisioned, and that connects those records to the device the buyer powers on. We present HSLSA, a framework that rates five tracks of the hardware supply chain (Design, Wafer, Package/Test, Assembly, Firmware) at levels L1 to L3, plus an optional L4 defense profile. Every step is an in-toto statement whose predicate is a strict superset of SLSA Provenance v1; physical subjects are named by digests over canonical unit lists; and the device’s hardware identity and boot measurements are tied back to the records that made it. HSLSA adds hardware-specific mechanisms for L3 and L4 (license-server-constrained isolation for EDA tools, identity challenges rooted in the die, a commit-and-reveal sampling protocol for destructive inspection), records for suppliers that do not sign yet, and selective disclosure for supplier secrets. We implement it as an open-source Go tool and evaluate it on five open-source examples, from PicoRV32 and an OpenLane 2 flow on SKY130 to an FPGA board with a root of trust and a Caliptra device. The buyer’s checks take 0.25 to 0.4 seconds per lot in our examples, an RTL-to-GDS flow was rebuilt bit for bit by a second builder (run under the same account as the first), and the checks are exercised with records they must accept and records they must refuse. All manufacturing evidence in this work comes from simulated hardware and no company has yet used the framework; we state exactly what the examples do and do not show. A signed record proves who made a claim, not that the claim is physically true, and the framework is designed around that limit.</w:t>
      </w:r>
    </w:p>
    <w:p w14:paraId="6E4D0DBD">
      <w:pPr>
        <w:spacing w:after="160"/>
        <w:jc w:val="both"/>
      </w:pPr>
      <w:r>
        <w:rPr>
          <w:b/>
          <w:bCs/>
          <w:i/>
          <w:iCs/>
          <w:sz w:val="18"/>
          <w:szCs w:val="18"/>
        </w:rPr>
        <w:t>Index Terms.</w:t>
      </w:r>
      <w:r>
        <w:rPr>
          <w:b/>
          <w:bCs/>
          <w:sz w:val="18"/>
          <w:szCs w:val="18"/>
        </w:rPr>
        <w:t xml:space="preserve"> hardware supply chain security, provenance, attestation, SLSA, in-toto, hardware bill of materials, root of trust, DICE, Caliptra, traceability</w:t>
      </w:r>
    </w:p>
    <w:p w14:paraId="440BF9B8">
      <w:pPr>
        <w:pStyle w:val="2"/>
      </w:pPr>
      <w:r>
        <w:rPr>
          <w:smallCaps/>
        </w:rPr>
        <w:t>I. Introduction</w:t>
      </w:r>
    </w:p>
    <w:p w14:paraId="57B35FBA">
      <w:pPr>
        <w:keepNext w:val="0"/>
        <w:spacing w:after="0" w:line="240" w:lineRule="auto"/>
        <w:ind w:firstLine="202"/>
        <w:jc w:val="both"/>
      </w:pPr>
      <w:r>
        <w:t>A modern chip passes through many companies before it runs code. A design house writes RTL, licenses IP blocks and runs an EDA flow that it does not fully control; a foundry makes masks and wafers; a sort house probes them; an OSAT packages the dies; a test house runs final test and often provisions keys and firmware; distributors ship the parts; an EMS assembles boards; and a programming station writes the firmware the device will boot. Every hand-off is a place where a part can be swapped, a design altered, a counterfeit introduced or an image changed [1, 2, 3]. Some of these attacks are very hard to detect after the fact: a fabrication-time trojan can be as small as one gate’s worth of added circuit [4], and a dopant-level change can alter a transistor without changing any layer’s shape [5].</w:t>
      </w:r>
    </w:p>
    <w:p w14:paraId="6AEC4118">
      <w:pPr>
        <w:keepNext w:val="0"/>
        <w:spacing w:after="0" w:line="240" w:lineRule="auto"/>
        <w:ind w:firstLine="202"/>
        <w:jc w:val="both"/>
      </w:pPr>
      <w:r>
        <w:t>For software, the industry has converged on a common answer. Each build step emits a signed statement of what it consumed and produced [6, 7]; a level scheme says how hard those statements are to forge [8]; signatures can be checked against public transparency logs [9]; reproducible builds let a second party confirm a result [10]; and an SBOM lists what a product contains [11, 12]. A buyer can write a policy (for example, “SLSA Build L3”) and run a verifier that answers yes or no.</w:t>
      </w:r>
    </w:p>
    <w:p w14:paraId="65CC3683">
      <w:pPr>
        <w:keepNext w:val="0"/>
        <w:spacing w:after="0" w:line="240" w:lineRule="auto"/>
        <w:ind w:firstLine="202"/>
        <w:jc w:val="both"/>
      </w:pPr>
      <w:r>
        <w:t>We are not aware of an equivalent for hardware that covers the whole chain. The closest existing pieces each address one part of it. Device identity architectures such as TCG DICE [13] and the Caliptra root of trust [14] let a device prove which key it holds and what firmware it measured, but say nothing about how the silicon was made. OCP S.A.F.E. [15] provides signed reports of independent firmware reviews. CISA’s HBOM framework [16] defines what a hardware bill of materials should describe, without signatures or checks. NIST IR 8536 [17] is a manufacturing traceability meta-framework: it defines principles, event categories and record elements, and deliberately leaves the payload templates and the risk scale to each industry. Academic work on IC traceability has focused on identity and counterfeit detection, for example combining PUF-derived identifiers with RFID tags [18], rather than on signed, leveled provenance across design, fabrication, assembly and firmware.</w:t>
      </w:r>
    </w:p>
    <w:p w14:paraId="4CB73021">
      <w:pPr>
        <w:keepNext w:val="0"/>
        <w:spacing w:after="0" w:line="240" w:lineRule="auto"/>
        <w:ind w:firstLine="202"/>
        <w:jc w:val="both"/>
      </w:pPr>
      <w:r>
        <w:t>This paper presents HSLSA, a framework that fills that slot for semiconductors and the boards built from them. Its central idea is to treat hardware supply-chain security the way SLSA treats builds: as a set of requirements per stage that a buyer can verify mechanically, with levels that say how much the records can be relied on. It differs from software in three ways that shape the design. First, physical things are not files: a wafer or a unit keeps its name when it is changed, so a signature over a lot of parts says nothing about what is inside them. Second, the parties are many independent companies, most of which do not sign anything today and treat yields, test programs and mask data as trade secrets. Third, the chain ends at a device, which can prove its own identity and measurements; that is the one place where records meet silicon.</w:t>
      </w:r>
    </w:p>
    <w:p w14:paraId="06CDD036">
      <w:pPr>
        <w:keepNext/>
        <w:spacing w:after="0" w:line="240" w:lineRule="auto"/>
        <w:ind w:firstLine="202"/>
        <w:jc w:val="both"/>
      </w:pPr>
      <w:r>
        <w:rPr>
          <w:b/>
          <w:bCs/>
        </w:rPr>
        <w:t>Contributions.</w:t>
      </w:r>
    </w:p>
    <w:p w14:paraId="2E447819">
      <w:pPr>
        <w:pStyle w:val="16"/>
        <w:numPr>
          <w:ilvl w:val="0"/>
          <w:numId w:val="1"/>
        </w:numPr>
        <w:spacing w:after="0"/>
        <w:jc w:val="both"/>
      </w:pPr>
      <w:r>
        <w:t>A level scheme for five hardware tracks (Design, Wafer, Package/Test, Assembly, Firmware) with core levels L1 to L3 and an optional L4 defense profile, whose requirements are stated as checks a buyer runs, and a threat model that classifies, per track and level, which attacks are stopped, which are only made accountable, and which are not addressed (Sections III, IV and X).</w:t>
      </w:r>
    </w:p>
    <w:p w14:paraId="40F3336C">
      <w:pPr>
        <w:pStyle w:val="16"/>
        <w:numPr>
          <w:ilvl w:val="0"/>
          <w:numId w:val="1"/>
        </w:numPr>
        <w:spacing w:after="0"/>
        <w:jc w:val="both"/>
      </w:pPr>
      <w:r>
        <w:t>An attestation model that reuses in-toto and SLSA unchanged and adds only what hardware needs: per-step predicates, names for physical subjects based on a canonical lot digest, and the binding of a device’s DICE or Caliptra identity and its boot measurements, published as CoRIM reference values, to the records that made it (Section V).</w:t>
      </w:r>
    </w:p>
    <w:p w14:paraId="3D660ED1">
      <w:pPr>
        <w:pStyle w:val="16"/>
        <w:numPr>
          <w:ilvl w:val="0"/>
          <w:numId w:val="1"/>
        </w:numPr>
        <w:spacing w:after="0"/>
        <w:jc w:val="both"/>
      </w:pPr>
      <w:r>
        <w:t>Hardware-specific mechanisms for the upper levels: isolation for EDA steps that must still reach license servers, identity challenges rooted in the die at final test and receipt, a commit-and-reveal seeded sampling protocol for destructive physical inspection, and independence of second parties through buyer-run key enrollments (Section VI).</w:t>
      </w:r>
    </w:p>
    <w:p w14:paraId="12D1CCFF">
      <w:pPr>
        <w:pStyle w:val="16"/>
        <w:numPr>
          <w:ilvl w:val="0"/>
          <w:numId w:val="1"/>
        </w:numPr>
        <w:spacing w:after="0"/>
        <w:jc w:val="both"/>
      </w:pPr>
      <w:r>
        <w:t>Mechanisms for incremental adoption and confidentiality: proxy-signed and evidence records that hold their track at L1, signing sidecars that turn existing supplier exports into records, withheld fields with salted digests, verifier escrow, and per-unit Merkle commitments, together with a measurement of what signed records still reveal (Section VII).</w:t>
      </w:r>
    </w:p>
    <w:p w14:paraId="506D04F9">
      <w:pPr>
        <w:pStyle w:val="16"/>
        <w:numPr>
          <w:ilvl w:val="0"/>
          <w:numId w:val="1"/>
        </w:numPr>
        <w:spacing w:after="0"/>
        <w:jc w:val="both"/>
      </w:pPr>
      <w:r>
        <w:t>An open-source reference implementation and an evaluation on five open-source examples, reporting verification cost, reproducibility, interoperability with unmodified SLSA and SBOM tooling, and record-level attack coverage, together with an explicit list of what remains unshown (Sections VIII, IX and XI).</w:t>
      </w:r>
    </w:p>
    <w:p w14:paraId="6173233B">
      <w:pPr>
        <w:keepNext w:val="0"/>
        <w:spacing w:after="0" w:line="240" w:lineRule="auto"/>
        <w:ind w:firstLine="202"/>
        <w:jc w:val="both"/>
      </w:pPr>
      <w:r>
        <w:rPr>
          <w:b/>
          <w:bCs/>
        </w:rPr>
        <w:t>Scope and honesty statement.</w:t>
      </w:r>
      <w:r>
        <w:t xml:space="preserve"> HSLSA is a specification and a prototype. All fabrication, sort, packaging, test, assembly and provisioning data in this paper comes from simulated hardware, and every such record is marked as simulated. The independent second builders and inspection labs used at L4 are separate parties only by key enrollment; they run in the same CI workflows, under one account, as the parties they check. Caliptra units boot on Caliptra’s emulator in every run; a full boot on the Verilated RTL runs only on demand and was run by hand on a laptop used as a self-hosted runner. No foundry, OSAT, EMS or buyer has used the framework. HSLSA is written as a profile of NIST IR 8536 rather than as a competing standard, and it builds on DICE, Caliptra, CoRIM and S.A.F.E. rather than replacing them.</w:t>
      </w:r>
    </w:p>
    <w:p w14:paraId="44AD0F72">
      <w:pPr>
        <w:pStyle w:val="2"/>
      </w:pPr>
      <w:r>
        <w:rPr>
          <w:smallCaps/>
        </w:rPr>
        <w:t>II. Background and Related Work</w:t>
      </w:r>
    </w:p>
    <w:p w14:paraId="04B47A8D">
      <w:pPr>
        <w:pStyle w:val="3"/>
      </w:pPr>
      <w:r>
        <w:rPr>
          <w:i/>
          <w:iCs/>
        </w:rPr>
        <w:t>A. Software supply-chain security</w:t>
      </w:r>
    </w:p>
    <w:p w14:paraId="6C68DF98">
      <w:pPr>
        <w:keepNext w:val="0"/>
        <w:spacing w:after="0" w:line="240" w:lineRule="auto"/>
        <w:ind w:firstLine="202"/>
        <w:jc w:val="both"/>
      </w:pPr>
      <w:r>
        <w:t>in-toto [6] records each step of a software supply chain as a signed statement of its inputs and outputs and lets a verifier check the chain against a layout. Its attestation framework [7] defines the Statement format (subjects, predicate type, predicate) inside a DSSE envelope [19], which HSLSA uses for every record. SLSA [8] defines Build levels: L1 requires provenance, L2 a hosted build platform that signs it, and L3 a hardened platform where builds cannot influence each other or the signing key; it also defines Verification Summary Attestations (VSAs) that carry a verifier’s result. Sigstore [9] adds keyless signing and public transparency logs. Reproducible builds [10] let an independent party rebuild an artifact and compare it bit for bit. Ladisa et al. [20] systematize attacks on open-source software supply chains. SBOM formats such as CycloneDX [12] and SPDX [21] describe what a product contains; CycloneDX has a device component type, and SPDX 3.1, still a release candidate when we checked, adds a hardware profile.</w:t>
      </w:r>
    </w:p>
    <w:p w14:paraId="1D4A4EF3">
      <w:pPr>
        <w:pStyle w:val="3"/>
      </w:pPr>
      <w:r>
        <w:rPr>
          <w:i/>
          <w:iCs/>
        </w:rPr>
        <w:t>B. Hardware threats</w:t>
      </w:r>
    </w:p>
    <w:p w14:paraId="6E12FB76">
      <w:pPr>
        <w:keepNext w:val="0"/>
        <w:spacing w:after="0" w:line="240" w:lineRule="auto"/>
        <w:ind w:firstLine="202"/>
        <w:jc w:val="both"/>
      </w:pPr>
      <w:r>
        <w:t>Hardware trojans can be inserted at design time, by third-party IP, by EDA tools or at fabrication [2, 3]. Fabrication-time attacks can be extremely small [4] or invisible to optical inspection [5], although dopant changes can be revealed with scanning electron microscopy and passive voltage contrast at a large imaging cost [22]. Counterfeit parts (recycled, remarked, overproduced, out-of-spec or cloned) often enter through distribution channels [1, 23]. Existing defenses are largely detection techniques applied to parts; HSLSA is complementary: it records who claims what at each step, and it says which of these attacks those records can and cannot stop.</w:t>
      </w:r>
    </w:p>
    <w:p w14:paraId="16BA1659">
      <w:pPr>
        <w:pStyle w:val="3"/>
      </w:pPr>
      <w:r>
        <w:rPr>
          <w:i/>
          <w:iCs/>
        </w:rPr>
        <w:t>C. Device identity and attestation</w:t>
      </w:r>
    </w:p>
    <w:p w14:paraId="3638D255">
      <w:pPr>
        <w:keepNext w:val="0"/>
        <w:spacing w:after="0" w:line="240" w:lineRule="auto"/>
        <w:ind w:firstLine="202"/>
        <w:jc w:val="both"/>
      </w:pPr>
      <w:r>
        <w:t>TCG DICE [13] derives a per-device identity (IDevID) from a unique device secret and measures each boot layer into the certificates it issues. Caliptra [14], an open-source root of trust founded by AMD, Google, Microsoft and NVIDIA and hosted by CHIPS Alliance [24], implements this for data-center SoCs, with a mask ROM that verifies firmware before running it. The IETF RATS architecture [25] separates evidence, endorsements and reference values; CoRIM [26] encodes reference values. TCG Platform Certificates [27] bind a platform to its components, and SPDM [28] carries attestation between components. These mechanisms establish what a device is and what it booted; they do not record how it was designed, made or assembled.</w:t>
      </w:r>
    </w:p>
    <w:p w14:paraId="1832E364">
      <w:pPr>
        <w:pStyle w:val="3"/>
      </w:pPr>
      <w:r>
        <w:rPr>
          <w:i/>
          <w:iCs/>
        </w:rPr>
        <w:t>D. Hardware traceability and assurance</w:t>
      </w:r>
    </w:p>
    <w:p w14:paraId="7B9CE7B6">
      <w:pPr>
        <w:keepNext w:val="0"/>
        <w:spacing w:after="0" w:line="240" w:lineRule="auto"/>
        <w:ind w:firstLine="202"/>
        <w:jc w:val="both"/>
      </w:pPr>
      <w:r>
        <w:t>NIST IR 8536 [17] defines a manufacturing traceability meta-framework: nine principles, six event categories (Make, Assemble, Store, Ship, Receive, Employ), the elements of a traceability record, and federated repositories joined by cryptographic links. It is voluntary and sector-neutral by design, leaving payload templates and risk tiers to each industry. CISA’s HBOM framework [16] proposes a taxonomy of HBOM fields. IPC-1782 [29] defines traceability levels for electronics manufacturing data, and SEMI E142 [30] defines wafer maps. Accreditation schemes such as the DMEA Trusted Supplier program and O-TTPS [31] assess suppliers, and DoD Microelectronics Levels of Assurance [32] define assurance tiers for defense acquisition. OCP S.A.F.E. [15] publishes signed reports of independent firmware security reviews. On the academic side, traceability schemes for ICs typically bind a physical identifier (an ECID, a PUF response or an RFID tag) to a database or ledger to detect counterfeits [18, 23].</w:t>
      </w:r>
    </w:p>
    <w:p w14:paraId="06B433EC">
      <w:pPr>
        <w:pStyle w:val="3"/>
      </w:pPr>
      <w:r>
        <w:rPr>
          <w:i/>
          <w:iCs/>
        </w:rPr>
        <w:t>E. Positioning</w:t>
      </w:r>
    </w:p>
    <w:p w14:paraId="7E8AB680">
      <w:pPr>
        <w:keepNext w:val="0"/>
        <w:spacing w:after="0" w:line="240" w:lineRule="auto"/>
        <w:ind w:firstLine="202"/>
        <w:jc w:val="both"/>
      </w:pPr>
      <w:r>
        <w:t>Table I summarizes, from our reading of each work, which properties it provides. The point of the comparison is not that HSLSA replaces these works: it reuses most of them. It is that none of them, on its own, gives a buyer a pass or fail check over signed per-step records from RTL to a booted device, with levels per stage. HSLSA is that glue. Its novelty is in the composition and in the hardware-specific mechanisms of Sections VI and VII, not in new cryptography.</w:t>
      </w:r>
    </w:p>
    <w:p w14:paraId="3C960414">
      <w:pPr>
        <w:sectPr>
          <w:type w:val="continuous"/>
          <w:pgSz w:w="12240" w:h="15840"/>
          <w:pgMar w:top="1080" w:right="900" w:bottom="1440" w:left="900" w:header="708" w:footer="708" w:gutter="0"/>
          <w:cols w:space="360" w:num="2"/>
          <w:docGrid w:linePitch="360" w:charSpace="0"/>
        </w:sectPr>
      </w:pPr>
    </w:p>
    <w:p w14:paraId="4AEB48C3">
      <w:pPr>
        <w:keepNext/>
        <w:spacing w:before="160" w:after="0"/>
        <w:jc w:val="center"/>
      </w:pPr>
      <w:r>
        <w:rPr>
          <w:smallCaps/>
          <w:sz w:val="16"/>
          <w:szCs w:val="16"/>
        </w:rPr>
        <w:t>Table I</w:t>
      </w:r>
    </w:p>
    <w:p w14:paraId="2EE9E966">
      <w:pPr>
        <w:keepNext/>
        <w:spacing w:after="80"/>
        <w:jc w:val="center"/>
      </w:pPr>
      <w:r>
        <w:rPr>
          <w:smallCaps/>
          <w:sz w:val="16"/>
          <w:szCs w:val="16"/>
        </w:rPr>
        <w:t>Properties of related work as we read it. The HSLSA row states what the specification defines; Section XI lists what our examples do not show.</w:t>
      </w:r>
    </w:p>
    <w:tbl>
      <w:tblPr>
        <w:tblStyle w:val="9"/>
        <w:tblW w:w="104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980"/>
        <w:gridCol w:w="1410"/>
        <w:gridCol w:w="1410"/>
        <w:gridCol w:w="1410"/>
        <w:gridCol w:w="1410"/>
        <w:gridCol w:w="1410"/>
        <w:gridCol w:w="1410"/>
      </w:tblGrid>
      <w:tr w14:paraId="31B2A73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980" w:type="dxa"/>
            <w:tcBorders>
              <w:top w:val="single" w:color="000000" w:sz="8" w:space="0"/>
              <w:left w:val="nil"/>
              <w:bottom w:val="single" w:color="000000" w:sz="4" w:space="0"/>
              <w:right w:val="nil"/>
            </w:tcBorders>
            <w:tcMar>
              <w:top w:w="30" w:type="dxa"/>
              <w:left w:w="70" w:type="dxa"/>
              <w:bottom w:w="30" w:type="dxa"/>
              <w:right w:w="70" w:type="dxa"/>
            </w:tcMar>
          </w:tcPr>
          <w:p w14:paraId="34EFBFC6">
            <w:pPr>
              <w:spacing w:after="0" w:line="220" w:lineRule="auto"/>
              <w:jc w:val="left"/>
            </w:pPr>
            <w:r>
              <w:rPr>
                <w:b/>
                <w:bCs/>
                <w:sz w:val="15"/>
                <w:szCs w:val="15"/>
              </w:rPr>
              <w:t>Work</w:t>
            </w:r>
          </w:p>
        </w:tc>
        <w:tc>
          <w:tcPr>
            <w:tcW w:w="1410" w:type="dxa"/>
            <w:tcBorders>
              <w:top w:val="single" w:color="000000" w:sz="8" w:space="0"/>
              <w:left w:val="nil"/>
              <w:bottom w:val="single" w:color="000000" w:sz="4" w:space="0"/>
              <w:right w:val="nil"/>
            </w:tcBorders>
            <w:tcMar>
              <w:top w:w="30" w:type="dxa"/>
              <w:left w:w="70" w:type="dxa"/>
              <w:bottom w:w="30" w:type="dxa"/>
              <w:right w:w="70" w:type="dxa"/>
            </w:tcMar>
          </w:tcPr>
          <w:p w14:paraId="06B95A73">
            <w:pPr>
              <w:spacing w:after="0" w:line="220" w:lineRule="auto"/>
              <w:jc w:val="left"/>
            </w:pPr>
            <w:r>
              <w:rPr>
                <w:b/>
                <w:bCs/>
                <w:sz w:val="15"/>
                <w:szCs w:val="15"/>
              </w:rPr>
              <w:t>Hardware stages</w:t>
            </w:r>
          </w:p>
        </w:tc>
        <w:tc>
          <w:tcPr>
            <w:tcW w:w="1410" w:type="dxa"/>
            <w:tcBorders>
              <w:top w:val="single" w:color="000000" w:sz="8" w:space="0"/>
              <w:left w:val="nil"/>
              <w:bottom w:val="single" w:color="000000" w:sz="4" w:space="0"/>
              <w:right w:val="nil"/>
            </w:tcBorders>
            <w:tcMar>
              <w:top w:w="30" w:type="dxa"/>
              <w:left w:w="70" w:type="dxa"/>
              <w:bottom w:w="30" w:type="dxa"/>
              <w:right w:w="70" w:type="dxa"/>
            </w:tcMar>
          </w:tcPr>
          <w:p w14:paraId="7A2C5EED">
            <w:pPr>
              <w:spacing w:after="0" w:line="220" w:lineRule="auto"/>
              <w:jc w:val="left"/>
            </w:pPr>
            <w:r>
              <w:rPr>
                <w:b/>
                <w:bCs/>
                <w:sz w:val="15"/>
                <w:szCs w:val="15"/>
              </w:rPr>
              <w:t>Signed per-step records</w:t>
            </w:r>
          </w:p>
        </w:tc>
        <w:tc>
          <w:tcPr>
            <w:tcW w:w="1410" w:type="dxa"/>
            <w:tcBorders>
              <w:top w:val="single" w:color="000000" w:sz="8" w:space="0"/>
              <w:left w:val="nil"/>
              <w:bottom w:val="single" w:color="000000" w:sz="4" w:space="0"/>
              <w:right w:val="nil"/>
            </w:tcBorders>
            <w:tcMar>
              <w:top w:w="30" w:type="dxa"/>
              <w:left w:w="70" w:type="dxa"/>
              <w:bottom w:w="30" w:type="dxa"/>
              <w:right w:w="70" w:type="dxa"/>
            </w:tcMar>
          </w:tcPr>
          <w:p w14:paraId="369B8A62">
            <w:pPr>
              <w:spacing w:after="0" w:line="220" w:lineRule="auto"/>
              <w:jc w:val="left"/>
            </w:pPr>
            <w:r>
              <w:rPr>
                <w:b/>
                <w:bCs/>
                <w:sz w:val="15"/>
                <w:szCs w:val="15"/>
              </w:rPr>
              <w:t>Levels with checks</w:t>
            </w:r>
          </w:p>
        </w:tc>
        <w:tc>
          <w:tcPr>
            <w:tcW w:w="1410" w:type="dxa"/>
            <w:tcBorders>
              <w:top w:val="single" w:color="000000" w:sz="8" w:space="0"/>
              <w:left w:val="nil"/>
              <w:bottom w:val="single" w:color="000000" w:sz="4" w:space="0"/>
              <w:right w:val="nil"/>
            </w:tcBorders>
            <w:tcMar>
              <w:top w:w="30" w:type="dxa"/>
              <w:left w:w="70" w:type="dxa"/>
              <w:bottom w:w="30" w:type="dxa"/>
              <w:right w:w="70" w:type="dxa"/>
            </w:tcMar>
          </w:tcPr>
          <w:p w14:paraId="01ABE4C0">
            <w:pPr>
              <w:spacing w:after="0" w:line="220" w:lineRule="auto"/>
              <w:jc w:val="left"/>
            </w:pPr>
            <w:r>
              <w:rPr>
                <w:b/>
                <w:bCs/>
                <w:sz w:val="15"/>
                <w:szCs w:val="15"/>
              </w:rPr>
              <w:t>Device bound at boot</w:t>
            </w:r>
          </w:p>
        </w:tc>
        <w:tc>
          <w:tcPr>
            <w:tcW w:w="1410" w:type="dxa"/>
            <w:tcBorders>
              <w:top w:val="single" w:color="000000" w:sz="8" w:space="0"/>
              <w:left w:val="nil"/>
              <w:bottom w:val="single" w:color="000000" w:sz="4" w:space="0"/>
              <w:right w:val="nil"/>
            </w:tcBorders>
            <w:tcMar>
              <w:top w:w="30" w:type="dxa"/>
              <w:left w:w="70" w:type="dxa"/>
              <w:bottom w:w="30" w:type="dxa"/>
              <w:right w:w="70" w:type="dxa"/>
            </w:tcMar>
          </w:tcPr>
          <w:p w14:paraId="6E7C202A">
            <w:pPr>
              <w:spacing w:after="0" w:line="220" w:lineRule="auto"/>
              <w:jc w:val="left"/>
            </w:pPr>
            <w:r>
              <w:rPr>
                <w:b/>
                <w:bCs/>
                <w:sz w:val="15"/>
                <w:szCs w:val="15"/>
              </w:rPr>
              <w:t>Supplier confidentiality</w:t>
            </w:r>
          </w:p>
        </w:tc>
        <w:tc>
          <w:tcPr>
            <w:tcW w:w="1410" w:type="dxa"/>
            <w:tcBorders>
              <w:top w:val="single" w:color="000000" w:sz="8" w:space="0"/>
              <w:left w:val="nil"/>
              <w:bottom w:val="single" w:color="000000" w:sz="4" w:space="0"/>
              <w:right w:val="nil"/>
            </w:tcBorders>
            <w:tcMar>
              <w:top w:w="30" w:type="dxa"/>
              <w:left w:w="70" w:type="dxa"/>
              <w:bottom w:w="30" w:type="dxa"/>
              <w:right w:w="70" w:type="dxa"/>
            </w:tcMar>
          </w:tcPr>
          <w:p w14:paraId="7B67A3A0">
            <w:pPr>
              <w:spacing w:after="0" w:line="220" w:lineRule="auto"/>
              <w:jc w:val="left"/>
            </w:pPr>
            <w:r>
              <w:rPr>
                <w:b/>
                <w:bCs/>
                <w:sz w:val="15"/>
                <w:szCs w:val="15"/>
              </w:rPr>
              <w:t>Independent re-verification</w:t>
            </w:r>
          </w:p>
        </w:tc>
      </w:tr>
      <w:tr w14:paraId="65CB1FF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nil"/>
              <w:right w:val="nil"/>
            </w:tcBorders>
            <w:tcMar>
              <w:top w:w="30" w:type="dxa"/>
              <w:left w:w="70" w:type="dxa"/>
              <w:bottom w:w="30" w:type="dxa"/>
              <w:right w:w="70" w:type="dxa"/>
            </w:tcMar>
          </w:tcPr>
          <w:p w14:paraId="71CD7494">
            <w:pPr>
              <w:spacing w:after="0" w:line="220" w:lineRule="auto"/>
              <w:jc w:val="left"/>
            </w:pPr>
            <w:r>
              <w:rPr>
                <w:b w:val="0"/>
                <w:bCs w:val="0"/>
                <w:sz w:val="15"/>
                <w:szCs w:val="15"/>
              </w:rPr>
              <w:t>in-toto [6]</w:t>
            </w:r>
          </w:p>
        </w:tc>
        <w:tc>
          <w:tcPr>
            <w:tcW w:w="1410" w:type="dxa"/>
            <w:tcBorders>
              <w:top w:val="nil"/>
              <w:left w:val="nil"/>
              <w:bottom w:val="nil"/>
              <w:right w:val="nil"/>
            </w:tcBorders>
            <w:tcMar>
              <w:top w:w="30" w:type="dxa"/>
              <w:left w:w="70" w:type="dxa"/>
              <w:bottom w:w="30" w:type="dxa"/>
              <w:right w:w="70" w:type="dxa"/>
            </w:tcMar>
          </w:tcPr>
          <w:p w14:paraId="440D0ED8">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2C5ED689">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690A37EF">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4CED49DC">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24389BF7">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08BA33F7">
            <w:pPr>
              <w:spacing w:after="0" w:line="220" w:lineRule="auto"/>
              <w:jc w:val="left"/>
            </w:pPr>
            <w:r>
              <w:rPr>
                <w:b w:val="0"/>
                <w:bCs w:val="0"/>
                <w:sz w:val="15"/>
                <w:szCs w:val="15"/>
              </w:rPr>
              <w:t>No</w:t>
            </w:r>
          </w:p>
        </w:tc>
      </w:tr>
      <w:tr w14:paraId="3526622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nil"/>
              <w:right w:val="nil"/>
            </w:tcBorders>
            <w:tcMar>
              <w:top w:w="30" w:type="dxa"/>
              <w:left w:w="70" w:type="dxa"/>
              <w:bottom w:w="30" w:type="dxa"/>
              <w:right w:w="70" w:type="dxa"/>
            </w:tcMar>
          </w:tcPr>
          <w:p w14:paraId="3F325CDC">
            <w:pPr>
              <w:spacing w:after="0" w:line="220" w:lineRule="auto"/>
              <w:jc w:val="left"/>
            </w:pPr>
            <w:r>
              <w:rPr>
                <w:b w:val="0"/>
                <w:bCs w:val="0"/>
                <w:sz w:val="15"/>
                <w:szCs w:val="15"/>
              </w:rPr>
              <w:t>SLSA [8]</w:t>
            </w:r>
          </w:p>
        </w:tc>
        <w:tc>
          <w:tcPr>
            <w:tcW w:w="1410" w:type="dxa"/>
            <w:tcBorders>
              <w:top w:val="nil"/>
              <w:left w:val="nil"/>
              <w:bottom w:val="nil"/>
              <w:right w:val="nil"/>
            </w:tcBorders>
            <w:tcMar>
              <w:top w:w="30" w:type="dxa"/>
              <w:left w:w="70" w:type="dxa"/>
              <w:bottom w:w="30" w:type="dxa"/>
              <w:right w:w="70" w:type="dxa"/>
            </w:tcMar>
          </w:tcPr>
          <w:p w14:paraId="3999DD71">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508D240B">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6DCD42B9">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50D21F9C">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735D0BED">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3C2F8BC1">
            <w:pPr>
              <w:spacing w:after="0" w:line="220" w:lineRule="auto"/>
              <w:jc w:val="left"/>
            </w:pPr>
            <w:r>
              <w:rPr>
                <w:b w:val="0"/>
                <w:bCs w:val="0"/>
                <w:sz w:val="15"/>
                <w:szCs w:val="15"/>
              </w:rPr>
              <w:t>Partly</w:t>
            </w:r>
          </w:p>
        </w:tc>
      </w:tr>
      <w:tr w14:paraId="0D8E0A9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nil"/>
              <w:right w:val="nil"/>
            </w:tcBorders>
            <w:tcMar>
              <w:top w:w="30" w:type="dxa"/>
              <w:left w:w="70" w:type="dxa"/>
              <w:bottom w:w="30" w:type="dxa"/>
              <w:right w:w="70" w:type="dxa"/>
            </w:tcMar>
          </w:tcPr>
          <w:p w14:paraId="7065140A">
            <w:pPr>
              <w:spacing w:after="0" w:line="220" w:lineRule="auto"/>
              <w:jc w:val="left"/>
            </w:pPr>
            <w:r>
              <w:rPr>
                <w:b w:val="0"/>
                <w:bCs w:val="0"/>
                <w:sz w:val="15"/>
                <w:szCs w:val="15"/>
              </w:rPr>
              <w:t>NIST IR 8536 [17]</w:t>
            </w:r>
          </w:p>
        </w:tc>
        <w:tc>
          <w:tcPr>
            <w:tcW w:w="1410" w:type="dxa"/>
            <w:tcBorders>
              <w:top w:val="nil"/>
              <w:left w:val="nil"/>
              <w:bottom w:val="nil"/>
              <w:right w:val="nil"/>
            </w:tcBorders>
            <w:tcMar>
              <w:top w:w="30" w:type="dxa"/>
              <w:left w:w="70" w:type="dxa"/>
              <w:bottom w:w="30" w:type="dxa"/>
              <w:right w:w="70" w:type="dxa"/>
            </w:tcMar>
          </w:tcPr>
          <w:p w14:paraId="74EF198F">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1CC7B893">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3D6D0275">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5CD949E0">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341DA44B">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35143C77">
            <w:pPr>
              <w:spacing w:after="0" w:line="220" w:lineRule="auto"/>
              <w:jc w:val="left"/>
            </w:pPr>
            <w:r>
              <w:rPr>
                <w:b w:val="0"/>
                <w:bCs w:val="0"/>
                <w:sz w:val="15"/>
                <w:szCs w:val="15"/>
              </w:rPr>
              <w:t>No</w:t>
            </w:r>
          </w:p>
        </w:tc>
      </w:tr>
      <w:tr w14:paraId="24B773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nil"/>
              <w:right w:val="nil"/>
            </w:tcBorders>
            <w:tcMar>
              <w:top w:w="30" w:type="dxa"/>
              <w:left w:w="70" w:type="dxa"/>
              <w:bottom w:w="30" w:type="dxa"/>
              <w:right w:w="70" w:type="dxa"/>
            </w:tcMar>
          </w:tcPr>
          <w:p w14:paraId="204EF4AC">
            <w:pPr>
              <w:spacing w:after="0" w:line="220" w:lineRule="auto"/>
              <w:jc w:val="left"/>
            </w:pPr>
            <w:r>
              <w:rPr>
                <w:b w:val="0"/>
                <w:bCs w:val="0"/>
                <w:sz w:val="15"/>
                <w:szCs w:val="15"/>
              </w:rPr>
              <w:t>CISA HBOM [16]</w:t>
            </w:r>
          </w:p>
        </w:tc>
        <w:tc>
          <w:tcPr>
            <w:tcW w:w="1410" w:type="dxa"/>
            <w:tcBorders>
              <w:top w:val="nil"/>
              <w:left w:val="nil"/>
              <w:bottom w:val="nil"/>
              <w:right w:val="nil"/>
            </w:tcBorders>
            <w:tcMar>
              <w:top w:w="30" w:type="dxa"/>
              <w:left w:w="70" w:type="dxa"/>
              <w:bottom w:w="30" w:type="dxa"/>
              <w:right w:w="70" w:type="dxa"/>
            </w:tcMar>
          </w:tcPr>
          <w:p w14:paraId="0C465E35">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7D642853">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6DF887D4">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3BE5C4AC">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510597B5">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2864D955">
            <w:pPr>
              <w:spacing w:after="0" w:line="220" w:lineRule="auto"/>
              <w:jc w:val="left"/>
            </w:pPr>
            <w:r>
              <w:rPr>
                <w:b w:val="0"/>
                <w:bCs w:val="0"/>
                <w:sz w:val="15"/>
                <w:szCs w:val="15"/>
              </w:rPr>
              <w:t>No</w:t>
            </w:r>
          </w:p>
        </w:tc>
      </w:tr>
      <w:tr w14:paraId="5550C1B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nil"/>
              <w:right w:val="nil"/>
            </w:tcBorders>
            <w:tcMar>
              <w:top w:w="30" w:type="dxa"/>
              <w:left w:w="70" w:type="dxa"/>
              <w:bottom w:w="30" w:type="dxa"/>
              <w:right w:w="70" w:type="dxa"/>
            </w:tcMar>
          </w:tcPr>
          <w:p w14:paraId="17292576">
            <w:pPr>
              <w:spacing w:after="0" w:line="220" w:lineRule="auto"/>
              <w:jc w:val="left"/>
            </w:pPr>
            <w:r>
              <w:rPr>
                <w:b w:val="0"/>
                <w:bCs w:val="0"/>
                <w:sz w:val="15"/>
                <w:szCs w:val="15"/>
              </w:rPr>
              <w:t>OCP S.A.F.E. [15]</w:t>
            </w:r>
          </w:p>
        </w:tc>
        <w:tc>
          <w:tcPr>
            <w:tcW w:w="1410" w:type="dxa"/>
            <w:tcBorders>
              <w:top w:val="nil"/>
              <w:left w:val="nil"/>
              <w:bottom w:val="nil"/>
              <w:right w:val="nil"/>
            </w:tcBorders>
            <w:tcMar>
              <w:top w:w="30" w:type="dxa"/>
              <w:left w:w="70" w:type="dxa"/>
              <w:bottom w:w="30" w:type="dxa"/>
              <w:right w:w="70" w:type="dxa"/>
            </w:tcMar>
          </w:tcPr>
          <w:p w14:paraId="3137CD86">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4AB72336">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5A7AB2B3">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4CF0FCC3">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0F96620F">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1E9AA65F">
            <w:pPr>
              <w:spacing w:after="0" w:line="220" w:lineRule="auto"/>
              <w:jc w:val="left"/>
            </w:pPr>
            <w:r>
              <w:rPr>
                <w:b w:val="0"/>
                <w:bCs w:val="0"/>
                <w:sz w:val="15"/>
                <w:szCs w:val="15"/>
              </w:rPr>
              <w:t>Yes</w:t>
            </w:r>
          </w:p>
        </w:tc>
      </w:tr>
      <w:tr w14:paraId="67FB4A6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nil"/>
              <w:right w:val="nil"/>
            </w:tcBorders>
            <w:tcMar>
              <w:top w:w="30" w:type="dxa"/>
              <w:left w:w="70" w:type="dxa"/>
              <w:bottom w:w="30" w:type="dxa"/>
              <w:right w:w="70" w:type="dxa"/>
            </w:tcMar>
          </w:tcPr>
          <w:p w14:paraId="5736F426">
            <w:pPr>
              <w:spacing w:after="0" w:line="220" w:lineRule="auto"/>
              <w:jc w:val="left"/>
            </w:pPr>
            <w:r>
              <w:rPr>
                <w:b w:val="0"/>
                <w:bCs w:val="0"/>
                <w:sz w:val="15"/>
                <w:szCs w:val="15"/>
              </w:rPr>
              <w:t>DICE / Caliptra [13, 14]</w:t>
            </w:r>
          </w:p>
        </w:tc>
        <w:tc>
          <w:tcPr>
            <w:tcW w:w="1410" w:type="dxa"/>
            <w:tcBorders>
              <w:top w:val="nil"/>
              <w:left w:val="nil"/>
              <w:bottom w:val="nil"/>
              <w:right w:val="nil"/>
            </w:tcBorders>
            <w:tcMar>
              <w:top w:w="30" w:type="dxa"/>
              <w:left w:w="70" w:type="dxa"/>
              <w:bottom w:w="30" w:type="dxa"/>
              <w:right w:w="70" w:type="dxa"/>
            </w:tcMar>
          </w:tcPr>
          <w:p w14:paraId="78DCD95F">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36C4C139">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3A082C40">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59FBC642">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0646339F">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0E149F28">
            <w:pPr>
              <w:spacing w:after="0" w:line="220" w:lineRule="auto"/>
              <w:jc w:val="left"/>
            </w:pPr>
            <w:r>
              <w:rPr>
                <w:b w:val="0"/>
                <w:bCs w:val="0"/>
                <w:sz w:val="15"/>
                <w:szCs w:val="15"/>
              </w:rPr>
              <w:t>No</w:t>
            </w:r>
          </w:p>
        </w:tc>
      </w:tr>
      <w:tr w14:paraId="4D5F9AF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nil"/>
              <w:right w:val="nil"/>
            </w:tcBorders>
            <w:tcMar>
              <w:top w:w="30" w:type="dxa"/>
              <w:left w:w="70" w:type="dxa"/>
              <w:bottom w:w="30" w:type="dxa"/>
              <w:right w:w="70" w:type="dxa"/>
            </w:tcMar>
          </w:tcPr>
          <w:p w14:paraId="420C38BC">
            <w:pPr>
              <w:spacing w:after="0" w:line="220" w:lineRule="auto"/>
              <w:jc w:val="left"/>
            </w:pPr>
            <w:r>
              <w:rPr>
                <w:b w:val="0"/>
                <w:bCs w:val="0"/>
                <w:sz w:val="15"/>
                <w:szCs w:val="15"/>
              </w:rPr>
              <w:t>ID/PUF traceability [18]</w:t>
            </w:r>
          </w:p>
        </w:tc>
        <w:tc>
          <w:tcPr>
            <w:tcW w:w="1410" w:type="dxa"/>
            <w:tcBorders>
              <w:top w:val="nil"/>
              <w:left w:val="nil"/>
              <w:bottom w:val="nil"/>
              <w:right w:val="nil"/>
            </w:tcBorders>
            <w:tcMar>
              <w:top w:w="30" w:type="dxa"/>
              <w:left w:w="70" w:type="dxa"/>
              <w:bottom w:w="30" w:type="dxa"/>
              <w:right w:w="70" w:type="dxa"/>
            </w:tcMar>
          </w:tcPr>
          <w:p w14:paraId="1A4AAE07">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3B9A9C8F">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080C6E30">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499C1843">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71B00257">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68DBF933">
            <w:pPr>
              <w:spacing w:after="0" w:line="220" w:lineRule="auto"/>
              <w:jc w:val="left"/>
            </w:pPr>
            <w:r>
              <w:rPr>
                <w:b w:val="0"/>
                <w:bCs w:val="0"/>
                <w:sz w:val="15"/>
                <w:szCs w:val="15"/>
              </w:rPr>
              <w:t>No</w:t>
            </w:r>
          </w:p>
        </w:tc>
      </w:tr>
      <w:tr w14:paraId="06ABFAD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nil"/>
              <w:right w:val="nil"/>
            </w:tcBorders>
            <w:tcMar>
              <w:top w:w="30" w:type="dxa"/>
              <w:left w:w="70" w:type="dxa"/>
              <w:bottom w:w="30" w:type="dxa"/>
              <w:right w:w="70" w:type="dxa"/>
            </w:tcMar>
          </w:tcPr>
          <w:p w14:paraId="4CF0D309">
            <w:pPr>
              <w:spacing w:after="0" w:line="220" w:lineRule="auto"/>
              <w:jc w:val="left"/>
            </w:pPr>
            <w:r>
              <w:rPr>
                <w:b w:val="0"/>
                <w:bCs w:val="0"/>
                <w:sz w:val="15"/>
                <w:szCs w:val="15"/>
              </w:rPr>
              <w:t>DoD LoA [32]</w:t>
            </w:r>
          </w:p>
        </w:tc>
        <w:tc>
          <w:tcPr>
            <w:tcW w:w="1410" w:type="dxa"/>
            <w:tcBorders>
              <w:top w:val="nil"/>
              <w:left w:val="nil"/>
              <w:bottom w:val="nil"/>
              <w:right w:val="nil"/>
            </w:tcBorders>
            <w:tcMar>
              <w:top w:w="30" w:type="dxa"/>
              <w:left w:w="70" w:type="dxa"/>
              <w:bottom w:w="30" w:type="dxa"/>
              <w:right w:w="70" w:type="dxa"/>
            </w:tcMar>
          </w:tcPr>
          <w:p w14:paraId="75FA0BE9">
            <w:pPr>
              <w:spacing w:after="0" w:line="220" w:lineRule="auto"/>
              <w:jc w:val="left"/>
            </w:pPr>
            <w:r>
              <w:rPr>
                <w:b w:val="0"/>
                <w:bCs w:val="0"/>
                <w:sz w:val="15"/>
                <w:szCs w:val="15"/>
              </w:rPr>
              <w:t>Yes</w:t>
            </w:r>
          </w:p>
        </w:tc>
        <w:tc>
          <w:tcPr>
            <w:tcW w:w="1410" w:type="dxa"/>
            <w:tcBorders>
              <w:top w:val="nil"/>
              <w:left w:val="nil"/>
              <w:bottom w:val="nil"/>
              <w:right w:val="nil"/>
            </w:tcBorders>
            <w:tcMar>
              <w:top w:w="30" w:type="dxa"/>
              <w:left w:w="70" w:type="dxa"/>
              <w:bottom w:w="30" w:type="dxa"/>
              <w:right w:w="70" w:type="dxa"/>
            </w:tcMar>
          </w:tcPr>
          <w:p w14:paraId="1013DBD8">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06FF6271">
            <w:pPr>
              <w:spacing w:after="0" w:line="220" w:lineRule="auto"/>
              <w:jc w:val="left"/>
            </w:pPr>
            <w:r>
              <w:rPr>
                <w:b w:val="0"/>
                <w:bCs w:val="0"/>
                <w:sz w:val="15"/>
                <w:szCs w:val="15"/>
              </w:rPr>
              <w:t>Partly</w:t>
            </w:r>
          </w:p>
        </w:tc>
        <w:tc>
          <w:tcPr>
            <w:tcW w:w="1410" w:type="dxa"/>
            <w:tcBorders>
              <w:top w:val="nil"/>
              <w:left w:val="nil"/>
              <w:bottom w:val="nil"/>
              <w:right w:val="nil"/>
            </w:tcBorders>
            <w:tcMar>
              <w:top w:w="30" w:type="dxa"/>
              <w:left w:w="70" w:type="dxa"/>
              <w:bottom w:w="30" w:type="dxa"/>
              <w:right w:w="70" w:type="dxa"/>
            </w:tcMar>
          </w:tcPr>
          <w:p w14:paraId="5B3D5E44">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1190FB28">
            <w:pPr>
              <w:spacing w:after="0" w:line="220" w:lineRule="auto"/>
              <w:jc w:val="left"/>
            </w:pPr>
            <w:r>
              <w:rPr>
                <w:b w:val="0"/>
                <w:bCs w:val="0"/>
                <w:sz w:val="15"/>
                <w:szCs w:val="15"/>
              </w:rPr>
              <w:t>No</w:t>
            </w:r>
          </w:p>
        </w:tc>
        <w:tc>
          <w:tcPr>
            <w:tcW w:w="1410" w:type="dxa"/>
            <w:tcBorders>
              <w:top w:val="nil"/>
              <w:left w:val="nil"/>
              <w:bottom w:val="nil"/>
              <w:right w:val="nil"/>
            </w:tcBorders>
            <w:tcMar>
              <w:top w:w="30" w:type="dxa"/>
              <w:left w:w="70" w:type="dxa"/>
              <w:bottom w:w="30" w:type="dxa"/>
              <w:right w:w="70" w:type="dxa"/>
            </w:tcMar>
          </w:tcPr>
          <w:p w14:paraId="1F98867C">
            <w:pPr>
              <w:spacing w:after="0" w:line="220" w:lineRule="auto"/>
              <w:jc w:val="left"/>
            </w:pPr>
            <w:r>
              <w:rPr>
                <w:b w:val="0"/>
                <w:bCs w:val="0"/>
                <w:sz w:val="15"/>
                <w:szCs w:val="15"/>
              </w:rPr>
              <w:t>Partly</w:t>
            </w:r>
          </w:p>
        </w:tc>
      </w:tr>
      <w:tr w14:paraId="532AF46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80" w:type="dxa"/>
            <w:tcBorders>
              <w:top w:val="nil"/>
              <w:left w:val="nil"/>
              <w:bottom w:val="single" w:color="000000" w:sz="8" w:space="0"/>
              <w:right w:val="nil"/>
            </w:tcBorders>
            <w:tcMar>
              <w:top w:w="30" w:type="dxa"/>
              <w:left w:w="70" w:type="dxa"/>
              <w:bottom w:w="30" w:type="dxa"/>
              <w:right w:w="70" w:type="dxa"/>
            </w:tcMar>
          </w:tcPr>
          <w:p w14:paraId="48478FE3">
            <w:pPr>
              <w:spacing w:after="0" w:line="220" w:lineRule="auto"/>
              <w:jc w:val="left"/>
            </w:pPr>
            <w:r>
              <w:rPr>
                <w:b/>
                <w:bCs/>
                <w:sz w:val="15"/>
                <w:szCs w:val="15"/>
              </w:rPr>
              <w:t>HSLSA (this work)</w:t>
            </w:r>
          </w:p>
        </w:tc>
        <w:tc>
          <w:tcPr>
            <w:tcW w:w="1410" w:type="dxa"/>
            <w:tcBorders>
              <w:top w:val="nil"/>
              <w:left w:val="nil"/>
              <w:bottom w:val="single" w:color="000000" w:sz="8" w:space="0"/>
              <w:right w:val="nil"/>
            </w:tcBorders>
            <w:tcMar>
              <w:top w:w="30" w:type="dxa"/>
              <w:left w:w="70" w:type="dxa"/>
              <w:bottom w:w="30" w:type="dxa"/>
              <w:right w:w="70" w:type="dxa"/>
            </w:tcMar>
          </w:tcPr>
          <w:p w14:paraId="12D28010">
            <w:pPr>
              <w:spacing w:after="0" w:line="220" w:lineRule="auto"/>
              <w:jc w:val="left"/>
            </w:pPr>
            <w:r>
              <w:rPr>
                <w:b w:val="0"/>
                <w:bCs w:val="0"/>
                <w:sz w:val="15"/>
                <w:szCs w:val="15"/>
              </w:rPr>
              <w:t>Yes</w:t>
            </w:r>
          </w:p>
        </w:tc>
        <w:tc>
          <w:tcPr>
            <w:tcW w:w="1410" w:type="dxa"/>
            <w:tcBorders>
              <w:top w:val="nil"/>
              <w:left w:val="nil"/>
              <w:bottom w:val="single" w:color="000000" w:sz="8" w:space="0"/>
              <w:right w:val="nil"/>
            </w:tcBorders>
            <w:tcMar>
              <w:top w:w="30" w:type="dxa"/>
              <w:left w:w="70" w:type="dxa"/>
              <w:bottom w:w="30" w:type="dxa"/>
              <w:right w:w="70" w:type="dxa"/>
            </w:tcMar>
          </w:tcPr>
          <w:p w14:paraId="750DD63A">
            <w:pPr>
              <w:spacing w:after="0" w:line="220" w:lineRule="auto"/>
              <w:jc w:val="left"/>
            </w:pPr>
            <w:r>
              <w:rPr>
                <w:b w:val="0"/>
                <w:bCs w:val="0"/>
                <w:sz w:val="15"/>
                <w:szCs w:val="15"/>
              </w:rPr>
              <w:t>Yes</w:t>
            </w:r>
          </w:p>
        </w:tc>
        <w:tc>
          <w:tcPr>
            <w:tcW w:w="1410" w:type="dxa"/>
            <w:tcBorders>
              <w:top w:val="nil"/>
              <w:left w:val="nil"/>
              <w:bottom w:val="single" w:color="000000" w:sz="8" w:space="0"/>
              <w:right w:val="nil"/>
            </w:tcBorders>
            <w:tcMar>
              <w:top w:w="30" w:type="dxa"/>
              <w:left w:w="70" w:type="dxa"/>
              <w:bottom w:w="30" w:type="dxa"/>
              <w:right w:w="70" w:type="dxa"/>
            </w:tcMar>
          </w:tcPr>
          <w:p w14:paraId="7B728358">
            <w:pPr>
              <w:spacing w:after="0" w:line="220" w:lineRule="auto"/>
              <w:jc w:val="left"/>
            </w:pPr>
            <w:r>
              <w:rPr>
                <w:b w:val="0"/>
                <w:bCs w:val="0"/>
                <w:sz w:val="15"/>
                <w:szCs w:val="15"/>
              </w:rPr>
              <w:t>Yes</w:t>
            </w:r>
          </w:p>
        </w:tc>
        <w:tc>
          <w:tcPr>
            <w:tcW w:w="1410" w:type="dxa"/>
            <w:tcBorders>
              <w:top w:val="nil"/>
              <w:left w:val="nil"/>
              <w:bottom w:val="single" w:color="000000" w:sz="8" w:space="0"/>
              <w:right w:val="nil"/>
            </w:tcBorders>
            <w:tcMar>
              <w:top w:w="30" w:type="dxa"/>
              <w:left w:w="70" w:type="dxa"/>
              <w:bottom w:w="30" w:type="dxa"/>
              <w:right w:w="70" w:type="dxa"/>
            </w:tcMar>
          </w:tcPr>
          <w:p w14:paraId="485E261E">
            <w:pPr>
              <w:spacing w:after="0" w:line="220" w:lineRule="auto"/>
              <w:jc w:val="left"/>
            </w:pPr>
            <w:r>
              <w:rPr>
                <w:b w:val="0"/>
                <w:bCs w:val="0"/>
                <w:sz w:val="15"/>
                <w:szCs w:val="15"/>
              </w:rPr>
              <w:t>Yes</w:t>
            </w:r>
          </w:p>
        </w:tc>
        <w:tc>
          <w:tcPr>
            <w:tcW w:w="1410" w:type="dxa"/>
            <w:tcBorders>
              <w:top w:val="nil"/>
              <w:left w:val="nil"/>
              <w:bottom w:val="single" w:color="000000" w:sz="8" w:space="0"/>
              <w:right w:val="nil"/>
            </w:tcBorders>
            <w:tcMar>
              <w:top w:w="30" w:type="dxa"/>
              <w:left w:w="70" w:type="dxa"/>
              <w:bottom w:w="30" w:type="dxa"/>
              <w:right w:w="70" w:type="dxa"/>
            </w:tcMar>
          </w:tcPr>
          <w:p w14:paraId="607E7395">
            <w:pPr>
              <w:spacing w:after="0" w:line="220" w:lineRule="auto"/>
              <w:jc w:val="left"/>
            </w:pPr>
            <w:r>
              <w:rPr>
                <w:b w:val="0"/>
                <w:bCs w:val="0"/>
                <w:sz w:val="15"/>
                <w:szCs w:val="15"/>
              </w:rPr>
              <w:t>Yes</w:t>
            </w:r>
          </w:p>
        </w:tc>
        <w:tc>
          <w:tcPr>
            <w:tcW w:w="1410" w:type="dxa"/>
            <w:tcBorders>
              <w:top w:val="nil"/>
              <w:left w:val="nil"/>
              <w:bottom w:val="single" w:color="000000" w:sz="8" w:space="0"/>
              <w:right w:val="nil"/>
            </w:tcBorders>
            <w:tcMar>
              <w:top w:w="30" w:type="dxa"/>
              <w:left w:w="70" w:type="dxa"/>
              <w:bottom w:w="30" w:type="dxa"/>
              <w:right w:w="70" w:type="dxa"/>
            </w:tcMar>
          </w:tcPr>
          <w:p w14:paraId="33EAA14F">
            <w:pPr>
              <w:spacing w:after="0" w:line="220" w:lineRule="auto"/>
              <w:jc w:val="left"/>
            </w:pPr>
            <w:r>
              <w:rPr>
                <w:b w:val="0"/>
                <w:bCs w:val="0"/>
                <w:sz w:val="15"/>
                <w:szCs w:val="15"/>
              </w:rPr>
              <w:t>Yes</w:t>
            </w:r>
          </w:p>
        </w:tc>
      </w:tr>
    </w:tbl>
    <w:p w14:paraId="576EF22C">
      <w:pPr>
        <w:spacing w:after="120"/>
      </w:pPr>
    </w:p>
    <w:p w14:paraId="5A57E7D5">
      <w:pPr>
        <w:sectPr>
          <w:type w:val="continuous"/>
          <w:pgSz w:w="12240" w:h="15840"/>
          <w:pgMar w:top="1080" w:right="900" w:bottom="1440" w:left="900" w:header="708" w:footer="708" w:gutter="0"/>
          <w:cols w:space="720" w:num="1"/>
          <w:docGrid w:linePitch="360" w:charSpace="0"/>
        </w:sectPr>
      </w:pPr>
    </w:p>
    <w:p w14:paraId="68DE8719">
      <w:pPr>
        <w:pStyle w:val="2"/>
      </w:pPr>
      <w:r>
        <w:rPr>
          <w:smallCaps/>
        </w:rPr>
        <w:t>III. Threat Model and Design Goals</w:t>
      </w:r>
    </w:p>
    <w:p w14:paraId="5049A9F5">
      <w:pPr>
        <w:pStyle w:val="3"/>
      </w:pPr>
      <w:r>
        <w:rPr>
          <w:i/>
          <w:iCs/>
        </w:rPr>
        <w:t>A. Parties</w:t>
      </w:r>
    </w:p>
    <w:p w14:paraId="40EB646F">
      <w:pPr>
        <w:keepNext w:val="0"/>
        <w:spacing w:after="0" w:line="240" w:lineRule="auto"/>
        <w:ind w:firstLine="202"/>
        <w:jc w:val="both"/>
      </w:pPr>
      <w:r>
        <w:t xml:space="preserve">The </w:t>
      </w:r>
      <w:r>
        <w:rPr>
          <w:i/>
          <w:iCs/>
        </w:rPr>
        <w:t>buyer</w:t>
      </w:r>
      <w:r>
        <w:t xml:space="preserve"> (an OEM, an EMS, a system integrator or an end customer) wants to decide whether to accept a design, a lot of parts, a lot of boards or a single device. </w:t>
      </w:r>
      <w:r>
        <w:rPr>
          <w:i/>
          <w:iCs/>
        </w:rPr>
        <w:t>Producers</w:t>
      </w:r>
      <w:r>
        <w:t xml:space="preserve"> are the design house and its flow platform, IP vendors, the tapeout authority, the foundry, sort house, OSAT, test house, distributors, the EMS, firmware build platforms and programming stations. Optional </w:t>
      </w:r>
      <w:r>
        <w:rPr>
          <w:i/>
          <w:iCs/>
        </w:rPr>
        <w:t>second parties</w:t>
      </w:r>
      <w:r>
        <w:t xml:space="preserve"> are an independent rebuilder, an accredited inspection lab and an escrow auditor.</w:t>
      </w:r>
    </w:p>
    <w:p w14:paraId="47E8BA67">
      <w:pPr>
        <w:pStyle w:val="3"/>
      </w:pPr>
      <w:r>
        <w:rPr>
          <w:i/>
          <w:iCs/>
        </w:rPr>
        <w:t>B. Adversaries</w:t>
      </w:r>
    </w:p>
    <w:p w14:paraId="37A65D7C">
      <w:pPr>
        <w:keepNext w:val="0"/>
        <w:spacing w:after="0" w:line="240" w:lineRule="auto"/>
        <w:ind w:firstLine="202"/>
        <w:jc w:val="both"/>
      </w:pPr>
      <w:r>
        <w:t>We consider: (A1) an outsider who alters records, files or parts in transit; (A2) an insider or compromised platform at one producer, who holds that producer’s signing key and can sign false statements; (A3) a counterfeiter or distributor who introduces cloned, remarked, recycled or overproduced parts; (A4) an attacker who steals a site’s key; and (A5) a producer that shows different records to different buyers (equivocation). Collusion between all producers of a stage, malicious RTL that passes review, side-channel and fault attacks on the finished product, and unintended design flaws are out of scope; the framework records how a part was made, it does not test whether a design is secure.</w:t>
      </w:r>
    </w:p>
    <w:p w14:paraId="4046A797">
      <w:pPr>
        <w:pStyle w:val="3"/>
      </w:pPr>
      <w:r>
        <w:rPr>
          <w:i/>
          <w:iCs/>
        </w:rPr>
        <w:t>C. What a verifier learns</w:t>
      </w:r>
    </w:p>
    <w:p w14:paraId="6C357124">
      <w:pPr>
        <w:keepNext w:val="0"/>
        <w:spacing w:after="0" w:line="240" w:lineRule="auto"/>
        <w:ind w:firstLine="202"/>
        <w:jc w:val="both"/>
      </w:pPr>
      <w:r>
        <w:t xml:space="preserve">When a verifier accepts a record, it learns that the holder of an allowed key signed it, that nobody changed it afterwards, and that it links by digest to the records around it. It does not learn that the record is true. Records meet the physical part in only three places: (i) the device’s hardware identity, which it proves by signing a challenge with a key rooted in its die; (ii) the device’s own boot measurements, taken by its mask ROM; and (iii) physical inspection of sampled parts at L4. Everything else is signed testimony. For each attack, HSLSA therefore does one of three things: it </w:t>
      </w:r>
      <w:r>
        <w:rPr>
          <w:i/>
          <w:iCs/>
        </w:rPr>
        <w:t>stops</w:t>
      </w:r>
      <w:r>
        <w:t xml:space="preserve"> it (a check fails before the item is used), it makes it </w:t>
      </w:r>
      <w:r>
        <w:rPr>
          <w:i/>
          <w:iCs/>
        </w:rPr>
        <w:t>accountable</w:t>
      </w:r>
      <w:r>
        <w:t xml:space="preserve"> (the attack succeeds only if an allowed signer signs a false statement, which becomes evidence against that signer after the fact), or it does </w:t>
      </w:r>
      <w:r>
        <w:rPr>
          <w:i/>
          <w:iCs/>
        </w:rPr>
        <w:t>not address</w:t>
      </w:r>
      <w:r>
        <w:t xml:space="preserve"> it.</w:t>
      </w:r>
    </w:p>
    <w:p w14:paraId="34DE6F93">
      <w:pPr>
        <w:pStyle w:val="3"/>
      </w:pPr>
      <w:r>
        <w:rPr>
          <w:i/>
          <w:iCs/>
        </w:rPr>
        <w:t>D. Design goals</w:t>
      </w:r>
    </w:p>
    <w:p w14:paraId="7E5C6BC5">
      <w:pPr>
        <w:pStyle w:val="16"/>
        <w:numPr>
          <w:ilvl w:val="0"/>
          <w:numId w:val="1"/>
        </w:numPr>
        <w:spacing w:after="0"/>
        <w:jc w:val="both"/>
      </w:pPr>
      <w:r>
        <w:rPr>
          <w:b/>
          <w:bCs/>
        </w:rPr>
        <w:t>G1, Buyer-verifiable.</w:t>
      </w:r>
      <w:r>
        <w:t xml:space="preserve"> Every requirement is a check the buyer can run, offline, from records and a policy it holds.</w:t>
      </w:r>
    </w:p>
    <w:p w14:paraId="4311C95E">
      <w:pPr>
        <w:pStyle w:val="16"/>
        <w:numPr>
          <w:ilvl w:val="0"/>
          <w:numId w:val="1"/>
        </w:numPr>
        <w:spacing w:after="0"/>
        <w:jc w:val="both"/>
      </w:pPr>
      <w:r>
        <w:rPr>
          <w:b/>
          <w:bCs/>
        </w:rPr>
        <w:t>G2, Buyer-owned trust.</w:t>
      </w:r>
      <w:r>
        <w:t xml:space="preserve"> The buyer decides which keys, accreditations, levels and kinds of evidence it accepts; the tool supplies checks and a sample policy, never trust decisions.</w:t>
      </w:r>
    </w:p>
    <w:p w14:paraId="45254067">
      <w:pPr>
        <w:pStyle w:val="16"/>
        <w:numPr>
          <w:ilvl w:val="0"/>
          <w:numId w:val="1"/>
        </w:numPr>
        <w:spacing w:after="0"/>
        <w:jc w:val="both"/>
      </w:pPr>
      <w:r>
        <w:rPr>
          <w:b/>
          <w:bCs/>
        </w:rPr>
        <w:t>G3, Incremental.</w:t>
      </w:r>
      <w:r>
        <w:t xml:space="preserve"> A supplier that signs nothing today can be covered at a low level without blocking the rest of the chain, and moving up a level does not change the record format.</w:t>
      </w:r>
    </w:p>
    <w:p w14:paraId="7C07833E">
      <w:pPr>
        <w:pStyle w:val="16"/>
        <w:numPr>
          <w:ilvl w:val="0"/>
          <w:numId w:val="1"/>
        </w:numPr>
        <w:spacing w:after="0"/>
        <w:jc w:val="both"/>
      </w:pPr>
      <w:r>
        <w:rPr>
          <w:b/>
          <w:bCs/>
        </w:rPr>
        <w:t>G4, Confidential.</w:t>
      </w:r>
      <w:r>
        <w:t xml:space="preserve"> Suppliers can withhold trade secrets without breaking the chain.</w:t>
      </w:r>
    </w:p>
    <w:p w14:paraId="4845FDB1">
      <w:pPr>
        <w:pStyle w:val="16"/>
        <w:numPr>
          <w:ilvl w:val="0"/>
          <w:numId w:val="1"/>
        </w:numPr>
        <w:spacing w:after="0"/>
        <w:jc w:val="both"/>
      </w:pPr>
      <w:r>
        <w:rPr>
          <w:b/>
          <w:bCs/>
        </w:rPr>
        <w:t>G5, Reuse.</w:t>
      </w:r>
      <w:r>
        <w:t xml:space="preserve"> Use existing standards wherever they fit, so that unmodified SLSA, in-toto, SBOM and RATS tooling can read the records.</w:t>
      </w:r>
    </w:p>
    <w:p w14:paraId="59FE6AB8">
      <w:pPr>
        <w:pStyle w:val="16"/>
        <w:numPr>
          <w:ilvl w:val="0"/>
          <w:numId w:val="1"/>
        </w:numPr>
        <w:spacing w:after="0"/>
        <w:jc w:val="both"/>
      </w:pPr>
      <w:r>
        <w:rPr>
          <w:b/>
          <w:bCs/>
        </w:rPr>
        <w:t>G6, Honest semantics.</w:t>
      </w:r>
      <w:r>
        <w:t xml:space="preserve"> A level states what a buyer can verify, never that parts are free of tampering.</w:t>
      </w:r>
    </w:p>
    <w:p w14:paraId="2F05D288">
      <w:pPr>
        <w:pStyle w:val="2"/>
      </w:pPr>
      <w:r>
        <w:rPr>
          <w:smallCaps/>
        </w:rPr>
        <w:t>IV. Tracks and Levels</w:t>
      </w:r>
    </w:p>
    <w:p w14:paraId="6324D8C8">
      <w:pPr>
        <w:keepNext w:val="0"/>
        <w:spacing w:after="0" w:line="240" w:lineRule="auto"/>
        <w:ind w:firstLine="202"/>
        <w:jc w:val="both"/>
      </w:pPr>
      <w:r>
        <w:t>A product is rated per track, never overall, for example “Design L3, Wafer L3, Package/Test L2, Assembly L1, Firmware L2”. A track’s level is the lowest level that all of its steps reach. Wafer and Package/Test are separate tracks because the foundry and the OSAT are usually different companies, and a single rating would hide the weaker of them. Table II gives the core requirements; each cell adds to the one on its left.</w:t>
      </w:r>
    </w:p>
    <w:p w14:paraId="67CA80D3">
      <w:pPr>
        <w:sectPr>
          <w:type w:val="continuous"/>
          <w:pgSz w:w="12240" w:h="15840"/>
          <w:pgMar w:top="1080" w:right="900" w:bottom="1440" w:left="900" w:header="708" w:footer="708" w:gutter="0"/>
          <w:cols w:space="360" w:num="2"/>
          <w:docGrid w:linePitch="360" w:charSpace="0"/>
        </w:sectPr>
      </w:pPr>
    </w:p>
    <w:p w14:paraId="4DC3EEBE">
      <w:pPr>
        <w:keepNext/>
        <w:spacing w:before="160" w:after="0"/>
        <w:jc w:val="center"/>
      </w:pPr>
      <w:r>
        <w:rPr>
          <w:smallCaps/>
          <w:sz w:val="16"/>
          <w:szCs w:val="16"/>
        </w:rPr>
        <w:t>Table II</w:t>
      </w:r>
    </w:p>
    <w:p w14:paraId="6C04D397">
      <w:pPr>
        <w:keepNext/>
        <w:spacing w:after="80"/>
        <w:jc w:val="center"/>
      </w:pPr>
      <w:r>
        <w:rPr>
          <w:smallCaps/>
          <w:sz w:val="16"/>
          <w:szCs w:val="16"/>
        </w:rPr>
        <w:t>Core requirements per track and level (abridged from the specification [33]). Each level adds to the one before it.</w:t>
      </w:r>
    </w:p>
    <w:tbl>
      <w:tblPr>
        <w:tblStyle w:val="9"/>
        <w:tblW w:w="104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100"/>
        <w:gridCol w:w="2900"/>
        <w:gridCol w:w="3200"/>
        <w:gridCol w:w="3240"/>
      </w:tblGrid>
      <w:tr w14:paraId="57CCE8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100" w:type="dxa"/>
            <w:tcBorders>
              <w:top w:val="single" w:color="000000" w:sz="8" w:space="0"/>
              <w:left w:val="nil"/>
              <w:bottom w:val="single" w:color="000000" w:sz="4" w:space="0"/>
              <w:right w:val="nil"/>
            </w:tcBorders>
            <w:tcMar>
              <w:top w:w="30" w:type="dxa"/>
              <w:left w:w="70" w:type="dxa"/>
              <w:bottom w:w="30" w:type="dxa"/>
              <w:right w:w="70" w:type="dxa"/>
            </w:tcMar>
          </w:tcPr>
          <w:p w14:paraId="0768596A">
            <w:pPr>
              <w:spacing w:after="0" w:line="220" w:lineRule="auto"/>
              <w:jc w:val="left"/>
            </w:pPr>
            <w:r>
              <w:rPr>
                <w:b/>
                <w:bCs/>
                <w:sz w:val="15"/>
                <w:szCs w:val="15"/>
              </w:rPr>
              <w:t>Track</w:t>
            </w:r>
          </w:p>
        </w:tc>
        <w:tc>
          <w:tcPr>
            <w:tcW w:w="2900" w:type="dxa"/>
            <w:tcBorders>
              <w:top w:val="single" w:color="000000" w:sz="8" w:space="0"/>
              <w:left w:val="nil"/>
              <w:bottom w:val="single" w:color="000000" w:sz="4" w:space="0"/>
              <w:right w:val="nil"/>
            </w:tcBorders>
            <w:tcMar>
              <w:top w:w="30" w:type="dxa"/>
              <w:left w:w="70" w:type="dxa"/>
              <w:bottom w:w="30" w:type="dxa"/>
              <w:right w:w="70" w:type="dxa"/>
            </w:tcMar>
          </w:tcPr>
          <w:p w14:paraId="40D871CE">
            <w:pPr>
              <w:spacing w:after="0" w:line="220" w:lineRule="auto"/>
              <w:jc w:val="left"/>
            </w:pPr>
            <w:r>
              <w:rPr>
                <w:b/>
                <w:bCs/>
                <w:sz w:val="15"/>
                <w:szCs w:val="15"/>
              </w:rPr>
              <w:t>L1: provenance exists</w:t>
            </w:r>
          </w:p>
        </w:tc>
        <w:tc>
          <w:tcPr>
            <w:tcW w:w="3200" w:type="dxa"/>
            <w:tcBorders>
              <w:top w:val="single" w:color="000000" w:sz="8" w:space="0"/>
              <w:left w:val="nil"/>
              <w:bottom w:val="single" w:color="000000" w:sz="4" w:space="0"/>
              <w:right w:val="nil"/>
            </w:tcBorders>
            <w:tcMar>
              <w:top w:w="30" w:type="dxa"/>
              <w:left w:w="70" w:type="dxa"/>
              <w:bottom w:w="30" w:type="dxa"/>
              <w:right w:w="70" w:type="dxa"/>
            </w:tcMar>
          </w:tcPr>
          <w:p w14:paraId="5ABAAF13">
            <w:pPr>
              <w:spacing w:after="0" w:line="220" w:lineRule="auto"/>
              <w:jc w:val="left"/>
            </w:pPr>
            <w:r>
              <w:rPr>
                <w:b/>
                <w:bCs/>
                <w:sz w:val="15"/>
                <w:szCs w:val="15"/>
              </w:rPr>
              <w:t>L2: signed by the producer</w:t>
            </w:r>
          </w:p>
        </w:tc>
        <w:tc>
          <w:tcPr>
            <w:tcW w:w="3240" w:type="dxa"/>
            <w:tcBorders>
              <w:top w:val="single" w:color="000000" w:sz="8" w:space="0"/>
              <w:left w:val="nil"/>
              <w:bottom w:val="single" w:color="000000" w:sz="4" w:space="0"/>
              <w:right w:val="nil"/>
            </w:tcBorders>
            <w:tcMar>
              <w:top w:w="30" w:type="dxa"/>
              <w:left w:w="70" w:type="dxa"/>
              <w:bottom w:w="30" w:type="dxa"/>
              <w:right w:w="70" w:type="dxa"/>
            </w:tcMar>
          </w:tcPr>
          <w:p w14:paraId="0B358F53">
            <w:pPr>
              <w:spacing w:after="0" w:line="220" w:lineRule="auto"/>
              <w:jc w:val="left"/>
            </w:pPr>
            <w:r>
              <w:rPr>
                <w:b/>
                <w:bCs/>
                <w:sz w:val="15"/>
                <w:szCs w:val="15"/>
              </w:rPr>
              <w:t>L3: hardened</w:t>
            </w:r>
          </w:p>
        </w:tc>
      </w:tr>
      <w:tr w14:paraId="472EC01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7DF6E917">
            <w:pPr>
              <w:spacing w:after="0" w:line="220" w:lineRule="auto"/>
              <w:jc w:val="left"/>
            </w:pPr>
            <w:r>
              <w:rPr>
                <w:b w:val="0"/>
                <w:bCs w:val="0"/>
                <w:sz w:val="15"/>
                <w:szCs w:val="15"/>
              </w:rPr>
              <w:t>Design</w:t>
            </w:r>
          </w:p>
        </w:tc>
        <w:tc>
          <w:tcPr>
            <w:tcW w:w="2900" w:type="dxa"/>
            <w:tcBorders>
              <w:top w:val="nil"/>
              <w:left w:val="nil"/>
              <w:bottom w:val="nil"/>
              <w:right w:val="nil"/>
            </w:tcBorders>
            <w:tcMar>
              <w:top w:w="30" w:type="dxa"/>
              <w:left w:w="70" w:type="dxa"/>
              <w:bottom w:w="30" w:type="dxa"/>
              <w:right w:w="70" w:type="dxa"/>
            </w:tcMar>
          </w:tcPr>
          <w:p w14:paraId="648DF900">
            <w:pPr>
              <w:spacing w:after="0" w:line="220" w:lineRule="auto"/>
              <w:jc w:val="left"/>
            </w:pPr>
            <w:r>
              <w:rPr>
                <w:b w:val="0"/>
                <w:bCs w:val="0"/>
                <w:sz w:val="15"/>
                <w:szCs w:val="15"/>
              </w:rPr>
              <w:t xml:space="preserve">A </w:t>
            </w:r>
            <w:r>
              <w:rPr>
                <w:rFonts w:ascii="Courier New" w:hAnsi="Courier New" w:eastAsia="Courier New" w:cs="Courier New"/>
                <w:b w:val="0"/>
                <w:bCs w:val="0"/>
                <w:sz w:val="14"/>
                <w:szCs w:val="14"/>
              </w:rPr>
              <w:t>design-flow</w:t>
            </w:r>
            <w:r>
              <w:rPr>
                <w:b w:val="0"/>
                <w:bCs w:val="0"/>
                <w:sz w:val="15"/>
                <w:szCs w:val="15"/>
              </w:rPr>
              <w:t xml:space="preserve"> record per flow step (tools, PDK, parameters, digests); complete chain from GDS to RTL; release lists IP blocks; HBOM published</w:t>
            </w:r>
          </w:p>
        </w:tc>
        <w:tc>
          <w:tcPr>
            <w:tcW w:w="3200" w:type="dxa"/>
            <w:tcBorders>
              <w:top w:val="nil"/>
              <w:left w:val="nil"/>
              <w:bottom w:val="nil"/>
              <w:right w:val="nil"/>
            </w:tcBorders>
            <w:tcMar>
              <w:top w:w="30" w:type="dxa"/>
              <w:left w:w="70" w:type="dxa"/>
              <w:bottom w:w="30" w:type="dxa"/>
              <w:right w:w="70" w:type="dxa"/>
            </w:tcMar>
          </w:tcPr>
          <w:p w14:paraId="4168EFCB">
            <w:pPr>
              <w:spacing w:after="0" w:line="220" w:lineRule="auto"/>
              <w:jc w:val="left"/>
            </w:pPr>
            <w:r>
              <w:rPr>
                <w:b w:val="0"/>
                <w:bCs w:val="0"/>
                <w:sz w:val="15"/>
                <w:szCs w:val="15"/>
              </w:rPr>
              <w:t>Steps run on a managed flow platform that signs each record; source freeze is a signed tag with a review by someone other than the author; third-party IP arrives with vendor-signed provenance; waivers signed</w:t>
            </w:r>
          </w:p>
        </w:tc>
        <w:tc>
          <w:tcPr>
            <w:tcW w:w="3240" w:type="dxa"/>
            <w:tcBorders>
              <w:top w:val="nil"/>
              <w:left w:val="nil"/>
              <w:bottom w:val="nil"/>
              <w:right w:val="nil"/>
            </w:tcBorders>
            <w:tcMar>
              <w:top w:w="30" w:type="dxa"/>
              <w:left w:w="70" w:type="dxa"/>
              <w:bottom w:w="30" w:type="dxa"/>
              <w:right w:w="70" w:type="dxa"/>
            </w:tcMar>
          </w:tcPr>
          <w:p w14:paraId="5002651E">
            <w:pPr>
              <w:spacing w:after="0" w:line="220" w:lineRule="auto"/>
              <w:jc w:val="left"/>
            </w:pPr>
            <w:r>
              <w:rPr>
                <w:b w:val="0"/>
                <w:bCs w:val="0"/>
                <w:sz w:val="15"/>
                <w:szCs w:val="15"/>
              </w:rPr>
              <w:t>Steps isolated from each other and the network, except declared license servers; tools and PDK pinned by digest and on an allow-list; signing keys unreachable from step code; RTL-to-netlist equivalence recorded so that an independent party can rerun it</w:t>
            </w:r>
          </w:p>
        </w:tc>
      </w:tr>
      <w:tr w14:paraId="5CB0893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6A56705A">
            <w:pPr>
              <w:spacing w:after="0" w:line="220" w:lineRule="auto"/>
              <w:jc w:val="left"/>
            </w:pPr>
            <w:r>
              <w:rPr>
                <w:b w:val="0"/>
                <w:bCs w:val="0"/>
                <w:sz w:val="15"/>
                <w:szCs w:val="15"/>
              </w:rPr>
              <w:t>Wafer</w:t>
            </w:r>
          </w:p>
        </w:tc>
        <w:tc>
          <w:tcPr>
            <w:tcW w:w="2900" w:type="dxa"/>
            <w:tcBorders>
              <w:top w:val="nil"/>
              <w:left w:val="nil"/>
              <w:bottom w:val="nil"/>
              <w:right w:val="nil"/>
            </w:tcBorders>
            <w:tcMar>
              <w:top w:w="30" w:type="dxa"/>
              <w:left w:w="70" w:type="dxa"/>
              <w:bottom w:w="30" w:type="dxa"/>
              <w:right w:w="70" w:type="dxa"/>
            </w:tcMar>
          </w:tcPr>
          <w:p w14:paraId="2AF5396D">
            <w:pPr>
              <w:spacing w:after="0" w:line="220" w:lineRule="auto"/>
              <w:jc w:val="left"/>
            </w:pPr>
            <w:r>
              <w:rPr>
                <w:b w:val="0"/>
                <w:bCs w:val="0"/>
                <w:sz w:val="15"/>
                <w:szCs w:val="15"/>
              </w:rPr>
              <w:t>Lot record names fab, mask set, GDS digest, probe program</w:t>
            </w:r>
          </w:p>
        </w:tc>
        <w:tc>
          <w:tcPr>
            <w:tcW w:w="3200" w:type="dxa"/>
            <w:tcBorders>
              <w:top w:val="nil"/>
              <w:left w:val="nil"/>
              <w:bottom w:val="nil"/>
              <w:right w:val="nil"/>
            </w:tcBorders>
            <w:tcMar>
              <w:top w:w="30" w:type="dxa"/>
              <w:left w:w="70" w:type="dxa"/>
              <w:bottom w:w="30" w:type="dxa"/>
              <w:right w:w="70" w:type="dxa"/>
            </w:tcMar>
          </w:tcPr>
          <w:p w14:paraId="6827DA36">
            <w:pPr>
              <w:spacing w:after="0" w:line="220" w:lineRule="auto"/>
              <w:jc w:val="left"/>
            </w:pPr>
            <w:r>
              <w:rPr>
                <w:b w:val="0"/>
                <w:bCs w:val="0"/>
                <w:sz w:val="15"/>
                <w:szCs w:val="15"/>
              </w:rPr>
              <w:t>Each step signed with a site key; wafer lot as subject; units named from sort onward</w:t>
            </w:r>
          </w:p>
        </w:tc>
        <w:tc>
          <w:tcPr>
            <w:tcW w:w="3240" w:type="dxa"/>
            <w:tcBorders>
              <w:top w:val="nil"/>
              <w:left w:val="nil"/>
              <w:bottom w:val="nil"/>
              <w:right w:val="nil"/>
            </w:tcBorders>
            <w:tcMar>
              <w:top w:w="30" w:type="dxa"/>
              <w:left w:w="70" w:type="dxa"/>
              <w:bottom w:w="30" w:type="dxa"/>
              <w:right w:w="70" w:type="dxa"/>
            </w:tcMar>
          </w:tcPr>
          <w:p w14:paraId="34152DEB">
            <w:pPr>
              <w:spacing w:after="0" w:line="220" w:lineRule="auto"/>
              <w:jc w:val="left"/>
            </w:pPr>
            <w:r>
              <w:rPr>
                <w:b w:val="0"/>
                <w:bCs w:val="0"/>
                <w:sz w:val="15"/>
                <w:szCs w:val="15"/>
              </w:rPr>
              <w:t>Site keys in HSMs at accredited sites; the fab checks the design release before mask making; die identities rooted in an on-die RoT and endorsed by an HSM-backed CA; signed transfers between companies</w:t>
            </w:r>
          </w:p>
        </w:tc>
      </w:tr>
      <w:tr w14:paraId="5905B5D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4A128F19">
            <w:pPr>
              <w:spacing w:after="0" w:line="220" w:lineRule="auto"/>
              <w:jc w:val="left"/>
            </w:pPr>
            <w:r>
              <w:rPr>
                <w:b w:val="0"/>
                <w:bCs w:val="0"/>
                <w:sz w:val="15"/>
                <w:szCs w:val="15"/>
              </w:rPr>
              <w:t>Package/Test</w:t>
            </w:r>
          </w:p>
        </w:tc>
        <w:tc>
          <w:tcPr>
            <w:tcW w:w="2900" w:type="dxa"/>
            <w:tcBorders>
              <w:top w:val="nil"/>
              <w:left w:val="nil"/>
              <w:bottom w:val="nil"/>
              <w:right w:val="nil"/>
            </w:tcBorders>
            <w:tcMar>
              <w:top w:w="30" w:type="dxa"/>
              <w:left w:w="70" w:type="dxa"/>
              <w:bottom w:w="30" w:type="dxa"/>
              <w:right w:w="70" w:type="dxa"/>
            </w:tcMar>
          </w:tcPr>
          <w:p w14:paraId="43267972">
            <w:pPr>
              <w:spacing w:after="0" w:line="220" w:lineRule="auto"/>
              <w:jc w:val="left"/>
            </w:pPr>
            <w:r>
              <w:rPr>
                <w:b w:val="0"/>
                <w:bCs w:val="0"/>
                <w:sz w:val="15"/>
                <w:szCs w:val="15"/>
              </w:rPr>
              <w:t>OSAT, assembly lot and test program named</w:t>
            </w:r>
          </w:p>
        </w:tc>
        <w:tc>
          <w:tcPr>
            <w:tcW w:w="3200" w:type="dxa"/>
            <w:tcBorders>
              <w:top w:val="nil"/>
              <w:left w:val="nil"/>
              <w:bottom w:val="nil"/>
              <w:right w:val="nil"/>
            </w:tcBorders>
            <w:tcMar>
              <w:top w:w="30" w:type="dxa"/>
              <w:left w:w="70" w:type="dxa"/>
              <w:bottom w:w="30" w:type="dxa"/>
              <w:right w:w="70" w:type="dxa"/>
            </w:tcMar>
          </w:tcPr>
          <w:p w14:paraId="28E565FC">
            <w:pPr>
              <w:spacing w:after="0" w:line="220" w:lineRule="auto"/>
              <w:jc w:val="left"/>
            </w:pPr>
            <w:r>
              <w:rPr>
                <w:b w:val="0"/>
                <w:bCs w:val="0"/>
                <w:sz w:val="15"/>
                <w:szCs w:val="15"/>
              </w:rPr>
              <w:t>Per-unit records with die genealogy; unique identity by final test; final test signs the shipped lot digest</w:t>
            </w:r>
          </w:p>
        </w:tc>
        <w:tc>
          <w:tcPr>
            <w:tcW w:w="3240" w:type="dxa"/>
            <w:tcBorders>
              <w:top w:val="nil"/>
              <w:left w:val="nil"/>
              <w:bottom w:val="nil"/>
              <w:right w:val="nil"/>
            </w:tcBorders>
            <w:tcMar>
              <w:top w:w="30" w:type="dxa"/>
              <w:left w:w="70" w:type="dxa"/>
              <w:bottom w:w="30" w:type="dxa"/>
              <w:right w:w="70" w:type="dxa"/>
            </w:tcMar>
          </w:tcPr>
          <w:p w14:paraId="51AA9E5A">
            <w:pPr>
              <w:spacing w:after="0" w:line="220" w:lineRule="auto"/>
              <w:jc w:val="left"/>
            </w:pPr>
            <w:r>
              <w:rPr>
                <w:b w:val="0"/>
                <w:bCs w:val="0"/>
                <w:sz w:val="15"/>
                <w:szCs w:val="15"/>
              </w:rPr>
              <w:t>HSM keys at accredited sites; every unit answers an identity challenge rooted in its die; lot digest over certificate digests; signed transfers</w:t>
            </w:r>
          </w:p>
        </w:tc>
      </w:tr>
      <w:tr w14:paraId="55FEF18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05CE8EB0">
            <w:pPr>
              <w:spacing w:after="0" w:line="220" w:lineRule="auto"/>
              <w:jc w:val="left"/>
            </w:pPr>
            <w:r>
              <w:rPr>
                <w:b w:val="0"/>
                <w:bCs w:val="0"/>
                <w:sz w:val="15"/>
                <w:szCs w:val="15"/>
              </w:rPr>
              <w:t>Assembly</w:t>
            </w:r>
          </w:p>
        </w:tc>
        <w:tc>
          <w:tcPr>
            <w:tcW w:w="2900" w:type="dxa"/>
            <w:tcBorders>
              <w:top w:val="nil"/>
              <w:left w:val="nil"/>
              <w:bottom w:val="nil"/>
              <w:right w:val="nil"/>
            </w:tcBorders>
            <w:tcMar>
              <w:top w:w="30" w:type="dxa"/>
              <w:left w:w="70" w:type="dxa"/>
              <w:bottom w:w="30" w:type="dxa"/>
              <w:right w:w="70" w:type="dxa"/>
            </w:tcMar>
          </w:tcPr>
          <w:p w14:paraId="09E49037">
            <w:pPr>
              <w:spacing w:after="0" w:line="220" w:lineRule="auto"/>
              <w:jc w:val="left"/>
            </w:pPr>
            <w:r>
              <w:rPr>
                <w:b w:val="0"/>
                <w:bCs w:val="0"/>
                <w:sz w:val="15"/>
                <w:szCs w:val="15"/>
              </w:rPr>
              <w:t>Board HBOM with lot and date code per part; per-serial build records</w:t>
            </w:r>
          </w:p>
        </w:tc>
        <w:tc>
          <w:tcPr>
            <w:tcW w:w="3200" w:type="dxa"/>
            <w:tcBorders>
              <w:top w:val="nil"/>
              <w:left w:val="nil"/>
              <w:bottom w:val="nil"/>
              <w:right w:val="nil"/>
            </w:tcBorders>
            <w:tcMar>
              <w:top w:w="30" w:type="dxa"/>
              <w:left w:w="70" w:type="dxa"/>
              <w:bottom w:w="30" w:type="dxa"/>
              <w:right w:w="70" w:type="dxa"/>
            </w:tcMar>
          </w:tcPr>
          <w:p w14:paraId="3E8D128F">
            <w:pPr>
              <w:spacing w:after="0" w:line="220" w:lineRule="auto"/>
              <w:jc w:val="left"/>
            </w:pPr>
            <w:r>
              <w:rPr>
                <w:b w:val="0"/>
                <w:bCs w:val="0"/>
                <w:sz w:val="15"/>
                <w:szCs w:val="15"/>
              </w:rPr>
              <w:t>Assembly signed against board serial; every part lot arrives with a shipper-signed distribution record; the EMS runs the lot receipt check before placement and signs a receipt</w:t>
            </w:r>
          </w:p>
        </w:tc>
        <w:tc>
          <w:tcPr>
            <w:tcW w:w="3240" w:type="dxa"/>
            <w:tcBorders>
              <w:top w:val="nil"/>
              <w:left w:val="nil"/>
              <w:bottom w:val="nil"/>
              <w:right w:val="nil"/>
            </w:tcBorders>
            <w:tcMar>
              <w:top w:w="30" w:type="dxa"/>
              <w:left w:w="70" w:type="dxa"/>
              <w:bottom w:w="30" w:type="dxa"/>
              <w:right w:w="70" w:type="dxa"/>
            </w:tcMar>
          </w:tcPr>
          <w:p w14:paraId="01CDDCAB">
            <w:pPr>
              <w:spacing w:after="0" w:line="220" w:lineRule="auto"/>
              <w:jc w:val="left"/>
            </w:pPr>
            <w:r>
              <w:rPr>
                <w:b w:val="0"/>
                <w:bCs w:val="0"/>
                <w:sz w:val="15"/>
                <w:szCs w:val="15"/>
              </w:rPr>
              <w:t>Accredited sites; every part with a hardware identity attested at build; a platform certificate binds the board to those parts</w:t>
            </w:r>
          </w:p>
        </w:tc>
      </w:tr>
      <w:tr w14:paraId="0CC0D0E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single" w:color="000000" w:sz="8" w:space="0"/>
              <w:right w:val="nil"/>
            </w:tcBorders>
            <w:tcMar>
              <w:top w:w="30" w:type="dxa"/>
              <w:left w:w="70" w:type="dxa"/>
              <w:bottom w:w="30" w:type="dxa"/>
              <w:right w:w="70" w:type="dxa"/>
            </w:tcMar>
          </w:tcPr>
          <w:p w14:paraId="7483652D">
            <w:pPr>
              <w:spacing w:after="0" w:line="220" w:lineRule="auto"/>
              <w:jc w:val="left"/>
            </w:pPr>
            <w:r>
              <w:rPr>
                <w:b w:val="0"/>
                <w:bCs w:val="0"/>
                <w:sz w:val="15"/>
                <w:szCs w:val="15"/>
              </w:rPr>
              <w:t>Firmware</w:t>
            </w:r>
          </w:p>
        </w:tc>
        <w:tc>
          <w:tcPr>
            <w:tcW w:w="2900" w:type="dxa"/>
            <w:tcBorders>
              <w:top w:val="nil"/>
              <w:left w:val="nil"/>
              <w:bottom w:val="single" w:color="000000" w:sz="8" w:space="0"/>
              <w:right w:val="nil"/>
            </w:tcBorders>
            <w:tcMar>
              <w:top w:w="30" w:type="dxa"/>
              <w:left w:w="70" w:type="dxa"/>
              <w:bottom w:w="30" w:type="dxa"/>
              <w:right w:w="70" w:type="dxa"/>
            </w:tcMar>
          </w:tcPr>
          <w:p w14:paraId="0CCB73CB">
            <w:pPr>
              <w:spacing w:after="0" w:line="220" w:lineRule="auto"/>
              <w:jc w:val="left"/>
            </w:pPr>
            <w:r>
              <w:rPr>
                <w:b w:val="0"/>
                <w:bCs w:val="0"/>
                <w:sz w:val="15"/>
                <w:szCs w:val="15"/>
              </w:rPr>
              <w:t>SLSA Build L1 and an SBOM per image; mask ROM proven through the Design track</w:t>
            </w:r>
          </w:p>
        </w:tc>
        <w:tc>
          <w:tcPr>
            <w:tcW w:w="3200" w:type="dxa"/>
            <w:tcBorders>
              <w:top w:val="nil"/>
              <w:left w:val="nil"/>
              <w:bottom w:val="single" w:color="000000" w:sz="8" w:space="0"/>
              <w:right w:val="nil"/>
            </w:tcBorders>
            <w:tcMar>
              <w:top w:w="30" w:type="dxa"/>
              <w:left w:w="70" w:type="dxa"/>
              <w:bottom w:w="30" w:type="dxa"/>
              <w:right w:w="70" w:type="dxa"/>
            </w:tcMar>
          </w:tcPr>
          <w:p w14:paraId="49C33342">
            <w:pPr>
              <w:spacing w:after="0" w:line="220" w:lineRule="auto"/>
              <w:jc w:val="left"/>
            </w:pPr>
            <w:r>
              <w:rPr>
                <w:b w:val="0"/>
                <w:bCs w:val="0"/>
                <w:sz w:val="15"/>
                <w:szCs w:val="15"/>
              </w:rPr>
              <w:t>SLSA Build L2; images verified before the SoC runs them, by a secure-boot ROM or an attested board-level root of trust</w:t>
            </w:r>
          </w:p>
        </w:tc>
        <w:tc>
          <w:tcPr>
            <w:tcW w:w="3240" w:type="dxa"/>
            <w:tcBorders>
              <w:top w:val="nil"/>
              <w:left w:val="nil"/>
              <w:bottom w:val="single" w:color="000000" w:sz="8" w:space="0"/>
              <w:right w:val="nil"/>
            </w:tcBorders>
            <w:tcMar>
              <w:top w:w="30" w:type="dxa"/>
              <w:left w:w="70" w:type="dxa"/>
              <w:bottom w:w="30" w:type="dxa"/>
              <w:right w:w="70" w:type="dxa"/>
            </w:tcMar>
          </w:tcPr>
          <w:p w14:paraId="4366A844">
            <w:pPr>
              <w:spacing w:after="0" w:line="220" w:lineRule="auto"/>
              <w:jc w:val="left"/>
            </w:pPr>
            <w:r>
              <w:rPr>
                <w:b w:val="0"/>
                <w:bCs w:val="0"/>
                <w:sz w:val="15"/>
                <w:szCs w:val="15"/>
              </w:rPr>
              <w:t>SLSA Build L3; independent review (signed S.A.F.E. report); releases in a transparency log; device reports measurements under a DICE/Caliptra identity that match the records</w:t>
            </w:r>
          </w:p>
        </w:tc>
      </w:tr>
    </w:tbl>
    <w:p w14:paraId="57760880">
      <w:pPr>
        <w:spacing w:after="120"/>
      </w:pPr>
    </w:p>
    <w:p w14:paraId="3DAFEC6D">
      <w:pPr>
        <w:sectPr>
          <w:type w:val="continuous"/>
          <w:pgSz w:w="12240" w:h="15840"/>
          <w:pgMar w:top="1080" w:right="900" w:bottom="1440" w:left="900" w:header="708" w:footer="708" w:gutter="0"/>
          <w:cols w:space="720" w:num="1"/>
          <w:docGrid w:linePitch="360" w:charSpace="0"/>
        </w:sectPr>
      </w:pPr>
    </w:p>
    <w:p w14:paraId="1755300C">
      <w:pPr>
        <w:keepNext w:val="0"/>
        <w:spacing w:after="0" w:line="240" w:lineRule="auto"/>
        <w:ind w:firstLine="202"/>
        <w:jc w:val="both"/>
      </w:pPr>
      <w:r>
        <w:rPr>
          <w:b/>
          <w:bCs/>
        </w:rPr>
        <w:t>L4 defense profile.</w:t>
      </w:r>
      <w:r>
        <w:t xml:space="preserve"> L4 is optional, because its costs (a second builder, destructive part sampling) make sense mainly for roots of trust, secure elements and defense parts. In every track it means that a second, independent party reached the same result as the first: an independent bit-exact rebuild of the design (Design) or of every firmware image built from source (Firmware), and delayering, decapsulation, X-ray or component authentication of a seeded random sample by an accredited lab (Wafer, Package/Test, Assembly). L4 also requires two-person review of source freezes and firmware releases and an HSM-held tapeout key.</w:t>
      </w:r>
    </w:p>
    <w:p w14:paraId="11B1F3AD">
      <w:pPr>
        <w:keepNext w:val="0"/>
        <w:spacing w:after="0" w:line="240" w:lineRule="auto"/>
        <w:ind w:firstLine="202"/>
        <w:jc w:val="both"/>
      </w:pPr>
      <w:r>
        <w:rPr>
          <w:b/>
          <w:bCs/>
        </w:rPr>
        <w:t>Cross-track rules.</w:t>
      </w:r>
      <w:r>
        <w:t xml:space="preserve"> Four rules apply across tracks. (1) Transparency logs required at L3 may be private, since no foundry will publish lot ids or yields. (2) Provisioning is Firmware work, but it is rated by its site: Firmware Ln needs every provisioning site rated at least Ln in its own manufacturing track. (3) There is one check for the buyer at every level: collect the records, confirm each subject against what the device proves at boot, and compare the stated levels against policy. (4) A record signed on a supplier’s behalf holds its track at L1 (Section VII).</w:t>
      </w:r>
    </w:p>
    <w:p w14:paraId="7A91CFDB">
      <w:pPr>
        <w:keepNext w:val="0"/>
        <w:spacing w:after="0" w:line="240" w:lineRule="auto"/>
        <w:ind w:firstLine="202"/>
        <w:jc w:val="both"/>
      </w:pPr>
      <w:r>
        <w:rPr>
          <w:b/>
          <w:bCs/>
        </w:rPr>
        <w:t>Board-level root of trust.</w:t>
      </w:r>
      <w:r>
        <w:t xml:space="preserve"> A part without a secure-boot ROM (for example an FPGA that loads any bitstream from its flash) cannot reach Firmware L2 alone. HSLSA allows the claim for a </w:t>
      </w:r>
      <w:r>
        <w:rPr>
          <w:i/>
          <w:iCs/>
        </w:rPr>
        <w:t>board</w:t>
      </w:r>
      <w:r>
        <w:t xml:space="preserve"> whose root of trust is itself attested at L2 or higher and verifies every image in external flash before releasing the SoC from reset. The bare part stays at Firmware L1, and the board’s verification summary states Firmware L2.</w:t>
      </w:r>
    </w:p>
    <w:p w14:paraId="5AA4F386">
      <w:pPr>
        <w:keepNext w:val="0"/>
        <w:spacing w:after="0" w:line="240" w:lineRule="auto"/>
        <w:ind w:firstLine="202"/>
        <w:jc w:val="both"/>
      </w:pPr>
      <w:r>
        <w:rPr>
          <w:b/>
          <w:bCs/>
        </w:rPr>
        <w:t>Relation to SLSA and DoD levels.</w:t>
      </w:r>
      <w:r>
        <w:t xml:space="preserve"> Design Ln and Firmware Ln meet SLSA Build Ln for n ≤ 3; from L2, Firmware adds device and review requirements that SLSA does not have. We consider the alignment with DoD Levels of Assurance [32] plausible but not established: L3 in all tracks may approach LoA2 and the L4 profile LoA3.</w:t>
      </w:r>
    </w:p>
    <w:p w14:paraId="47156D8C">
      <w:pPr>
        <w:pStyle w:val="2"/>
      </w:pPr>
      <w:r>
        <w:rPr>
          <w:smallCaps/>
        </w:rPr>
        <w:t>V. Attestation Model</w:t>
      </w:r>
    </w:p>
    <w:p w14:paraId="0A68C21F">
      <w:pPr>
        <w:pStyle w:val="3"/>
      </w:pPr>
      <w:r>
        <w:rPr>
          <w:i/>
          <w:iCs/>
        </w:rPr>
        <w:t>A. Records</w:t>
      </w:r>
    </w:p>
    <w:p w14:paraId="33782FA2">
      <w:pPr>
        <w:keepNext w:val="0"/>
        <w:spacing w:after="0" w:line="240" w:lineRule="auto"/>
        <w:ind w:firstLine="202"/>
        <w:jc w:val="both"/>
      </w:pPr>
      <w:r>
        <w:t xml:space="preserve">Every record is an in-toto Statement v1 in a DSSE envelope. Step predicates are strict supersets of SLSA Provenance v1: </w:t>
      </w:r>
      <w:r>
        <w:rPr>
          <w:rFonts w:ascii="Courier New" w:hAnsi="Courier New" w:eastAsia="Courier New" w:cs="Courier New"/>
          <w:sz w:val="18"/>
          <w:szCs w:val="18"/>
        </w:rPr>
        <w:t>buildDefinition</w:t>
      </w:r>
      <w:r>
        <w:t xml:space="preserve"> and </w:t>
      </w:r>
      <w:r>
        <w:rPr>
          <w:rFonts w:ascii="Courier New" w:hAnsi="Courier New" w:eastAsia="Courier New" w:cs="Courier New"/>
          <w:sz w:val="18"/>
          <w:szCs w:val="18"/>
        </w:rPr>
        <w:t>runDetails</w:t>
      </w:r>
      <w:r>
        <w:t xml:space="preserve"> keep their SLSA meaning, and hardware fields sit in one extra block (</w:t>
      </w:r>
      <w:r>
        <w:rPr>
          <w:rFonts w:ascii="Courier New" w:hAnsi="Courier New" w:eastAsia="Courier New" w:cs="Courier New"/>
          <w:sz w:val="18"/>
          <w:szCs w:val="18"/>
        </w:rPr>
        <w:t>hwFlow</w:t>
      </w:r>
      <w:r>
        <w:t xml:space="preserve"> for design steps, </w:t>
      </w:r>
      <w:r>
        <w:rPr>
          <w:rFonts w:ascii="Courier New" w:hAnsi="Courier New" w:eastAsia="Courier New" w:cs="Courier New"/>
          <w:sz w:val="18"/>
          <w:szCs w:val="18"/>
        </w:rPr>
        <w:t>hwMfg</w:t>
      </w:r>
      <w:r>
        <w:t xml:space="preserve"> for manufacturing, </w:t>
      </w:r>
      <w:r>
        <w:rPr>
          <w:rFonts w:ascii="Courier New" w:hAnsi="Courier New" w:eastAsia="Courier New" w:cs="Courier New"/>
          <w:sz w:val="18"/>
          <w:szCs w:val="18"/>
        </w:rPr>
        <w:t>hwProvision</w:t>
      </w:r>
      <w:r>
        <w:t xml:space="preserve"> for provisioning, </w:t>
      </w:r>
      <w:r>
        <w:rPr>
          <w:rFonts w:ascii="Courier New" w:hAnsi="Courier New" w:eastAsia="Courier New" w:cs="Courier New"/>
          <w:sz w:val="18"/>
          <w:szCs w:val="18"/>
        </w:rPr>
        <w:t>hwAfterSale</w:t>
      </w:r>
      <w:r>
        <w:t xml:space="preserve"> for events after sale). An unmodified SLSA verifier can therefore check signer, subjects and inputs. The specification defines predicates for design flow steps, source reviews, tapeout releases, rebuilds, manufacturing steps, distributions and transfers, proxy and evidence records, inspection commitments and inspection results, firmware provisioning, release approvals, after-sale events, platform certificates, log checkpoints, key enrollments and revocations, and the HBOM. Firmware build provenance is plain SLSA Provenance; firmware reviews are the S.A.F.E. reports as published; buyer results are SLSA VSAs with levels named </w:t>
      </w:r>
      <w:r>
        <w:rPr>
          <w:rFonts w:ascii="Courier New" w:hAnsi="Courier New" w:eastAsia="Courier New" w:cs="Courier New"/>
          <w:sz w:val="18"/>
          <w:szCs w:val="18"/>
        </w:rPr>
        <w:t>HSLSA_&lt;TRACK&gt;_LEVEL_&lt;n&gt;</w:t>
      </w:r>
      <w:r>
        <w:t>.</w:t>
      </w:r>
    </w:p>
    <w:p w14:paraId="204D76C3">
      <w:pPr>
        <w:pStyle w:val="3"/>
      </w:pPr>
      <w:r>
        <w:rPr>
          <w:i/>
          <w:iCs/>
        </w:rPr>
        <w:t>B. Naming physical subjects</w:t>
      </w:r>
    </w:p>
    <w:p w14:paraId="4F55E1A4">
      <w:pPr>
        <w:keepNext w:val="0"/>
        <w:spacing w:after="0" w:line="240" w:lineRule="auto"/>
        <w:ind w:firstLine="202"/>
        <w:jc w:val="both"/>
      </w:pPr>
      <w:r>
        <w:t xml:space="preserve">Files are named by their SHA-256 (SHA-384 where a device measures with it). Physical things have no file digest, so each is named by a URN plus the digest of the canonical list that defines it: a wafer lot by its sorted wafer ids, a shipped lot by its </w:t>
      </w:r>
      <w:r>
        <w:rPr>
          <w:i/>
          <w:iCs/>
        </w:rPr>
        <w:t>lot digest</w:t>
      </w:r>
      <w:r>
        <w:t>, a board lot likewise over board serials. The lot digest is the single binding between the HBOM and the physical units:</w:t>
      </w:r>
    </w:p>
    <w:p w14:paraId="5EF1CA4D">
      <w:pPr>
        <w:tabs>
          <w:tab w:val="center" w:pos="2520"/>
          <w:tab w:val="right" w:pos="5040"/>
        </w:tabs>
        <w:spacing w:before="100" w:after="100"/>
      </w:pPr>
      <w:r>
        <w:tab/>
      </w:r>
      <w:r>
        <w:t>lotDigest = SHA256(</w:t>
      </w:r>
      <w:r>
        <w:rPr>
          <w:i/>
          <w:iCs/>
        </w:rPr>
        <w:t>u</w:t>
      </w:r>
      <w:r>
        <w:rPr>
          <w:vertAlign w:val="subscript"/>
        </w:rPr>
        <w:t>(1)</w:t>
      </w:r>
      <w:r>
        <w:rPr>
          <w:rFonts w:ascii="Cambria Math" w:hAnsi="Cambria Math" w:eastAsia="Cambria Math" w:cs="Cambria Math"/>
        </w:rPr>
        <w:t xml:space="preserve"> ‖ </w:t>
      </w:r>
      <w:r>
        <w:rPr>
          <w:i/>
          <w:iCs/>
        </w:rPr>
        <w:t>ℓ</w:t>
      </w:r>
      <w:r>
        <w:rPr>
          <w:rFonts w:ascii="Cambria Math" w:hAnsi="Cambria Math" w:eastAsia="Cambria Math" w:cs="Cambria Math"/>
        </w:rPr>
        <w:t xml:space="preserve"> ‖ </w:t>
      </w:r>
      <w:r>
        <w:rPr>
          <w:i/>
          <w:iCs/>
        </w:rPr>
        <w:t>u</w:t>
      </w:r>
      <w:r>
        <w:rPr>
          <w:vertAlign w:val="subscript"/>
        </w:rPr>
        <w:t>(2)</w:t>
      </w:r>
      <w:r>
        <w:rPr>
          <w:rFonts w:ascii="Cambria Math" w:hAnsi="Cambria Math" w:eastAsia="Cambria Math" w:cs="Cambria Math"/>
        </w:rPr>
        <w:t xml:space="preserve"> ‖ </w:t>
      </w:r>
      <w:r>
        <w:rPr>
          <w:i/>
          <w:iCs/>
        </w:rPr>
        <w:t>ℓ</w:t>
      </w:r>
      <w:r>
        <w:rPr>
          <w:rFonts w:ascii="Cambria Math" w:hAnsi="Cambria Math" w:eastAsia="Cambria Math" w:cs="Cambria Math"/>
        </w:rPr>
        <w:t xml:space="preserve"> ‖ … ‖ </w:t>
      </w:r>
      <w:r>
        <w:rPr>
          <w:i/>
          <w:iCs/>
        </w:rPr>
        <w:t>u</w:t>
      </w:r>
      <w:r>
        <w:rPr>
          <w:vertAlign w:val="subscript"/>
        </w:rPr>
        <w:t>(</w:t>
      </w:r>
      <w:r>
        <w:rPr>
          <w:i/>
          <w:iCs/>
          <w:vertAlign w:val="subscript"/>
        </w:rPr>
        <w:t>n</w:t>
      </w:r>
      <w:r>
        <w:rPr>
          <w:vertAlign w:val="subscript"/>
        </w:rPr>
        <w:t>)</w:t>
      </w:r>
      <w:r>
        <w:rPr>
          <w:rFonts w:ascii="Cambria Math" w:hAnsi="Cambria Math" w:eastAsia="Cambria Math" w:cs="Cambria Math"/>
        </w:rPr>
        <w:t xml:space="preserve"> ‖ </w:t>
      </w:r>
      <w:r>
        <w:rPr>
          <w:i/>
          <w:iCs/>
        </w:rPr>
        <w:t>ℓ</w:t>
      </w:r>
      <w:r>
        <w:t>)</w:t>
      </w:r>
      <w:r>
        <w:tab/>
      </w:r>
      <w:r>
        <w:t>(1)</w:t>
      </w:r>
    </w:p>
    <w:p w14:paraId="6B2FE100">
      <w:pPr>
        <w:keepNext w:val="0"/>
        <w:spacing w:after="0" w:line="240" w:lineRule="auto"/>
        <w:jc w:val="both"/>
      </w:pPr>
      <w:r>
        <w:t>where u(1) ≤ … ≤ u(n) are the unit identifiers sorted as byte strings and ℓ is a newline byte. A unit identifier is its serial at Package/Test L2 and the hex SHA-256 of its DER identity certificate at L3. Yield loss changes a lot between packaging and shipment, so packaging (F3) names the packaged lot and final test (F4) the shipped lot, and the verifier checks that shipped units are a subset of packaged ones and that F4’s yield accounts for the rest.</w:t>
      </w:r>
    </w:p>
    <w:p w14:paraId="33DDB3A7">
      <w:pPr>
        <w:keepNext w:val="0"/>
        <w:spacing w:after="0" w:line="240" w:lineRule="auto"/>
        <w:ind w:firstLine="202"/>
        <w:jc w:val="both"/>
      </w:pPr>
      <w:r>
        <w:t>A record about a single device names it by its strongest identity: a provisioning record by the SHA-256 of the unit’s IDevID public key, because the station signs before the certificate is used and the key is what the device proves at boot.</w:t>
      </w:r>
    </w:p>
    <w:p w14:paraId="68A05A9E">
      <w:pPr>
        <w:pStyle w:val="3"/>
      </w:pPr>
      <w:r>
        <w:rPr>
          <w:i/>
          <w:iCs/>
        </w:rPr>
        <w:t>C. The chain</w:t>
      </w:r>
    </w:p>
    <w:p w14:paraId="26A5C0CF">
      <w:pPr>
        <w:keepNext w:val="0"/>
        <w:spacing w:after="0" w:line="240" w:lineRule="auto"/>
        <w:ind w:firstLine="202"/>
        <w:jc w:val="both"/>
      </w:pPr>
      <w:r>
        <w:t xml:space="preserve">Fig. 1 shows the chain. Each step lists the previous step’s subjects in </w:t>
      </w:r>
      <w:r>
        <w:rPr>
          <w:rFonts w:ascii="Courier New" w:hAnsi="Courier New" w:eastAsia="Courier New" w:cs="Courier New"/>
          <w:sz w:val="18"/>
          <w:szCs w:val="18"/>
        </w:rPr>
        <w:t>resolvedDependencies</w:t>
      </w:r>
      <w:r>
        <w:t xml:space="preserve">, and every manufacturing step copies the design release into </w:t>
      </w:r>
      <w:r>
        <w:rPr>
          <w:rFonts w:ascii="Courier New" w:hAnsi="Courier New" w:eastAsia="Courier New" w:cs="Courier New"/>
          <w:sz w:val="18"/>
          <w:szCs w:val="18"/>
        </w:rPr>
        <w:t>hwMfg.designRef</w:t>
      </w:r>
      <w:r>
        <w:t>. A verifier holding a booted device can therefore walk by digest alone from the device’s identity certificate to its provisioning record and shipped lot, back through packaging and the wafer lot to the signed GDS, and from there to reviewed RTL and every tool and PDK used. Firmware joins twice: the mask ROM through the Design flow (step 6a, where the layout’s ROM bits are read back and compared with the image’s provenance), and everything else through provisioning records. A board has its own HBOM over the board design and board lot, pointing at A1, at each part’s distribution record and at each chip’s HBOM.</w:t>
      </w:r>
    </w:p>
    <w:p w14:paraId="27C329B6">
      <w:pPr>
        <w:sectPr>
          <w:type w:val="continuous"/>
          <w:pgSz w:w="12240" w:h="15840"/>
          <w:pgMar w:top="1080" w:right="900" w:bottom="1440" w:left="900" w:header="708" w:footer="708" w:gutter="0"/>
          <w:cols w:space="360" w:num="2"/>
          <w:docGrid w:linePitch="360" w:charSpace="0"/>
        </w:sectPr>
      </w:pPr>
    </w:p>
    <w:p w14:paraId="09F9BA1C">
      <w:pPr>
        <w:keepNext/>
        <w:spacing w:before="120" w:after="80"/>
        <w:jc w:val="center"/>
      </w:pPr>
      <w:r>
        <w:drawing>
          <wp:inline distT="0" distB="0" distL="0" distR="0">
            <wp:extent cx="6400800" cy="1828800"/>
            <wp:effectExtent l="0" t="0" r="0" b="0"/>
            <wp:docPr id="1" name="fig1" descr="The HSLSA attestation chain from RTL to a booted devi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The HSLSA attestation chain from RTL to a booted device" title="Figure 1"/>
                    <pic:cNvPicPr>
                      <a:picLocks noChangeAspect="1" noChangeArrowheads="1"/>
                    </pic:cNvPicPr>
                  </pic:nvPicPr>
                  <pic:blipFill>
                    <a:blip r:embed="rId4"/>
                    <a:srcRect/>
                    <a:stretch>
                      <a:fillRect/>
                    </a:stretch>
                  </pic:blipFill>
                  <pic:spPr>
                    <a:xfrm>
                      <a:off x="0" y="0"/>
                      <a:ext cx="6400800" cy="1828800"/>
                    </a:xfrm>
                    <a:prstGeom prst="rect">
                      <a:avLst/>
                    </a:prstGeom>
                  </pic:spPr>
                </pic:pic>
              </a:graphicData>
            </a:graphic>
          </wp:inline>
        </w:drawing>
      </w:r>
    </w:p>
    <w:p w14:paraId="4811A637">
      <w:pPr>
        <w:spacing w:after="160"/>
        <w:jc w:val="both"/>
      </w:pPr>
      <w:r>
        <w:rPr>
          <w:sz w:val="16"/>
          <w:szCs w:val="16"/>
        </w:rPr>
        <w:t>Fig. 1. The HSLSA attestation chain for a chip and the board it is placed on. Solid arrows are digest links (the later record consumes the earlier one’s subjects); T marks a signed transfer between manufacturing sites. Dashed boxes are L4 records. The dashed arrow is the buyer’s at-boot check, where the device’s identity and boot measurements are compared with its provisioning record, the identities issued at sort or final test, and the firmware reference values.</w:t>
      </w:r>
    </w:p>
    <w:p w14:paraId="7FF12771">
      <w:pPr>
        <w:sectPr>
          <w:type w:val="continuous"/>
          <w:pgSz w:w="12240" w:h="15840"/>
          <w:pgMar w:top="1080" w:right="900" w:bottom="1440" w:left="900" w:header="708" w:footer="708" w:gutter="0"/>
          <w:cols w:space="720" w:num="1"/>
          <w:docGrid w:linePitch="360" w:charSpace="0"/>
        </w:sectPr>
      </w:pPr>
    </w:p>
    <w:p w14:paraId="48E4E3F4">
      <w:pPr>
        <w:pStyle w:val="3"/>
      </w:pPr>
      <w:r>
        <w:rPr>
          <w:i/>
          <w:iCs/>
        </w:rPr>
        <w:t>D. Where the chain is checked</w:t>
      </w:r>
    </w:p>
    <w:p w14:paraId="20F14FCD">
      <w:pPr>
        <w:keepNext w:val="0"/>
        <w:spacing w:after="0" w:line="240" w:lineRule="auto"/>
        <w:ind w:firstLine="202"/>
        <w:jc w:val="both"/>
      </w:pPr>
      <w:r>
        <w:t>The buyer runs four checks, each a pass or fail function of the records, a trust root and a policy.</w:t>
      </w:r>
    </w:p>
    <w:p w14:paraId="604DEA48">
      <w:pPr>
        <w:keepNext w:val="0"/>
        <w:spacing w:after="0" w:line="240" w:lineRule="auto"/>
        <w:ind w:firstLine="202"/>
        <w:jc w:val="both"/>
      </w:pPr>
      <w:r>
        <w:rPr>
          <w:b/>
          <w:bCs/>
        </w:rPr>
        <w:t>Tapeout check</w:t>
      </w:r>
      <w:r>
        <w:t xml:space="preserve"> (before the GDS leaves for the foundry): the GDS matches a release signed by an allowed tapeout authority; every step from source freeze to stream-out is present, signed and linked; every tool and PDK digest is approved and identical across steps; every gate passed; from Design L2 the source freeze consumes a signed tag and an independent review, and the verifier recomputes git’s object hashes from the tag down to every file in the source archive, so that a flow platform that swaps RTL under a valid tag is caught even though it signs its own record; from Design L3 the network and isolation rules hold and an equivalence record exists; at Design L4 an independent rebuild matches.</w:t>
      </w:r>
    </w:p>
    <w:p w14:paraId="4DAE7B94">
      <w:pPr>
        <w:keepNext w:val="0"/>
        <w:spacing w:after="0" w:line="240" w:lineRule="auto"/>
        <w:ind w:firstLine="202"/>
        <w:jc w:val="both"/>
      </w:pPr>
      <w:r>
        <w:rPr>
          <w:b/>
          <w:bCs/>
        </w:rPr>
        <w:t>Lot receipt check</w:t>
      </w:r>
      <w:r>
        <w:t xml:space="preserve"> (by the buyer, OEM or EMS): the HBOM’s lot subject equals F4’s shipped lot digest and every received unit is in it (at L3, each unit answers a fresh challenge); F1 to F4 and the transfers between them are present, signed by allowed sites and linked; every </w:t>
      </w:r>
      <w:r>
        <w:rPr>
          <w:rFonts w:ascii="Courier New" w:hAnsi="Courier New" w:eastAsia="Courier New" w:cs="Courier New"/>
          <w:sz w:val="18"/>
          <w:szCs w:val="18"/>
        </w:rPr>
        <w:t>designRef</w:t>
      </w:r>
      <w:r>
        <w:t xml:space="preserve"> names the same released design, which verifies at the buyer’s minimum Design level; genealogy is complete and yields reconcile; every gate passed; at L4, an inspection record covers the lot; and the HBOM’s claimed levels do not exceed what was verified. Before walking the chain, the check first reports every missing or unexplained record with its track, so that a buyer sees all gaps at once rather than the first broken link.</w:t>
      </w:r>
    </w:p>
    <w:p w14:paraId="2A525379">
      <w:pPr>
        <w:keepNext w:val="0"/>
        <w:spacing w:after="0" w:line="240" w:lineRule="auto"/>
        <w:ind w:firstLine="202"/>
        <w:jc w:val="both"/>
      </w:pPr>
      <w:r>
        <w:rPr>
          <w:b/>
          <w:bCs/>
        </w:rPr>
        <w:t>Board receipt check</w:t>
      </w:r>
      <w:r>
        <w:t>: the board HBOM, A1 and every distribution record are signed by allowed parties; every chip with its own chain passes the lot receipt check under the trust root and policy the buyer holds for that chip’s suppliers; the parts list covers exactly the board design’s reference designators; no serialized part is placed twice and no lot more often than it was shipped; the board lot reconciles with A1’s yield.</w:t>
      </w:r>
    </w:p>
    <w:p w14:paraId="6CA19C26">
      <w:pPr>
        <w:keepNext w:val="0"/>
        <w:spacing w:after="0" w:line="240" w:lineRule="auto"/>
        <w:ind w:firstLine="202"/>
        <w:jc w:val="both"/>
      </w:pPr>
      <w:r>
        <w:rPr>
          <w:b/>
          <w:bCs/>
        </w:rPr>
        <w:t>At-boot check</w:t>
      </w:r>
      <w:r>
        <w:t>: the device’s certificate chain verifies to the identity CA and names a unit in the shipped lot; the provisioning record whose subject is the device’s IDevID key is signed by an allowed station and names this unit, lot and design; each measurement in the device’s DICE certificates matches a reference value in the release’s CoRIM; measured fuses match what the provisioning record says was burned; the mask ROM that took the first measurement is covered by the Design track’s ROM merge step; and the reported security version is not below the anti-rollback fuse or the policy minimum. This step needs only the CoRIM and the certificates, so an existing RATS verifier can run it.</w:t>
      </w:r>
    </w:p>
    <w:p w14:paraId="13BC26F3">
      <w:pPr>
        <w:keepNext w:val="0"/>
        <w:spacing w:after="0" w:line="240" w:lineRule="auto"/>
        <w:ind w:firstLine="202"/>
        <w:jc w:val="both"/>
      </w:pPr>
      <w:r>
        <w:t xml:space="preserve">Each check may sign a VSA. A receiver that signs one for the units it received produces a </w:t>
      </w:r>
      <w:r>
        <w:rPr>
          <w:i/>
          <w:iCs/>
        </w:rPr>
        <w:t>receipt record</w:t>
      </w:r>
      <w:r>
        <w:t xml:space="preserve"> whose subject is the lot digest formula applied to exactly those units, so that the EMS’s receipt can be linked into A1 and an integrator verifies a board and, through it, every part.</w:t>
      </w:r>
    </w:p>
    <w:p w14:paraId="6539DDAC">
      <w:pPr>
        <w:pStyle w:val="3"/>
      </w:pPr>
      <w:r>
        <w:rPr>
          <w:i/>
          <w:iCs/>
        </w:rPr>
        <w:t>E. Trust roots owned by the buyer</w:t>
      </w:r>
    </w:p>
    <w:p w14:paraId="79E458C4">
      <w:pPr>
        <w:keepNext w:val="0"/>
        <w:spacing w:after="0" w:line="240" w:lineRule="auto"/>
        <w:ind w:firstLine="202"/>
        <w:jc w:val="both"/>
      </w:pPr>
      <w:r>
        <w:t>HSLSA does not depend on a public key infrastructure. Until accreditors issue site keys, a buyer may run its own trust root: it holds one root key and signs an enrollment for each key it accepts, after checking that key with its holder (at a key ceremony, through a fingerprint read back over a second channel, or through an HSM vendor’s key attestation). An enrollment names the key’s role, organization (with an LEI, DUNS, CAGE, UEI or GLN identifier), site, key custody (HSM or file) and accreditation, and a validity period; revocations drop a key for every record it signed. From L3, the key rules of the manufacturing tracks (HSM custody, accredited sites) are read from these enrollments, so a verifier must refuse a Wafer, Package/Test or Assembly L3 claim under a plain list of public keys. A trust root or policy that arrives inside a supplier’s bundle is treated as that supplier’s claim, never as the buyer’s.</w:t>
      </w:r>
    </w:p>
    <w:p w14:paraId="456CE7FD">
      <w:pPr>
        <w:pStyle w:val="2"/>
      </w:pPr>
      <w:r>
        <w:rPr>
          <w:smallCaps/>
        </w:rPr>
        <w:t>VI. Hardware-Specific Mechanisms at L3 and L4</w:t>
      </w:r>
    </w:p>
    <w:p w14:paraId="279D83CA">
      <w:pPr>
        <w:pStyle w:val="3"/>
      </w:pPr>
      <w:r>
        <w:rPr>
          <w:i/>
          <w:iCs/>
        </w:rPr>
        <w:t>A. Isolation for EDA steps with license servers</w:t>
      </w:r>
    </w:p>
    <w:p w14:paraId="063E99AA">
      <w:pPr>
        <w:keepNext w:val="0"/>
        <w:spacing w:after="0" w:line="240" w:lineRule="auto"/>
        <w:ind w:firstLine="202"/>
        <w:jc w:val="both"/>
      </w:pPr>
      <w:r>
        <w:t xml:space="preserve">SLSA Build L3 isolates a build from the network. Commercial EDA tools, however, check out licenses from a license server while they run, so a Design L3 step cannot be cut off entirely. HSLSA allows a Design L3 step to reach declared license servers and nothing else, and makes the flow platform record what it enforced in an </w:t>
      </w:r>
      <w:r>
        <w:rPr>
          <w:rFonts w:ascii="Courier New" w:hAnsi="Courier New" w:eastAsia="Courier New" w:cs="Courier New"/>
          <w:sz w:val="18"/>
          <w:szCs w:val="18"/>
        </w:rPr>
        <w:t>hwFlow.network</w:t>
      </w:r>
      <w:r>
        <w:t xml:space="preserve"> block: the mode (</w:t>
      </w:r>
      <w:r>
        <w:rPr>
          <w:rFonts w:ascii="Courier New" w:hAnsi="Courier New" w:eastAsia="Courier New" w:cs="Courier New"/>
          <w:sz w:val="18"/>
          <w:szCs w:val="18"/>
        </w:rPr>
        <w:t>isolated</w:t>
      </w:r>
      <w:r>
        <w:t xml:space="preserve">, </w:t>
      </w:r>
      <w:r>
        <w:rPr>
          <w:rFonts w:ascii="Courier New" w:hAnsi="Courier New" w:eastAsia="Courier New" w:cs="Courier New"/>
          <w:sz w:val="18"/>
          <w:szCs w:val="18"/>
        </w:rPr>
        <w:t>license-server</w:t>
      </w:r>
      <w:r>
        <w:t xml:space="preserve"> or </w:t>
      </w:r>
      <w:r>
        <w:rPr>
          <w:rFonts w:ascii="Courier New" w:hAnsi="Courier New" w:eastAsia="Courier New" w:cs="Courier New"/>
          <w:sz w:val="18"/>
          <w:szCs w:val="18"/>
        </w:rPr>
        <w:t>open</w:t>
      </w:r>
      <w:r>
        <w:t xml:space="preserve">); each declared server with its vendor daemon and the exact </w:t>
      </w:r>
      <w:r>
        <w:rPr>
          <w:rFonts w:ascii="Courier New" w:hAnsi="Courier New" w:eastAsia="Courier New" w:cs="Courier New"/>
          <w:sz w:val="18"/>
          <w:szCs w:val="18"/>
        </w:rPr>
        <w:t>ip:port</w:t>
      </w:r>
      <w:r>
        <w:t xml:space="preserve"> endpoints allowed (a FlexNet server needs two, so the vendor daemon’s port must be fixed); the features checked out; and every outbound connection attempt the platform observed, allowed or blocked, with bytes sent and received. The platform sets the policy outside the step (a network namespace or firewall that step code cannot change) and resolves addresses before the step starts, so DNS is not reachable either. The buyer’s policy lists acceptable servers and may cap bytes sent per step. This rule accepts a residual risk that we state explicitly: a compromised tool can still send design data to the license server, which therefore joins the flow platform’s trust boundary; a byte ceiling catches bulk copying but not a slow leak.</w:t>
      </w:r>
    </w:p>
    <w:p w14:paraId="1BBD6934">
      <w:pPr>
        <w:keepNext w:val="0"/>
        <w:spacing w:after="0" w:line="240" w:lineRule="auto"/>
        <w:ind w:firstLine="202"/>
        <w:jc w:val="both"/>
      </w:pPr>
      <w:r>
        <w:t xml:space="preserve">An </w:t>
      </w:r>
      <w:r>
        <w:rPr>
          <w:rFonts w:ascii="Courier New" w:hAnsi="Courier New" w:eastAsia="Courier New" w:cs="Courier New"/>
          <w:sz w:val="18"/>
          <w:szCs w:val="18"/>
        </w:rPr>
        <w:t>isolation</w:t>
      </w:r>
      <w:r>
        <w:t xml:space="preserve"> block next to it records the sandbox, its namespaces, its read-only mounts, and five platform assertions (fresh working directory, no files shared between steps, signing key not mounted, signing done outside the step, network mode). Tools are pinned by digest; a tool from a distribution package also carries the package’s name, version and a tree digest over every file it installed, so that the buyer’s policy can pin the package, not only one binary. PDKs and other directory trees are pinned by a canonical tree digest.</w:t>
      </w:r>
    </w:p>
    <w:p w14:paraId="519CE59E">
      <w:pPr>
        <w:pStyle w:val="3"/>
      </w:pPr>
      <w:r>
        <w:rPr>
          <w:i/>
          <w:iCs/>
        </w:rPr>
        <w:t>B. Identity rooted in the die</w:t>
      </w:r>
    </w:p>
    <w:p w14:paraId="5AF76C0F">
      <w:pPr>
        <w:keepNext w:val="0"/>
        <w:spacing w:after="0" w:line="240" w:lineRule="auto"/>
        <w:ind w:firstLine="202"/>
        <w:jc w:val="both"/>
      </w:pPr>
      <w:r>
        <w:t>At Wafer L3, wafer sort gives every passing die an identity rooted in its own root of trust: the die’s DICE engine derives an IDevID key it never releases, sort receives a certificate signing request (CSR) the die signed, and the chip vendor’s identity CA, with its key in an HSM, endorses it. A programming station never holds a CA key, so an OSAT that provisions identities cannot make a unit answer with a key the vendor did not endorse. From Package/Test L3 a unit is named by the digest of its certificate, so the lot digest covers certificate digests. At final test, and again at the buyer’s receipt, every unit answers a fresh nonce ν by signing, with its IDevID key,</w:t>
      </w:r>
    </w:p>
    <w:p w14:paraId="482D3FE9">
      <w:pPr>
        <w:spacing w:before="100" w:after="100"/>
        <w:jc w:val="center"/>
      </w:pPr>
      <w:r>
        <w:t>SHA256(</w:t>
      </w:r>
      <w:r>
        <w:rPr>
          <w:rFonts w:ascii="Courier New" w:hAnsi="Courier New" w:eastAsia="Courier New" w:cs="Courier New"/>
          <w:sz w:val="18"/>
          <w:szCs w:val="18"/>
        </w:rPr>
        <w:t>hslsa-identity-challenge/v1</w:t>
      </w:r>
      <w:r>
        <w:rPr>
          <w:rFonts w:ascii="Cambria Math" w:hAnsi="Cambria Math" w:eastAsia="Cambria Math" w:cs="Cambria Math"/>
        </w:rPr>
        <w:t xml:space="preserve"> ‖ </w:t>
      </w:r>
      <w:r>
        <w:rPr>
          <w:rFonts w:ascii="Courier New" w:hAnsi="Courier New" w:eastAsia="Courier New" w:cs="Courier New"/>
          <w:sz w:val="18"/>
          <w:szCs w:val="18"/>
        </w:rPr>
        <w:t>0x00</w:t>
      </w:r>
      <w:r>
        <w:rPr>
          <w:rFonts w:ascii="Cambria Math" w:hAnsi="Cambria Math" w:eastAsia="Cambria Math" w:cs="Cambria Math"/>
        </w:rPr>
        <w:t xml:space="preserve"> ‖ </w:t>
      </w:r>
      <w:r>
        <w:rPr>
          <w:i/>
          <w:iCs/>
        </w:rPr>
        <w:t>ν</w:t>
      </w:r>
      <w:r>
        <w:t>)</w:t>
      </w:r>
    </w:p>
    <w:p w14:paraId="2EDA0E9E">
      <w:pPr>
        <w:keepNext w:val="0"/>
        <w:spacing w:after="0" w:line="240" w:lineRule="auto"/>
        <w:ind w:firstLine="202"/>
        <w:jc w:val="both"/>
      </w:pPr>
      <w:r>
        <w:t>A list of serials is not accepted in place of challenges at L3. At Assembly L3 the EMS challenges every component that has a hardware identity before placing it, and the board owner’s platform CA signs a platform certificate per board that names each such component’s certificate.</w:t>
      </w:r>
    </w:p>
    <w:p w14:paraId="338A43FE">
      <w:pPr>
        <w:keepNext w:val="0"/>
        <w:spacing w:after="0" w:line="240" w:lineRule="auto"/>
        <w:ind w:firstLine="202"/>
        <w:jc w:val="both"/>
      </w:pPr>
      <w:r>
        <w:t xml:space="preserve">On a board with a root of trust, the EMS’s station reads which root-of-trust unit sits at its reference designator </w:t>
      </w:r>
      <w:r>
        <w:rPr>
          <w:i/>
          <w:iCs/>
        </w:rPr>
        <w:t>from the part itself</w:t>
      </w:r>
      <w:r>
        <w:t xml:space="preserve"> and records that unit, not the one the assembly record says was placed; the buyer compares the two, so a part swapped between placement and programming is refused.</w:t>
      </w:r>
    </w:p>
    <w:p w14:paraId="35347348">
      <w:pPr>
        <w:pStyle w:val="3"/>
      </w:pPr>
      <w:r>
        <w:rPr>
          <w:i/>
          <w:iCs/>
        </w:rPr>
        <w:t>C. Private release logs</w:t>
      </w:r>
    </w:p>
    <w:p w14:paraId="04730D94">
      <w:pPr>
        <w:keepNext w:val="0"/>
        <w:spacing w:after="0" w:line="240" w:lineRule="auto"/>
        <w:ind w:firstLine="202"/>
        <w:jc w:val="both"/>
      </w:pPr>
      <w:r>
        <w:t>Firmware L3 requires releases to appear in a transparency log. The log may be private: an append-only Merkle tree in the RFC 9162 [34] form, operated by the buyer, a consortium or a party the buyer trusts, with signed checkpoints, inclusion proofs carried next to each record, and consistency proofs between checkpoints. A buyer’s policy may also require that a chip lot’s manufacturing records be logged, which closes equivocation among the buyers that read the same log.</w:t>
      </w:r>
    </w:p>
    <w:p w14:paraId="70B2805A">
      <w:pPr>
        <w:pStyle w:val="3"/>
      </w:pPr>
      <w:r>
        <w:rPr>
          <w:i/>
          <w:iCs/>
        </w:rPr>
        <w:t>D. Independent rebuilds</w:t>
      </w:r>
    </w:p>
    <w:p w14:paraId="7D72D9B2">
      <w:pPr>
        <w:keepNext w:val="0"/>
        <w:spacing w:after="0" w:line="240" w:lineRule="auto"/>
        <w:ind w:firstLine="202"/>
        <w:jc w:val="both"/>
      </w:pPr>
      <w:r>
        <w:t xml:space="preserve">At Design L4, a second builder rebuilds the released design from the same pinned source, tool image, PDK, script overlay and </w:t>
      </w:r>
      <w:r>
        <w:rPr>
          <w:rFonts w:ascii="Courier New" w:hAnsi="Courier New" w:eastAsia="Courier New" w:cs="Courier New"/>
          <w:sz w:val="18"/>
          <w:szCs w:val="18"/>
        </w:rPr>
        <w:t>SOURCE_DATE_EPOCH</w:t>
      </w:r>
      <w:r>
        <w:t xml:space="preserve">, and signs a </w:t>
      </w:r>
      <w:r>
        <w:rPr>
          <w:rFonts w:ascii="Courier New" w:hAnsi="Courier New" w:eastAsia="Courier New" w:cs="Courier New"/>
          <w:sz w:val="18"/>
          <w:szCs w:val="18"/>
        </w:rPr>
        <w:t>rebuild</w:t>
      </w:r>
      <w:r>
        <w:t xml:space="preserve"> record with a check </w:t>
      </w:r>
      <w:r>
        <w:rPr>
          <w:rFonts w:ascii="Courier New" w:hAnsi="Courier New" w:eastAsia="Courier New" w:cs="Courier New"/>
          <w:sz w:val="18"/>
          <w:szCs w:val="18"/>
        </w:rPr>
        <w:t>gds-bit-exact</w:t>
      </w:r>
      <w:r>
        <w:t xml:space="preserve"> (or, if the buyer’s policy allows it, </w:t>
      </w:r>
      <w:r>
        <w:rPr>
          <w:rFonts w:ascii="Courier New" w:hAnsi="Courier New" w:eastAsia="Courier New" w:cs="Courier New"/>
          <w:sz w:val="18"/>
          <w:szCs w:val="18"/>
        </w:rPr>
        <w:t>gds-equal-ignoring-timestamps</w:t>
      </w:r>
      <w:r>
        <w:t>). The verifier accepts the rebuild only if the rebuilder’s key holds no other role and is enrolled under an organization different from those of the flow platform and tapeout authority, its builder id differs from every flow step’s builder, and its inputs are those of the release. Firmware L4 applies the same rule to every image built from source; a closed vendor binary caps the product at Firmware L3. A Caliptra mask ROM whose build matches the digest published by the Caliptra project’s frozen-image list counts as rebuilt by the party that froze it.</w:t>
      </w:r>
    </w:p>
    <w:p w14:paraId="5DD22BCE">
      <w:pPr>
        <w:pStyle w:val="3"/>
      </w:pPr>
      <w:r>
        <w:rPr>
          <w:i/>
          <w:iCs/>
        </w:rPr>
        <w:t>E. Seeded, committed sampling for inspection</w:t>
      </w:r>
    </w:p>
    <w:p w14:paraId="4A8E373D">
      <w:pPr>
        <w:keepNext w:val="0"/>
        <w:spacing w:after="0" w:line="240" w:lineRule="auto"/>
        <w:ind w:firstLine="202"/>
        <w:jc w:val="both"/>
      </w:pPr>
      <w:r>
        <w:t>Destructive inspection only says something about the parts that shipped if the producer cannot steer which parts are inspected. HSLSA uses a commit-and-reveal protocol:</w:t>
      </w:r>
    </w:p>
    <w:p w14:paraId="5184CAD1">
      <w:pPr>
        <w:pStyle w:val="16"/>
        <w:numPr>
          <w:ilvl w:val="0"/>
          <w:numId w:val="2"/>
        </w:numPr>
        <w:spacing w:after="0"/>
        <w:jc w:val="both"/>
      </w:pPr>
      <w:r>
        <w:t>Before the lot is sealed, the lab draws a seed s of at least 16 bytes and signs a commitment containing SHA256(s), the lot’s URN, the tracks, the method and the sample size k.</w:t>
      </w:r>
    </w:p>
    <w:p w14:paraId="036F9563">
      <w:pPr>
        <w:pStyle w:val="16"/>
        <w:numPr>
          <w:ilvl w:val="0"/>
          <w:numId w:val="2"/>
        </w:numPr>
        <w:spacing w:after="0"/>
        <w:jc w:val="both"/>
      </w:pPr>
      <w:r>
        <w:t xml:space="preserve">The site that seals the lot (final test, or A1 for boards) lists the commitment in its </w:t>
      </w:r>
      <w:r>
        <w:rPr>
          <w:rFonts w:ascii="Courier New" w:hAnsi="Courier New" w:eastAsia="Courier New" w:cs="Courier New"/>
          <w:sz w:val="18"/>
          <w:szCs w:val="18"/>
        </w:rPr>
        <w:t>resolvedDependencies</w:t>
      </w:r>
      <w:r>
        <w:t>, so the seed was fixed before anyone knew which units the lot would hold.</w:t>
      </w:r>
    </w:p>
    <w:p w14:paraId="58306EDC">
      <w:pPr>
        <w:pStyle w:val="16"/>
        <w:numPr>
          <w:ilvl w:val="0"/>
          <w:numId w:val="2"/>
        </w:numPr>
        <w:spacing w:after="0"/>
        <w:jc w:val="both"/>
      </w:pPr>
      <w:r>
        <w:t>After sealing, each unit u is ranked by SHA256(s ‖ 0x00 ‖ u) and the k lowest are the sample; a lot no larger than k is inspected whole.</w:t>
      </w:r>
    </w:p>
    <w:p w14:paraId="6B4D8464">
      <w:pPr>
        <w:pStyle w:val="16"/>
        <w:numPr>
          <w:ilvl w:val="0"/>
          <w:numId w:val="2"/>
        </w:numPr>
        <w:spacing w:after="0"/>
        <w:jc w:val="both"/>
      </w:pPr>
      <w:r>
        <w:t>The lab inspects the sample, reveals s, and signs a record naming technique, layers and regions imaged, and per-sample results.</w:t>
      </w:r>
    </w:p>
    <w:p w14:paraId="46ED8F79">
      <w:pPr>
        <w:keepNext w:val="0"/>
        <w:spacing w:after="0" w:line="240" w:lineRule="auto"/>
        <w:ind w:firstLine="202"/>
        <w:jc w:val="both"/>
      </w:pPr>
      <w:r>
        <w:t>The verifier checks that the revealed seed matches the commitment, that the sample is exactly the one the seed draws, that the lab’s key is enrolled as independent and accredited (for example under ISO/IEC 17025), that the record covers every track claimed at L4, and that no sample failed. A destructive inspection removes its samples from the lot, so a received unit that answers as a destroyed sample is refused as a copy.</w:t>
      </w:r>
    </w:p>
    <w:p w14:paraId="61D1450E">
      <w:pPr>
        <w:pStyle w:val="2"/>
      </w:pPr>
      <w:r>
        <w:rPr>
          <w:smallCaps/>
        </w:rPr>
        <w:t>VII. Adoption and Confidentiality</w:t>
      </w:r>
    </w:p>
    <w:p w14:paraId="7BAE93F9">
      <w:pPr>
        <w:pStyle w:val="3"/>
      </w:pPr>
      <w:r>
        <w:rPr>
          <w:i/>
          <w:iCs/>
        </w:rPr>
        <w:t>A. Suppliers that do not sign</w:t>
      </w:r>
    </w:p>
    <w:p w14:paraId="187E49AA">
      <w:pPr>
        <w:keepNext w:val="0"/>
        <w:spacing w:after="0" w:line="240" w:lineRule="auto"/>
        <w:ind w:firstLine="202"/>
        <w:jc w:val="both"/>
      </w:pPr>
      <w:r>
        <w:t xml:space="preserve">Suppliers will not sign records until customers require it, and customers cannot require it until there is something to require. HSLSA breaks this circle with two records signed by the party that received from a non-signing supplier. A </w:t>
      </w:r>
      <w:r>
        <w:rPr>
          <w:i/>
          <w:iCs/>
        </w:rPr>
        <w:t>proxy-signed record</w:t>
      </w:r>
      <w:r>
        <w:t xml:space="preserve"> is the step’s full record built from the supplier’s own data export, with a </w:t>
      </w:r>
      <w:r>
        <w:rPr>
          <w:rFonts w:ascii="Courier New" w:hAnsi="Courier New" w:eastAsia="Courier New" w:cs="Courier New"/>
          <w:sz w:val="18"/>
          <w:szCs w:val="18"/>
        </w:rPr>
        <w:t>proxy</w:t>
      </w:r>
      <w:r>
        <w:t xml:space="preserve"> block naming the signer, the reason and the export by digest, and a builder id </w:t>
      </w:r>
      <w:r>
        <w:rPr>
          <w:rFonts w:ascii="Courier New" w:hAnsi="Courier New" w:eastAsia="Courier New" w:cs="Courier New"/>
          <w:sz w:val="18"/>
          <w:szCs w:val="18"/>
        </w:rPr>
        <w:t>urn:hslsa:proxy:&lt;signer&gt;</w:t>
      </w:r>
      <w:r>
        <w:t xml:space="preserve"> so that a SLSA verifier that reads only the builder does not mistake it for the supplier’s own. An </w:t>
      </w:r>
      <w:r>
        <w:rPr>
          <w:i/>
          <w:iCs/>
        </w:rPr>
        <w:t>evidence record</w:t>
      </w:r>
      <w:r>
        <w:t xml:space="preserve"> covers a step for which the supplier gives only documents (a certificate of conformance, an audit report, a paper traveller), naming each by digest. The verifier checks that the proxy added nothing the supplier did not report, but it cannot check that the supplier’s data is true, so a track with any such record is held at L1, and a buyer’s policy may refuse them altogether. An evidence record can stand in only for a step whose subjects no later record binds to (wafer sort, in the chip chain), because later records bind to the wafer lot, packaged lot and shipped lot by digest.</w:t>
      </w:r>
    </w:p>
    <w:p w14:paraId="4D7BDEB8">
      <w:pPr>
        <w:pStyle w:val="3"/>
      </w:pPr>
      <w:r>
        <w:rPr>
          <w:i/>
          <w:iCs/>
        </w:rPr>
        <w:t>B. Signing sidecars over existing exports</w:t>
      </w:r>
    </w:p>
    <w:p w14:paraId="359A2F69">
      <w:pPr>
        <w:keepNext w:val="0"/>
        <w:spacing w:after="0" w:line="240" w:lineRule="auto"/>
        <w:ind w:firstLine="202"/>
        <w:jc w:val="both"/>
      </w:pPr>
      <w:r>
        <w:t xml:space="preserve">Factories already export what a manufacturing record says: MES lot histories, unit genealogies, STDF test results, SEMI E142 wafer maps, programming-station logs, packing lists and EPCIS events. HSLSA lets an adapter running beside these systems, at the site and with the site’s key, turn exports into records and carry the exports by digest, so that a verifier can read them again and require the record to say exactly what they say. Transfers between sites can be made from the sender’s </w:t>
      </w:r>
      <w:r>
        <w:rPr>
          <w:rFonts w:ascii="Courier New" w:hAnsi="Courier New" w:eastAsia="Courier New" w:cs="Courier New"/>
          <w:sz w:val="18"/>
          <w:szCs w:val="18"/>
        </w:rPr>
        <w:t>SHIP</w:t>
      </w:r>
      <w:r>
        <w:t xml:space="preserve"> and the receiver’s </w:t>
      </w:r>
      <w:r>
        <w:rPr>
          <w:rFonts w:ascii="Courier New" w:hAnsi="Courier New" w:eastAsia="Courier New" w:cs="Courier New"/>
          <w:sz w:val="18"/>
          <w:szCs w:val="18"/>
        </w:rPr>
        <w:t>RECEIVE</w:t>
      </w:r>
      <w:r>
        <w:t xml:space="preserve"> events. For design flows, a Tcl hook sourced inside the EDA tool declares each step’s inputs, outputs, metrics and checks, while the flow platform, outside the tool’s process, hashes and signs; the tool never holds a key. For programming stations, the adapter must verify every image’s provenance before the job runs and must refuse an export that logs a secret’s value. Agreement with exports does not raise a level: it shows that the record matches the supplier’s own files, not that they are true.</w:t>
      </w:r>
    </w:p>
    <w:p w14:paraId="1A1C99A6">
      <w:pPr>
        <w:pStyle w:val="3"/>
      </w:pPr>
      <w:r>
        <w:rPr>
          <w:i/>
          <w:iCs/>
        </w:rPr>
        <w:t>C. Records from simulated hardware</w:t>
      </w:r>
    </w:p>
    <w:p w14:paraId="2FDDA1D8">
      <w:pPr>
        <w:keepNext w:val="0"/>
        <w:spacing w:after="0" w:line="240" w:lineRule="auto"/>
        <w:ind w:firstLine="202"/>
        <w:jc w:val="both"/>
      </w:pPr>
      <w:r>
        <w:t xml:space="preserve">Until real equipment takes part, physical facts can come from a simulator. Such records have the shape of real ones and are signed with real keys, so HSLSA requires them to say so: a </w:t>
      </w:r>
      <w:r>
        <w:rPr>
          <w:rFonts w:ascii="Courier New" w:hAnsi="Courier New" w:eastAsia="Courier New" w:cs="Courier New"/>
          <w:sz w:val="18"/>
          <w:szCs w:val="18"/>
        </w:rPr>
        <w:t>simulated</w:t>
      </w:r>
      <w:r>
        <w:t xml:space="preserve"> block names the simulator and what it stands in for. A verifier refuses any lot, board or device check that reads a simulated record unless the policy sets </w:t>
      </w:r>
      <w:r>
        <w:rPr>
          <w:rFonts w:ascii="Courier New" w:hAnsi="Courier New" w:eastAsia="Courier New" w:cs="Courier New"/>
          <w:sz w:val="18"/>
          <w:szCs w:val="18"/>
        </w:rPr>
        <w:t>simulated.accept</w:t>
      </w:r>
      <w:r>
        <w:t xml:space="preserve">, and every VSA over such records then states </w:t>
      </w:r>
      <w:r>
        <w:rPr>
          <w:rFonts w:ascii="Courier New" w:hAnsi="Courier New" w:eastAsia="Courier New" w:cs="Courier New"/>
          <w:sz w:val="18"/>
          <w:szCs w:val="18"/>
        </w:rPr>
        <w:t>HSLSA_SIMULATED</w:t>
      </w:r>
      <w:r>
        <w:t>. This mark is the signer’s statement like any other field; its purpose is that the tool cannot produce simulated records indistinguishable from real ones, for example when a supplier rehearses with its enrolled key.</w:t>
      </w:r>
    </w:p>
    <w:p w14:paraId="457CACF7">
      <w:pPr>
        <w:pStyle w:val="3"/>
      </w:pPr>
      <w:r>
        <w:rPr>
          <w:i/>
          <w:iCs/>
        </w:rPr>
        <w:t>D. Withheld fields</w:t>
      </w:r>
    </w:p>
    <w:p w14:paraId="65B78FE6">
      <w:pPr>
        <w:keepNext w:val="0"/>
        <w:spacing w:after="0" w:line="240" w:lineRule="auto"/>
        <w:ind w:firstLine="202"/>
        <w:jc w:val="both"/>
      </w:pPr>
      <w:r>
        <w:t xml:space="preserve">A producer withholds a field by removing it before signing and listing, in the record, its JSON Pointer [35] and the SHA-256 of a </w:t>
      </w:r>
      <w:r>
        <w:rPr>
          <w:i/>
          <w:iCs/>
        </w:rPr>
        <w:t>disclosure</w:t>
      </w:r>
      <w:r>
        <w:t xml:space="preserve">: the base64url encoding of </w:t>
      </w:r>
      <w:r>
        <w:rPr>
          <w:rFonts w:ascii="Courier New" w:hAnsi="Courier New" w:eastAsia="Courier New" w:cs="Courier New"/>
          <w:sz w:val="18"/>
          <w:szCs w:val="18"/>
        </w:rPr>
        <w:t>[salt, path, value]</w:t>
      </w:r>
      <w:r>
        <w:t xml:space="preserve"> with a fresh salt of at least 128 bits, as in SD-JWT [36]. The producer signs once and gives each disclosure only to whoever may see the value. Fields that link records and report gate results (dependencies, builder, step, design reference, checks, proxy and evidence blocks, and in design records the tools, isolation, network and reproducibility blocks) cannot be withheld, so anyone holding the records can still check every signature, link and gate without a disclosure. Data files that are named by digest but not handed out (wafer maps, genealogy, test results) carry their own salt, because a predictable file’s digest confirms a guess.</w:t>
      </w:r>
    </w:p>
    <w:p w14:paraId="788F769E">
      <w:pPr>
        <w:pStyle w:val="3"/>
      </w:pPr>
      <w:r>
        <w:rPr>
          <w:i/>
          <w:iCs/>
        </w:rPr>
        <w:t>E. Verifier escrow and per-unit commitments</w:t>
      </w:r>
    </w:p>
    <w:p w14:paraId="53635F3C">
      <w:pPr>
        <w:keepNext w:val="0"/>
        <w:spacing w:after="0" w:line="240" w:lineRule="auto"/>
        <w:ind w:firstLine="202"/>
        <w:jc w:val="both"/>
      </w:pPr>
      <w:r>
        <w:t xml:space="preserve">Withheld fields hide values, but the records around them still reveal parties, lot ids, timing and, as we measure in Section IX-F, lot sizes. In </w:t>
      </w:r>
      <w:r>
        <w:rPr>
          <w:i/>
          <w:iCs/>
        </w:rPr>
        <w:t>verifier escrow</w:t>
      </w:r>
      <w:r>
        <w:t>, an auditor the buyer enrolls receives the full bundle and disclosures, runs the tapeout and lot receipt checks under the buyer’s policy for the buyer’s units, and gives the buyer only two VSAs: one for the design and one receipt whose subject is the lot digest over the buyer’s units only. Both name an escrow manifest of everything checked, which the auditor keeps for disputes. Alternatively, without an auditor, final test can commit to its shipped units in a Merkle tree of salted leaves in random order, padded to a power of two, and ship each unit with an inclusion proof; a buyer then checks its own units against the committed root and learns the lot size only to within a power of two.</w:t>
      </w:r>
    </w:p>
    <w:p w14:paraId="2876BE3C">
      <w:pPr>
        <w:pStyle w:val="2"/>
      </w:pPr>
      <w:r>
        <w:rPr>
          <w:smallCaps/>
        </w:rPr>
        <w:t>VIII. Implementation</w:t>
      </w:r>
    </w:p>
    <w:p w14:paraId="0F455060">
      <w:pPr>
        <w:keepNext w:val="0"/>
        <w:spacing w:after="0" w:line="240" w:lineRule="auto"/>
        <w:ind w:firstLine="202"/>
        <w:jc w:val="both"/>
      </w:pPr>
      <w:r>
        <w:t>The reference implementation [33] is a Go command-line tool (about 30,700 lines of non-test Go and 11,200 lines of tests at the evaluated commit) released under Apache-2.0, with the specification under CC-BY-4.0. It signs every record as a DSSE envelope with a local ECDSA P-256 key or a key in an HSM via PKCS#11, validates every statement with the in-toto attestation library and parses every step predicate as SLSA Provenance v1. It builds and validates HBOMs against a JSON Schema and renders them deterministically as CycloneDX 1.6 and SPDX 3.1-RC1 (the signed HBOM lists each rendering’s digest, and the verifier re-renders and compares byte for byte); runs the tapeout, lot receipt, board receipt, at-boot and after-sale checks; signs and appraises CoRIM reference values; checks S.A.F.E. reports in both their JWS and COSE forms; runs a private RFC 9162 log; implements the proxy, evidence, adapter, disclosure, escrow and commitment mechanisms; and measures what a bundle reveals (</w:t>
      </w:r>
      <w:r>
        <w:rPr>
          <w:rFonts w:ascii="Courier New" w:hAnsi="Courier New" w:eastAsia="Courier New" w:cs="Courier New"/>
          <w:sz w:val="18"/>
          <w:szCs w:val="18"/>
        </w:rPr>
        <w:t>leaks</w:t>
      </w:r>
      <w:r>
        <w:t>). The buyer rules for the lot, board and tapeout checks are also written as Rego policies evaluated by OPA [37], to show that the records can be checked by general-purpose policy engines without the tool. No record is uploaded to a public transparency log; signing keys are generated inside each test run and deleted when it ends.</w:t>
      </w:r>
    </w:p>
    <w:p w14:paraId="47F4F19B">
      <w:pPr>
        <w:keepNext w:val="0"/>
        <w:spacing w:after="0" w:line="240" w:lineRule="auto"/>
        <w:ind w:firstLine="202"/>
        <w:jc w:val="both"/>
      </w:pPr>
      <w:r>
        <w:rPr>
          <w:b/>
          <w:bCs/>
        </w:rPr>
        <w:t>Examples.</w:t>
      </w:r>
      <w:r>
        <w:t xml:space="preserve"> Five examples run in CI and exercise the specification end to end (Table III). Each signs every record, checks the chain as a buyer would, hands the VSAs to the official slsa-verifier [38], and runs tests that must accept correct records and tests that forge or break a link and must fail for the stated reason.</w:t>
      </w:r>
    </w:p>
    <w:p w14:paraId="73DA853B">
      <w:pPr>
        <w:sectPr>
          <w:type w:val="continuous"/>
          <w:pgSz w:w="12240" w:h="15840"/>
          <w:pgMar w:top="1080" w:right="900" w:bottom="1440" w:left="900" w:header="708" w:footer="708" w:gutter="0"/>
          <w:cols w:space="360" w:num="2"/>
          <w:docGrid w:linePitch="360" w:charSpace="0"/>
        </w:sectPr>
      </w:pPr>
    </w:p>
    <w:p w14:paraId="381C1002">
      <w:pPr>
        <w:keepNext/>
        <w:spacing w:before="160" w:after="0"/>
        <w:jc w:val="center"/>
      </w:pPr>
      <w:r>
        <w:rPr>
          <w:smallCaps/>
          <w:sz w:val="16"/>
          <w:szCs w:val="16"/>
        </w:rPr>
        <w:t>Table III</w:t>
      </w:r>
    </w:p>
    <w:p w14:paraId="2A0884CC">
      <w:pPr>
        <w:keepNext/>
        <w:spacing w:after="80"/>
        <w:jc w:val="center"/>
      </w:pPr>
      <w:r>
        <w:rPr>
          <w:smallCaps/>
          <w:sz w:val="16"/>
          <w:szCs w:val="16"/>
        </w:rPr>
        <w:t>Worked examples and the levels each verifies. All manufacturing, assembly and provisioning data is simulated and marked as such; design flows and firmware builds are real runs of real tools.</w:t>
      </w:r>
    </w:p>
    <w:tbl>
      <w:tblPr>
        <w:tblStyle w:val="9"/>
        <w:tblW w:w="104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900"/>
        <w:gridCol w:w="6240"/>
        <w:gridCol w:w="2300"/>
      </w:tblGrid>
      <w:tr w14:paraId="4ABC3C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900" w:type="dxa"/>
            <w:tcBorders>
              <w:top w:val="single" w:color="000000" w:sz="8" w:space="0"/>
              <w:left w:val="nil"/>
              <w:bottom w:val="single" w:color="000000" w:sz="4" w:space="0"/>
              <w:right w:val="nil"/>
            </w:tcBorders>
            <w:tcMar>
              <w:top w:w="30" w:type="dxa"/>
              <w:left w:w="70" w:type="dxa"/>
              <w:bottom w:w="30" w:type="dxa"/>
              <w:right w:w="70" w:type="dxa"/>
            </w:tcMar>
          </w:tcPr>
          <w:p w14:paraId="4F8D5BCD">
            <w:pPr>
              <w:spacing w:after="0" w:line="220" w:lineRule="auto"/>
              <w:jc w:val="left"/>
            </w:pPr>
            <w:r>
              <w:rPr>
                <w:b/>
                <w:bCs/>
                <w:sz w:val="15"/>
                <w:szCs w:val="15"/>
              </w:rPr>
              <w:t>Example</w:t>
            </w:r>
          </w:p>
        </w:tc>
        <w:tc>
          <w:tcPr>
            <w:tcW w:w="6240" w:type="dxa"/>
            <w:tcBorders>
              <w:top w:val="single" w:color="000000" w:sz="8" w:space="0"/>
              <w:left w:val="nil"/>
              <w:bottom w:val="single" w:color="000000" w:sz="4" w:space="0"/>
              <w:right w:val="nil"/>
            </w:tcBorders>
            <w:tcMar>
              <w:top w:w="30" w:type="dxa"/>
              <w:left w:w="70" w:type="dxa"/>
              <w:bottom w:w="30" w:type="dxa"/>
              <w:right w:w="70" w:type="dxa"/>
            </w:tcMar>
          </w:tcPr>
          <w:p w14:paraId="4AC2A46A">
            <w:pPr>
              <w:spacing w:after="0" w:line="220" w:lineRule="auto"/>
              <w:jc w:val="left"/>
            </w:pPr>
            <w:r>
              <w:rPr>
                <w:b/>
                <w:bCs/>
                <w:sz w:val="15"/>
                <w:szCs w:val="15"/>
              </w:rPr>
              <w:t>What runs for real, and what is simulated</w:t>
            </w:r>
          </w:p>
        </w:tc>
        <w:tc>
          <w:tcPr>
            <w:tcW w:w="2300" w:type="dxa"/>
            <w:tcBorders>
              <w:top w:val="single" w:color="000000" w:sz="8" w:space="0"/>
              <w:left w:val="nil"/>
              <w:bottom w:val="single" w:color="000000" w:sz="4" w:space="0"/>
              <w:right w:val="nil"/>
            </w:tcBorders>
            <w:tcMar>
              <w:top w:w="30" w:type="dxa"/>
              <w:left w:w="70" w:type="dxa"/>
              <w:bottom w:w="30" w:type="dxa"/>
              <w:right w:w="70" w:type="dxa"/>
            </w:tcMar>
          </w:tcPr>
          <w:p w14:paraId="77E0E7C1">
            <w:pPr>
              <w:spacing w:after="0" w:line="220" w:lineRule="auto"/>
              <w:jc w:val="left"/>
            </w:pPr>
            <w:r>
              <w:rPr>
                <w:b/>
                <w:bCs/>
                <w:sz w:val="15"/>
                <w:szCs w:val="15"/>
              </w:rPr>
              <w:t>Levels verified</w:t>
            </w:r>
          </w:p>
        </w:tc>
      </w:tr>
      <w:tr w14:paraId="25252E5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dxa"/>
            <w:tcBorders>
              <w:top w:val="nil"/>
              <w:left w:val="nil"/>
              <w:bottom w:val="nil"/>
              <w:right w:val="nil"/>
            </w:tcBorders>
            <w:tcMar>
              <w:top w:w="30" w:type="dxa"/>
              <w:left w:w="70" w:type="dxa"/>
              <w:bottom w:w="30" w:type="dxa"/>
              <w:right w:w="70" w:type="dxa"/>
            </w:tcMar>
          </w:tcPr>
          <w:p w14:paraId="6950EAD9">
            <w:pPr>
              <w:spacing w:after="0" w:line="220" w:lineRule="auto"/>
              <w:jc w:val="left"/>
            </w:pPr>
            <w:r>
              <w:rPr>
                <w:b w:val="0"/>
                <w:bCs w:val="0"/>
                <w:sz w:val="15"/>
                <w:szCs w:val="15"/>
              </w:rPr>
              <w:t>PicoRV32 on SKY130 (chip)</w:t>
            </w:r>
          </w:p>
        </w:tc>
        <w:tc>
          <w:tcPr>
            <w:tcW w:w="6240" w:type="dxa"/>
            <w:tcBorders>
              <w:top w:val="nil"/>
              <w:left w:val="nil"/>
              <w:bottom w:val="nil"/>
              <w:right w:val="nil"/>
            </w:tcBorders>
            <w:tcMar>
              <w:top w:w="30" w:type="dxa"/>
              <w:left w:w="70" w:type="dxa"/>
              <w:bottom w:w="30" w:type="dxa"/>
              <w:right w:w="70" w:type="dxa"/>
            </w:tcMar>
          </w:tcPr>
          <w:p w14:paraId="10DB48CA">
            <w:pPr>
              <w:spacing w:after="0" w:line="220" w:lineRule="auto"/>
              <w:jc w:val="left"/>
            </w:pPr>
            <w:r>
              <w:rPr>
                <w:b w:val="0"/>
                <w:bCs w:val="0"/>
                <w:sz w:val="15"/>
                <w:szCs w:val="15"/>
              </w:rPr>
              <w:t>Real: PicoRV32 [39] at a pinned commit, simulated in Icarus Verilog and synthesized with Yosys (bit-reproducible netlist, standing in for the GDS); SSH-signed git tag, independent review, IP provenance; isolated steps; formal RTL-to-netlist equivalence. Simulated: fab, sort, OSAT and test data (40 units packaged, 37 shipped), or a virtual shuttle that simulates every die gate-level. Variants: proxies, HSM keys (SoftHSM), MES/STDF/E142 exports, escrow, per-unit commitment</w:t>
            </w:r>
          </w:p>
        </w:tc>
        <w:tc>
          <w:tcPr>
            <w:tcW w:w="2300" w:type="dxa"/>
            <w:tcBorders>
              <w:top w:val="nil"/>
              <w:left w:val="nil"/>
              <w:bottom w:val="nil"/>
              <w:right w:val="nil"/>
            </w:tcBorders>
            <w:tcMar>
              <w:top w:w="30" w:type="dxa"/>
              <w:left w:w="70" w:type="dxa"/>
              <w:bottom w:w="30" w:type="dxa"/>
              <w:right w:w="70" w:type="dxa"/>
            </w:tcMar>
          </w:tcPr>
          <w:p w14:paraId="0397104B">
            <w:pPr>
              <w:spacing w:after="0" w:line="220" w:lineRule="auto"/>
              <w:jc w:val="left"/>
            </w:pPr>
            <w:r>
              <w:rPr>
                <w:b w:val="0"/>
                <w:bCs w:val="0"/>
                <w:sz w:val="15"/>
                <w:szCs w:val="15"/>
              </w:rPr>
              <w:t>Design L3; Wafer L2, Package/Test L2; the same lot at Wafer and Package/Test L3 and L4; Design L4; with proxies, Wafer and Package/Test L1</w:t>
            </w:r>
          </w:p>
        </w:tc>
      </w:tr>
      <w:tr w14:paraId="354DDEE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dxa"/>
            <w:tcBorders>
              <w:top w:val="nil"/>
              <w:left w:val="nil"/>
              <w:bottom w:val="nil"/>
              <w:right w:val="nil"/>
            </w:tcBorders>
            <w:tcMar>
              <w:top w:w="30" w:type="dxa"/>
              <w:left w:w="70" w:type="dxa"/>
              <w:bottom w:w="30" w:type="dxa"/>
              <w:right w:w="70" w:type="dxa"/>
            </w:tcMar>
          </w:tcPr>
          <w:p w14:paraId="4CE9F71F">
            <w:pPr>
              <w:spacing w:after="0" w:line="220" w:lineRule="auto"/>
              <w:jc w:val="left"/>
            </w:pPr>
            <w:r>
              <w:rPr>
                <w:b w:val="0"/>
                <w:bCs w:val="0"/>
                <w:sz w:val="15"/>
                <w:szCs w:val="15"/>
              </w:rPr>
              <w:t>Board with the PicoSoC</w:t>
            </w:r>
          </w:p>
        </w:tc>
        <w:tc>
          <w:tcPr>
            <w:tcW w:w="6240" w:type="dxa"/>
            <w:tcBorders>
              <w:top w:val="nil"/>
              <w:left w:val="nil"/>
              <w:bottom w:val="nil"/>
              <w:right w:val="nil"/>
            </w:tcBorders>
            <w:tcMar>
              <w:top w:w="30" w:type="dxa"/>
              <w:left w:w="70" w:type="dxa"/>
              <w:bottom w:w="30" w:type="dxa"/>
              <w:right w:w="70" w:type="dxa"/>
            </w:tcMar>
          </w:tcPr>
          <w:p w14:paraId="60B1CA74">
            <w:pPr>
              <w:spacing w:after="0" w:line="220" w:lineRule="auto"/>
              <w:jc w:val="left"/>
            </w:pPr>
            <w:r>
              <w:rPr>
                <w:b w:val="0"/>
                <w:bCs w:val="0"/>
                <w:sz w:val="15"/>
                <w:szCs w:val="15"/>
              </w:rPr>
              <w:t>Distribution records (typed, or imported from packing lists, certificates of conformance and EPCIS events), A1, board HBOM, part attestations and platform certificates; lab inspection of boards. Simulated: shipments and the EMS line</w:t>
            </w:r>
          </w:p>
        </w:tc>
        <w:tc>
          <w:tcPr>
            <w:tcW w:w="2300" w:type="dxa"/>
            <w:tcBorders>
              <w:top w:val="nil"/>
              <w:left w:val="nil"/>
              <w:bottom w:val="nil"/>
              <w:right w:val="nil"/>
            </w:tcBorders>
            <w:tcMar>
              <w:top w:w="30" w:type="dxa"/>
              <w:left w:w="70" w:type="dxa"/>
              <w:bottom w:w="30" w:type="dxa"/>
              <w:right w:w="70" w:type="dxa"/>
            </w:tcMar>
          </w:tcPr>
          <w:p w14:paraId="290FE5D2">
            <w:pPr>
              <w:spacing w:after="0" w:line="220" w:lineRule="auto"/>
              <w:jc w:val="left"/>
            </w:pPr>
            <w:r>
              <w:rPr>
                <w:b w:val="0"/>
                <w:bCs w:val="0"/>
                <w:sz w:val="15"/>
                <w:szCs w:val="15"/>
              </w:rPr>
              <w:t>Assembly L2, L3 and L4</w:t>
            </w:r>
          </w:p>
        </w:tc>
      </w:tr>
      <w:tr w14:paraId="1A9688C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dxa"/>
            <w:tcBorders>
              <w:top w:val="nil"/>
              <w:left w:val="nil"/>
              <w:bottom w:val="nil"/>
              <w:right w:val="nil"/>
            </w:tcBorders>
            <w:tcMar>
              <w:top w:w="30" w:type="dxa"/>
              <w:left w:w="70" w:type="dxa"/>
              <w:bottom w:w="30" w:type="dxa"/>
              <w:right w:w="70" w:type="dxa"/>
            </w:tcMar>
          </w:tcPr>
          <w:p w14:paraId="075D6AEF">
            <w:pPr>
              <w:spacing w:after="0" w:line="220" w:lineRule="auto"/>
              <w:jc w:val="left"/>
            </w:pPr>
            <w:r>
              <w:rPr>
                <w:b w:val="0"/>
                <w:bCs w:val="0"/>
                <w:sz w:val="15"/>
                <w:szCs w:val="15"/>
              </w:rPr>
              <w:t xml:space="preserve">OpenLane 2 </w:t>
            </w:r>
            <w:r>
              <w:rPr>
                <w:rFonts w:ascii="Courier New" w:hAnsi="Courier New" w:eastAsia="Courier New" w:cs="Courier New"/>
                <w:b w:val="0"/>
                <w:bCs w:val="0"/>
                <w:sz w:val="14"/>
                <w:szCs w:val="14"/>
              </w:rPr>
              <w:t>spm</w:t>
            </w:r>
            <w:r>
              <w:rPr>
                <w:b w:val="0"/>
                <w:bCs w:val="0"/>
                <w:sz w:val="15"/>
                <w:szCs w:val="15"/>
              </w:rPr>
              <w:t xml:space="preserve"> on SKY130</w:t>
            </w:r>
          </w:p>
        </w:tc>
        <w:tc>
          <w:tcPr>
            <w:tcW w:w="6240" w:type="dxa"/>
            <w:tcBorders>
              <w:top w:val="nil"/>
              <w:left w:val="nil"/>
              <w:bottom w:val="nil"/>
              <w:right w:val="nil"/>
            </w:tcBorders>
            <w:tcMar>
              <w:top w:w="30" w:type="dxa"/>
              <w:left w:w="70" w:type="dxa"/>
              <w:bottom w:w="30" w:type="dxa"/>
              <w:right w:w="70" w:type="dxa"/>
            </w:tcMar>
          </w:tcPr>
          <w:p w14:paraId="23126CF1">
            <w:pPr>
              <w:spacing w:after="0" w:line="220" w:lineRule="auto"/>
              <w:jc w:val="left"/>
            </w:pPr>
            <w:r>
              <w:rPr>
                <w:b w:val="0"/>
                <w:bCs w:val="0"/>
                <w:sz w:val="15"/>
                <w:szCs w:val="15"/>
              </w:rPr>
              <w:t>Real: OpenLane 2.3.10 [40] Classic flow (74 tool steps), image and PDK [41] pinned by digest, a script overlay that pins tool dates, a real GDS; a second builder rebuilds bit for bit under its own keys; signoff STA from OpenROAD’s Tcl shell through the EDA Tcl adapter</w:t>
            </w:r>
          </w:p>
        </w:tc>
        <w:tc>
          <w:tcPr>
            <w:tcW w:w="2300" w:type="dxa"/>
            <w:tcBorders>
              <w:top w:val="nil"/>
              <w:left w:val="nil"/>
              <w:bottom w:val="nil"/>
              <w:right w:val="nil"/>
            </w:tcBorders>
            <w:tcMar>
              <w:top w:w="30" w:type="dxa"/>
              <w:left w:w="70" w:type="dxa"/>
              <w:bottom w:w="30" w:type="dxa"/>
              <w:right w:w="70" w:type="dxa"/>
            </w:tcMar>
          </w:tcPr>
          <w:p w14:paraId="0524B384">
            <w:pPr>
              <w:spacing w:after="0" w:line="220" w:lineRule="auto"/>
              <w:jc w:val="left"/>
            </w:pPr>
            <w:r>
              <w:rPr>
                <w:b w:val="0"/>
                <w:bCs w:val="0"/>
                <w:sz w:val="15"/>
                <w:szCs w:val="15"/>
              </w:rPr>
              <w:t>Design L4 rebuild evidence from the same operator, not an L4 claim</w:t>
            </w:r>
          </w:p>
        </w:tc>
      </w:tr>
      <w:tr w14:paraId="608D4CE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dxa"/>
            <w:tcBorders>
              <w:top w:val="nil"/>
              <w:left w:val="nil"/>
              <w:bottom w:val="nil"/>
              <w:right w:val="nil"/>
            </w:tcBorders>
            <w:tcMar>
              <w:top w:w="30" w:type="dxa"/>
              <w:left w:w="70" w:type="dxa"/>
              <w:bottom w:w="30" w:type="dxa"/>
              <w:right w:w="70" w:type="dxa"/>
            </w:tcMar>
          </w:tcPr>
          <w:p w14:paraId="4A7C2BF8">
            <w:pPr>
              <w:spacing w:after="0" w:line="220" w:lineRule="auto"/>
              <w:jc w:val="left"/>
            </w:pPr>
            <w:r>
              <w:rPr>
                <w:b w:val="0"/>
                <w:bCs w:val="0"/>
                <w:sz w:val="15"/>
                <w:szCs w:val="15"/>
              </w:rPr>
              <w:t>FPGA board with a root of trust</w:t>
            </w:r>
          </w:p>
        </w:tc>
        <w:tc>
          <w:tcPr>
            <w:tcW w:w="6240" w:type="dxa"/>
            <w:tcBorders>
              <w:top w:val="nil"/>
              <w:left w:val="nil"/>
              <w:bottom w:val="nil"/>
              <w:right w:val="nil"/>
            </w:tcBorders>
            <w:tcMar>
              <w:top w:w="30" w:type="dxa"/>
              <w:left w:w="70" w:type="dxa"/>
              <w:bottom w:w="30" w:type="dxa"/>
              <w:right w:w="70" w:type="dxa"/>
            </w:tcMar>
          </w:tcPr>
          <w:p w14:paraId="34162B86">
            <w:pPr>
              <w:spacing w:after="0" w:line="220" w:lineRule="auto"/>
              <w:jc w:val="left"/>
            </w:pPr>
            <w:r>
              <w:rPr>
                <w:b w:val="0"/>
                <w:bCs w:val="0"/>
                <w:sz w:val="15"/>
                <w:szCs w:val="15"/>
              </w:rPr>
              <w:t>Real: PicoSoC for a Lattice iCE40UP5K built with Yosys, nextpnr and IceStorm, SoC firmware with a RISC-V GCC, a signed boot manifest and CoRIM. Simulated: the root of trust (a model with its own chip chain and DICE identities), stations, EMS, after-sale sites; the SoC boots in RTL simulation</w:t>
            </w:r>
          </w:p>
        </w:tc>
        <w:tc>
          <w:tcPr>
            <w:tcW w:w="2300" w:type="dxa"/>
            <w:tcBorders>
              <w:top w:val="nil"/>
              <w:left w:val="nil"/>
              <w:bottom w:val="nil"/>
              <w:right w:val="nil"/>
            </w:tcBorders>
            <w:tcMar>
              <w:top w:w="30" w:type="dxa"/>
              <w:left w:w="70" w:type="dxa"/>
              <w:bottom w:w="30" w:type="dxa"/>
              <w:right w:w="70" w:type="dxa"/>
            </w:tcMar>
          </w:tcPr>
          <w:p w14:paraId="0651ABF0">
            <w:pPr>
              <w:spacing w:after="0" w:line="220" w:lineRule="auto"/>
              <w:jc w:val="left"/>
            </w:pPr>
            <w:r>
              <w:rPr>
                <w:b w:val="0"/>
                <w:bCs w:val="0"/>
                <w:sz w:val="15"/>
                <w:szCs w:val="15"/>
              </w:rPr>
              <w:t>Board at Assembly L2 to L4 and Firmware L2 to L4; field update, return, rework and reshipment</w:t>
            </w:r>
          </w:p>
        </w:tc>
      </w:tr>
      <w:tr w14:paraId="06B449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dxa"/>
            <w:tcBorders>
              <w:top w:val="nil"/>
              <w:left w:val="nil"/>
              <w:bottom w:val="single" w:color="000000" w:sz="8" w:space="0"/>
              <w:right w:val="nil"/>
            </w:tcBorders>
            <w:tcMar>
              <w:top w:w="30" w:type="dxa"/>
              <w:left w:w="70" w:type="dxa"/>
              <w:bottom w:w="30" w:type="dxa"/>
              <w:right w:w="70" w:type="dxa"/>
            </w:tcMar>
          </w:tcPr>
          <w:p w14:paraId="4010292D">
            <w:pPr>
              <w:spacing w:after="0" w:line="220" w:lineRule="auto"/>
              <w:jc w:val="left"/>
            </w:pPr>
            <w:r>
              <w:rPr>
                <w:b w:val="0"/>
                <w:bCs w:val="0"/>
                <w:sz w:val="15"/>
                <w:szCs w:val="15"/>
              </w:rPr>
              <w:t>Caliptra</w:t>
            </w:r>
          </w:p>
        </w:tc>
        <w:tc>
          <w:tcPr>
            <w:tcW w:w="6240" w:type="dxa"/>
            <w:tcBorders>
              <w:top w:val="nil"/>
              <w:left w:val="nil"/>
              <w:bottom w:val="single" w:color="000000" w:sz="8" w:space="0"/>
              <w:right w:val="nil"/>
            </w:tcBorders>
            <w:tcMar>
              <w:top w:w="30" w:type="dxa"/>
              <w:left w:w="70" w:type="dxa"/>
              <w:bottom w:w="30" w:type="dxa"/>
              <w:right w:w="70" w:type="dxa"/>
            </w:tcMar>
          </w:tcPr>
          <w:p w14:paraId="71D264F7">
            <w:pPr>
              <w:spacing w:after="0" w:line="220" w:lineRule="auto"/>
              <w:jc w:val="left"/>
            </w:pPr>
            <w:r>
              <w:rPr>
                <w:b w:val="0"/>
                <w:bCs w:val="0"/>
                <w:sz w:val="15"/>
                <w:szCs w:val="15"/>
              </w:rPr>
              <w:t>Real: Caliptra [14] ROM and firmware built with its own builder (ROM equal to the project’s frozen digest), RTL frozen and linted, ROM merged and read back, CoRIM decoded by an independent tool; units boot on Caliptra’s emulator, with real secure-boot refusals of tampered firmware. Simulated: lot data, programming station, review reports</w:t>
            </w:r>
          </w:p>
        </w:tc>
        <w:tc>
          <w:tcPr>
            <w:tcW w:w="2300" w:type="dxa"/>
            <w:tcBorders>
              <w:top w:val="nil"/>
              <w:left w:val="nil"/>
              <w:bottom w:val="single" w:color="000000" w:sz="8" w:space="0"/>
              <w:right w:val="nil"/>
            </w:tcBorders>
            <w:tcMar>
              <w:top w:w="30" w:type="dxa"/>
              <w:left w:w="70" w:type="dxa"/>
              <w:bottom w:w="30" w:type="dxa"/>
              <w:right w:w="70" w:type="dxa"/>
            </w:tcMar>
          </w:tcPr>
          <w:p w14:paraId="7B5B9C93">
            <w:pPr>
              <w:spacing w:after="0" w:line="220" w:lineRule="auto"/>
              <w:jc w:val="left"/>
            </w:pPr>
            <w:r>
              <w:rPr>
                <w:b w:val="0"/>
                <w:bCs w:val="0"/>
                <w:sz w:val="15"/>
                <w:szCs w:val="15"/>
              </w:rPr>
              <w:t>Design L1, Wafer L2, Package/Test L2, Firmware L2</w:t>
            </w:r>
          </w:p>
        </w:tc>
      </w:tr>
    </w:tbl>
    <w:p w14:paraId="7F75EB9E">
      <w:pPr>
        <w:spacing w:after="120"/>
      </w:pPr>
    </w:p>
    <w:p w14:paraId="5CAFE045">
      <w:pPr>
        <w:sectPr>
          <w:type w:val="continuous"/>
          <w:pgSz w:w="12240" w:h="15840"/>
          <w:pgMar w:top="1080" w:right="900" w:bottom="1440" w:left="900" w:header="708" w:footer="708" w:gutter="0"/>
          <w:cols w:space="720" w:num="1"/>
          <w:docGrid w:linePitch="360" w:charSpace="0"/>
        </w:sectPr>
      </w:pPr>
    </w:p>
    <w:p w14:paraId="01C5949B">
      <w:pPr>
        <w:pStyle w:val="2"/>
      </w:pPr>
      <w:r>
        <w:rPr>
          <w:smallCaps/>
        </w:rPr>
        <w:t>IX. Evaluation</w:t>
      </w:r>
    </w:p>
    <w:p w14:paraId="006F20B4">
      <w:pPr>
        <w:keepNext w:val="0"/>
        <w:spacing w:after="0" w:line="240" w:lineRule="auto"/>
        <w:ind w:firstLine="202"/>
        <w:jc w:val="both"/>
      </w:pPr>
      <w:r>
        <w:t xml:space="preserve">We ask five questions. </w:t>
      </w:r>
      <w:r>
        <w:rPr>
          <w:b/>
          <w:bCs/>
        </w:rPr>
        <w:t>RQ1</w:t>
      </w:r>
      <w:r>
        <w:t xml:space="preserve">: can the record model express the whole chain at every level? </w:t>
      </w:r>
      <w:r>
        <w:rPr>
          <w:b/>
          <w:bCs/>
        </w:rPr>
        <w:t>RQ2</w:t>
      </w:r>
      <w:r>
        <w:t xml:space="preserve">: do the checks refuse record-level attacks and accept correct records? </w:t>
      </w:r>
      <w:r>
        <w:rPr>
          <w:b/>
          <w:bCs/>
        </w:rPr>
        <w:t>RQ3</w:t>
      </w:r>
      <w:r>
        <w:t xml:space="preserve">: what do records and checks cost? </w:t>
      </w:r>
      <w:r>
        <w:rPr>
          <w:b/>
          <w:bCs/>
        </w:rPr>
        <w:t>RQ4</w:t>
      </w:r>
      <w:r>
        <w:t xml:space="preserve">: are the L4 rebuilds achievable on real open-source flows? </w:t>
      </w:r>
      <w:r>
        <w:rPr>
          <w:b/>
          <w:bCs/>
        </w:rPr>
        <w:t>RQ5</w:t>
      </w:r>
      <w:r>
        <w:t xml:space="preserve">: what do signed records reveal, and do the confidentiality mechanisms help? We also report interoperability with unmodified tooling. Measurements were taken on 2026-10-09 at commit </w:t>
      </w:r>
      <w:r>
        <w:rPr>
          <w:rFonts w:ascii="Courier New" w:hAnsi="Courier New" w:eastAsia="Courier New" w:cs="Courier New"/>
          <w:sz w:val="18"/>
          <w:szCs w:val="18"/>
        </w:rPr>
        <w:t>62b2b11</w:t>
      </w:r>
      <w:r>
        <w:t xml:space="preserve"> on a cloud virtual machine with four vCPUs of an Intel Xeon at 2.8 GHz and 15 GB of memory, Ubuntu 24.04, Go 1.25, Yosys 0.33 and Icarus Verilog 12, unless stated otherwise.</w:t>
      </w:r>
    </w:p>
    <w:p w14:paraId="010D8BEB">
      <w:pPr>
        <w:pStyle w:val="3"/>
      </w:pPr>
      <w:r>
        <w:rPr>
          <w:i/>
          <w:iCs/>
        </w:rPr>
        <w:t>A. RQ1: Expressiveness</w:t>
      </w:r>
    </w:p>
    <w:p w14:paraId="196EAC54">
      <w:pPr>
        <w:keepNext w:val="0"/>
        <w:spacing w:after="0" w:line="240" w:lineRule="auto"/>
        <w:ind w:firstLine="202"/>
        <w:jc w:val="both"/>
      </w:pPr>
      <w:r>
        <w:t>Table III shows that every track reaches L2, L3 and L4 in at least one example under the reference checks, with simulated manufacturing evidence and with L4 second parties that are independent only by enrollment: Design L4 (PicoRV32, with a bit-exact rebuild and two reviewers), Wafer and Package/Test L4 (the PicoRV32 lot and the FPGA board’s root-of-trust lot, with seeded inspections), Assembly L4 (both boards) and Firmware L4 (the FPGA board, with bit-exact rebuilds of both firmware images and the bitstream and two approvals per release). The FPGA example also exercises the board-level root-of-trust rule and after-sale records, and the Caliptra example exercises the at-boot check on a device with a real secure-boot ROM and DICE identity chain. The record shapes needed for these runs are all defined in the specification, and the specification and the tool are kept in step: where they disagree, the disagreement is treated as a bug in one of them.</w:t>
      </w:r>
    </w:p>
    <w:p w14:paraId="3F4E5B84">
      <w:pPr>
        <w:pStyle w:val="3"/>
      </w:pPr>
      <w:r>
        <w:rPr>
          <w:i/>
          <w:iCs/>
        </w:rPr>
        <w:t>B. RQ2: Checks under attack</w:t>
      </w:r>
    </w:p>
    <w:p w14:paraId="48533532">
      <w:pPr>
        <w:keepNext w:val="0"/>
        <w:spacing w:after="0" w:line="240" w:lineRule="auto"/>
        <w:ind w:firstLine="202"/>
        <w:jc w:val="both"/>
      </w:pPr>
      <w:r>
        <w:t xml:space="preserve">The record-level attacks a buyer’s check must stop are those of adversaries A1, A2 and A3 in Section III: altered files and records, forged records, records signed by the wrong party, broken or skipped links, and validly signed lies that a check can contradict. The Go test suite exercises each check both ways: tests whose names end in </w:t>
      </w:r>
      <w:r>
        <w:rPr>
          <w:i/>
          <w:iCs/>
        </w:rPr>
        <w:t>Passes</w:t>
      </w:r>
      <w:r>
        <w:t xml:space="preserve">, </w:t>
      </w:r>
      <w:r>
        <w:rPr>
          <w:i/>
          <w:iCs/>
        </w:rPr>
        <w:t>Accepts</w:t>
      </w:r>
      <w:r>
        <w:t xml:space="preserve">, </w:t>
      </w:r>
      <w:r>
        <w:rPr>
          <w:i/>
          <w:iCs/>
        </w:rPr>
        <w:t>Verifies</w:t>
      </w:r>
      <w:r>
        <w:t xml:space="preserve"> or </w:t>
      </w:r>
      <w:r>
        <w:rPr>
          <w:i/>
          <w:iCs/>
        </w:rPr>
        <w:t>Reproduces</w:t>
      </w:r>
      <w:r>
        <w:t xml:space="preserve"> hand the check valid records and require acceptance; most of the rest forge or break a record and require a refusal for a stated reason. A test fixture re-signs bundles with test keys, so it can also produce validly signed lies, as an insider at one site could. In our run, 590 test cases passed and none failed; 51 of them hand a check valid records and require acceptance, and most of the other 539 change one record and require a refusal for a stated reason (a few test parsers and renderers). A further 76 cases were skipped: 74 read bundles from the FPGA board and Caliptra examples, which that run did not have, and 2 need a Tcl shell; Section IX-D reports what happened to them. Examples of what is refused include: files swapped after signing (netlist, source archive, wafer maps, genealogy); a unit added to a shipped lot; a received unit scrapped at final test; a release signed by the flow platform instead of the tapeout authority; a validly signed tag that points at another commit; a source archive that is not the tagged tree, re-signed by the flow platform; a review by the commit’s author; a transfer signed by the receiving site; a packing list that swaps a unit; a failed gate; an unapproved tool; a packaging record that names another design; a yield record that hides a failed unit; an HBOM that claims a higher level than verified; and an edited or misplaced HBOM rendering.</w:t>
      </w:r>
    </w:p>
    <w:p w14:paraId="78A57B64">
      <w:pPr>
        <w:keepNext w:val="0"/>
        <w:spacing w:after="0" w:line="240" w:lineRule="auto"/>
        <w:ind w:firstLine="202"/>
        <w:jc w:val="both"/>
      </w:pPr>
      <w:r>
        <w:t>At L3 and L4 the end-to-end scripts additionally require refusals of: a cloned part carrying a genuine certificate (it cannot sign the challenge); received units listed by serial rather than challenged; a trust root without enrollments; site keys held in files; sites accredited under schemes the policy does not list; a copy of a part the lab destroyed; an inspection by the test house’s own lab; a rebuild by the design house itself; an inspection by an unaccredited lab; and a lot sealed without the lab’s commitment. The Caliptra example checks that the device’s own ROM refuses a runtime image with one bit flipped and a unit fused for another vendor key. None of these tests exercises a physical attack, because all physical data is simulated.</w:t>
      </w:r>
    </w:p>
    <w:p w14:paraId="79B941AA">
      <w:pPr>
        <w:pStyle w:val="3"/>
      </w:pPr>
      <w:r>
        <w:rPr>
          <w:i/>
          <w:iCs/>
        </w:rPr>
        <w:t>C. RQ3: Cost</w:t>
      </w:r>
    </w:p>
    <w:p w14:paraId="2A7138D4">
      <w:pPr>
        <w:keepNext w:val="0"/>
        <w:spacing w:after="0" w:line="240" w:lineRule="auto"/>
        <w:ind w:firstLine="202"/>
        <w:jc w:val="both"/>
      </w:pPr>
      <w:r>
        <w:t>Table IV reports the size of the PicoRV32 bundles and the time of the buyer’s tapeout and lot receipt checks together, as the median of ten runs of the tool, including process start-up, schema compilation and the re-rendering of both HBOM renderings. The signed records themselves are small: 15 envelopes totalling 40.6 KB at L2 and 20 envelopes totalling 58.5 KB at L4. Most of the bundle is design data that a buyer would hold anyway (the 611 KB gate-level netlist, the equivalence log and the source archive). The checks take about a quarter of a second, and moving from L2 to L4 adds the identity challenges of three received parts, the rebuild and the inspection record at little extra cost. The board example’s full produce-and-verify run took 0.7 s.</w:t>
      </w:r>
    </w:p>
    <w:p w14:paraId="285EF227">
      <w:pPr>
        <w:keepNext/>
        <w:spacing w:before="160" w:after="0"/>
        <w:jc w:val="center"/>
      </w:pPr>
      <w:r>
        <w:rPr>
          <w:smallCaps/>
          <w:sz w:val="16"/>
          <w:szCs w:val="16"/>
        </w:rPr>
        <w:t>Table IV</w:t>
      </w:r>
    </w:p>
    <w:p w14:paraId="7BC4060F">
      <w:pPr>
        <w:keepNext/>
        <w:spacing w:after="80"/>
        <w:jc w:val="center"/>
      </w:pPr>
      <w:r>
        <w:rPr>
          <w:smallCaps/>
          <w:sz w:val="16"/>
          <w:szCs w:val="16"/>
        </w:rPr>
        <w:t>Bundle size and buyer check time for the PicoRV32 chip lot (37 shipped units, 3 received). Check time is the median of 10 runs of the tapeout and lot receipt checks together.</w:t>
      </w:r>
    </w:p>
    <w:tbl>
      <w:tblPr>
        <w:tblStyle w:val="9"/>
        <w:tblW w:w="50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840"/>
        <w:gridCol w:w="800"/>
        <w:gridCol w:w="800"/>
        <w:gridCol w:w="800"/>
        <w:gridCol w:w="800"/>
      </w:tblGrid>
      <w:tr w14:paraId="4145924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840" w:type="dxa"/>
            <w:tcBorders>
              <w:top w:val="single" w:color="000000" w:sz="8" w:space="0"/>
              <w:left w:val="nil"/>
              <w:bottom w:val="single" w:color="000000" w:sz="4" w:space="0"/>
              <w:right w:val="nil"/>
            </w:tcBorders>
            <w:tcMar>
              <w:top w:w="30" w:type="dxa"/>
              <w:left w:w="70" w:type="dxa"/>
              <w:bottom w:w="30" w:type="dxa"/>
              <w:right w:w="70" w:type="dxa"/>
            </w:tcMar>
          </w:tcPr>
          <w:p w14:paraId="738A8F05">
            <w:pPr>
              <w:spacing w:after="0" w:line="220" w:lineRule="auto"/>
              <w:jc w:val="left"/>
            </w:pPr>
            <w:r>
              <w:rPr>
                <w:b/>
                <w:bCs/>
                <w:sz w:val="15"/>
                <w:szCs w:val="15"/>
              </w:rPr>
              <w:t>Levels</w:t>
            </w:r>
          </w:p>
        </w:tc>
        <w:tc>
          <w:tcPr>
            <w:tcW w:w="800" w:type="dxa"/>
            <w:tcBorders>
              <w:top w:val="single" w:color="000000" w:sz="8" w:space="0"/>
              <w:left w:val="nil"/>
              <w:bottom w:val="single" w:color="000000" w:sz="4" w:space="0"/>
              <w:right w:val="nil"/>
            </w:tcBorders>
            <w:tcMar>
              <w:top w:w="30" w:type="dxa"/>
              <w:left w:w="70" w:type="dxa"/>
              <w:bottom w:w="30" w:type="dxa"/>
              <w:right w:w="70" w:type="dxa"/>
            </w:tcMar>
          </w:tcPr>
          <w:p w14:paraId="224B7E56">
            <w:pPr>
              <w:spacing w:after="0" w:line="220" w:lineRule="auto"/>
              <w:jc w:val="right"/>
            </w:pPr>
            <w:r>
              <w:rPr>
                <w:b/>
                <w:bCs/>
                <w:sz w:val="15"/>
                <w:szCs w:val="15"/>
              </w:rPr>
              <w:t>Envelopes</w:t>
            </w:r>
          </w:p>
        </w:tc>
        <w:tc>
          <w:tcPr>
            <w:tcW w:w="800" w:type="dxa"/>
            <w:tcBorders>
              <w:top w:val="single" w:color="000000" w:sz="8" w:space="0"/>
              <w:left w:val="nil"/>
              <w:bottom w:val="single" w:color="000000" w:sz="4" w:space="0"/>
              <w:right w:val="nil"/>
            </w:tcBorders>
            <w:tcMar>
              <w:top w:w="30" w:type="dxa"/>
              <w:left w:w="70" w:type="dxa"/>
              <w:bottom w:w="30" w:type="dxa"/>
              <w:right w:w="70" w:type="dxa"/>
            </w:tcMar>
          </w:tcPr>
          <w:p w14:paraId="15F2AF4C">
            <w:pPr>
              <w:spacing w:after="0" w:line="220" w:lineRule="auto"/>
              <w:jc w:val="right"/>
            </w:pPr>
            <w:r>
              <w:rPr>
                <w:b/>
                <w:bCs/>
                <w:sz w:val="15"/>
                <w:szCs w:val="15"/>
              </w:rPr>
              <w:t>Envelope KB</w:t>
            </w:r>
          </w:p>
        </w:tc>
        <w:tc>
          <w:tcPr>
            <w:tcW w:w="800" w:type="dxa"/>
            <w:tcBorders>
              <w:top w:val="single" w:color="000000" w:sz="8" w:space="0"/>
              <w:left w:val="nil"/>
              <w:bottom w:val="single" w:color="000000" w:sz="4" w:space="0"/>
              <w:right w:val="nil"/>
            </w:tcBorders>
            <w:tcMar>
              <w:top w:w="30" w:type="dxa"/>
              <w:left w:w="70" w:type="dxa"/>
              <w:bottom w:w="30" w:type="dxa"/>
              <w:right w:w="70" w:type="dxa"/>
            </w:tcMar>
          </w:tcPr>
          <w:p w14:paraId="789411FE">
            <w:pPr>
              <w:spacing w:after="0" w:line="220" w:lineRule="auto"/>
              <w:jc w:val="right"/>
            </w:pPr>
            <w:r>
              <w:rPr>
                <w:b/>
                <w:bCs/>
                <w:sz w:val="15"/>
                <w:szCs w:val="15"/>
              </w:rPr>
              <w:t>Bundle KB</w:t>
            </w:r>
          </w:p>
        </w:tc>
        <w:tc>
          <w:tcPr>
            <w:tcW w:w="800" w:type="dxa"/>
            <w:tcBorders>
              <w:top w:val="single" w:color="000000" w:sz="8" w:space="0"/>
              <w:left w:val="nil"/>
              <w:bottom w:val="single" w:color="000000" w:sz="4" w:space="0"/>
              <w:right w:val="nil"/>
            </w:tcBorders>
            <w:tcMar>
              <w:top w:w="30" w:type="dxa"/>
              <w:left w:w="70" w:type="dxa"/>
              <w:bottom w:w="30" w:type="dxa"/>
              <w:right w:w="70" w:type="dxa"/>
            </w:tcMar>
          </w:tcPr>
          <w:p w14:paraId="51E6F769">
            <w:pPr>
              <w:spacing w:after="0" w:line="220" w:lineRule="auto"/>
              <w:jc w:val="right"/>
            </w:pPr>
            <w:r>
              <w:rPr>
                <w:b/>
                <w:bCs/>
                <w:sz w:val="15"/>
                <w:szCs w:val="15"/>
              </w:rPr>
              <w:t>Check ms</w:t>
            </w:r>
          </w:p>
        </w:tc>
      </w:tr>
      <w:tr w14:paraId="00D951A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840" w:type="dxa"/>
            <w:tcBorders>
              <w:top w:val="nil"/>
              <w:left w:val="nil"/>
              <w:bottom w:val="nil"/>
              <w:right w:val="nil"/>
            </w:tcBorders>
            <w:tcMar>
              <w:top w:w="30" w:type="dxa"/>
              <w:left w:w="70" w:type="dxa"/>
              <w:bottom w:w="30" w:type="dxa"/>
              <w:right w:w="70" w:type="dxa"/>
            </w:tcMar>
          </w:tcPr>
          <w:p w14:paraId="7B1F72B8">
            <w:pPr>
              <w:spacing w:after="0" w:line="220" w:lineRule="auto"/>
              <w:jc w:val="left"/>
            </w:pPr>
            <w:r>
              <w:rPr>
                <w:b w:val="0"/>
                <w:bCs w:val="0"/>
                <w:sz w:val="15"/>
                <w:szCs w:val="15"/>
              </w:rPr>
              <w:t>Design L3, Wafer/PT L2</w:t>
            </w:r>
          </w:p>
        </w:tc>
        <w:tc>
          <w:tcPr>
            <w:tcW w:w="800" w:type="dxa"/>
            <w:tcBorders>
              <w:top w:val="nil"/>
              <w:left w:val="nil"/>
              <w:bottom w:val="nil"/>
              <w:right w:val="nil"/>
            </w:tcBorders>
            <w:tcMar>
              <w:top w:w="30" w:type="dxa"/>
              <w:left w:w="70" w:type="dxa"/>
              <w:bottom w:w="30" w:type="dxa"/>
              <w:right w:w="70" w:type="dxa"/>
            </w:tcMar>
          </w:tcPr>
          <w:p w14:paraId="73CC13AF">
            <w:pPr>
              <w:spacing w:after="0" w:line="220" w:lineRule="auto"/>
              <w:jc w:val="right"/>
            </w:pPr>
            <w:r>
              <w:rPr>
                <w:b w:val="0"/>
                <w:bCs w:val="0"/>
                <w:sz w:val="15"/>
                <w:szCs w:val="15"/>
              </w:rPr>
              <w:t>15</w:t>
            </w:r>
          </w:p>
        </w:tc>
        <w:tc>
          <w:tcPr>
            <w:tcW w:w="800" w:type="dxa"/>
            <w:tcBorders>
              <w:top w:val="nil"/>
              <w:left w:val="nil"/>
              <w:bottom w:val="nil"/>
              <w:right w:val="nil"/>
            </w:tcBorders>
            <w:tcMar>
              <w:top w:w="30" w:type="dxa"/>
              <w:left w:w="70" w:type="dxa"/>
              <w:bottom w:w="30" w:type="dxa"/>
              <w:right w:w="70" w:type="dxa"/>
            </w:tcMar>
          </w:tcPr>
          <w:p w14:paraId="47A96FD5">
            <w:pPr>
              <w:spacing w:after="0" w:line="220" w:lineRule="auto"/>
              <w:jc w:val="right"/>
            </w:pPr>
            <w:r>
              <w:rPr>
                <w:b w:val="0"/>
                <w:bCs w:val="0"/>
                <w:sz w:val="15"/>
                <w:szCs w:val="15"/>
              </w:rPr>
              <w:t>40.6</w:t>
            </w:r>
          </w:p>
        </w:tc>
        <w:tc>
          <w:tcPr>
            <w:tcW w:w="800" w:type="dxa"/>
            <w:tcBorders>
              <w:top w:val="nil"/>
              <w:left w:val="nil"/>
              <w:bottom w:val="nil"/>
              <w:right w:val="nil"/>
            </w:tcBorders>
            <w:tcMar>
              <w:top w:w="30" w:type="dxa"/>
              <w:left w:w="70" w:type="dxa"/>
              <w:bottom w:w="30" w:type="dxa"/>
              <w:right w:w="70" w:type="dxa"/>
            </w:tcMar>
          </w:tcPr>
          <w:p w14:paraId="345F4BCA">
            <w:pPr>
              <w:spacing w:after="0" w:line="220" w:lineRule="auto"/>
              <w:jc w:val="right"/>
            </w:pPr>
            <w:r>
              <w:rPr>
                <w:b w:val="0"/>
                <w:bCs w:val="0"/>
                <w:sz w:val="15"/>
                <w:szCs w:val="15"/>
              </w:rPr>
              <w:t>985</w:t>
            </w:r>
          </w:p>
        </w:tc>
        <w:tc>
          <w:tcPr>
            <w:tcW w:w="800" w:type="dxa"/>
            <w:tcBorders>
              <w:top w:val="nil"/>
              <w:left w:val="nil"/>
              <w:bottom w:val="nil"/>
              <w:right w:val="nil"/>
            </w:tcBorders>
            <w:tcMar>
              <w:top w:w="30" w:type="dxa"/>
              <w:left w:w="70" w:type="dxa"/>
              <w:bottom w:w="30" w:type="dxa"/>
              <w:right w:w="70" w:type="dxa"/>
            </w:tcMar>
          </w:tcPr>
          <w:p w14:paraId="001FE0B7">
            <w:pPr>
              <w:spacing w:after="0" w:line="220" w:lineRule="auto"/>
              <w:jc w:val="right"/>
            </w:pPr>
            <w:r>
              <w:rPr>
                <w:b w:val="0"/>
                <w:bCs w:val="0"/>
                <w:sz w:val="15"/>
                <w:szCs w:val="15"/>
              </w:rPr>
              <w:t>248</w:t>
            </w:r>
          </w:p>
        </w:tc>
      </w:tr>
      <w:tr w14:paraId="183AB18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840" w:type="dxa"/>
            <w:tcBorders>
              <w:top w:val="nil"/>
              <w:left w:val="nil"/>
              <w:bottom w:val="nil"/>
              <w:right w:val="nil"/>
            </w:tcBorders>
            <w:tcMar>
              <w:top w:w="30" w:type="dxa"/>
              <w:left w:w="70" w:type="dxa"/>
              <w:bottom w:w="30" w:type="dxa"/>
              <w:right w:w="70" w:type="dxa"/>
            </w:tcMar>
          </w:tcPr>
          <w:p w14:paraId="77996211">
            <w:pPr>
              <w:spacing w:after="0" w:line="220" w:lineRule="auto"/>
              <w:jc w:val="left"/>
            </w:pPr>
            <w:r>
              <w:rPr>
                <w:b w:val="0"/>
                <w:bCs w:val="0"/>
                <w:sz w:val="15"/>
                <w:szCs w:val="15"/>
              </w:rPr>
              <w:t>Wafer/PT L3 (3 challenges)</w:t>
            </w:r>
          </w:p>
        </w:tc>
        <w:tc>
          <w:tcPr>
            <w:tcW w:w="800" w:type="dxa"/>
            <w:tcBorders>
              <w:top w:val="nil"/>
              <w:left w:val="nil"/>
              <w:bottom w:val="nil"/>
              <w:right w:val="nil"/>
            </w:tcBorders>
            <w:tcMar>
              <w:top w:w="30" w:type="dxa"/>
              <w:left w:w="70" w:type="dxa"/>
              <w:bottom w:w="30" w:type="dxa"/>
              <w:right w:w="70" w:type="dxa"/>
            </w:tcMar>
          </w:tcPr>
          <w:p w14:paraId="122A26AF">
            <w:pPr>
              <w:spacing w:after="0" w:line="220" w:lineRule="auto"/>
              <w:jc w:val="right"/>
            </w:pPr>
            <w:r>
              <w:rPr>
                <w:b w:val="0"/>
                <w:bCs w:val="0"/>
                <w:sz w:val="15"/>
                <w:szCs w:val="15"/>
              </w:rPr>
              <w:t>16</w:t>
            </w:r>
          </w:p>
        </w:tc>
        <w:tc>
          <w:tcPr>
            <w:tcW w:w="800" w:type="dxa"/>
            <w:tcBorders>
              <w:top w:val="nil"/>
              <w:left w:val="nil"/>
              <w:bottom w:val="nil"/>
              <w:right w:val="nil"/>
            </w:tcBorders>
            <w:tcMar>
              <w:top w:w="30" w:type="dxa"/>
              <w:left w:w="70" w:type="dxa"/>
              <w:bottom w:w="30" w:type="dxa"/>
              <w:right w:w="70" w:type="dxa"/>
            </w:tcMar>
          </w:tcPr>
          <w:p w14:paraId="304816A8">
            <w:pPr>
              <w:spacing w:after="0" w:line="220" w:lineRule="auto"/>
              <w:jc w:val="right"/>
            </w:pPr>
            <w:r>
              <w:rPr>
                <w:b w:val="0"/>
                <w:bCs w:val="0"/>
                <w:sz w:val="15"/>
                <w:szCs w:val="15"/>
              </w:rPr>
              <w:t>44.7</w:t>
            </w:r>
          </w:p>
        </w:tc>
        <w:tc>
          <w:tcPr>
            <w:tcW w:w="800" w:type="dxa"/>
            <w:tcBorders>
              <w:top w:val="nil"/>
              <w:left w:val="nil"/>
              <w:bottom w:val="nil"/>
              <w:right w:val="nil"/>
            </w:tcBorders>
            <w:tcMar>
              <w:top w:w="30" w:type="dxa"/>
              <w:left w:w="70" w:type="dxa"/>
              <w:bottom w:w="30" w:type="dxa"/>
              <w:right w:w="70" w:type="dxa"/>
            </w:tcMar>
          </w:tcPr>
          <w:p w14:paraId="5DB260BA">
            <w:pPr>
              <w:spacing w:after="0" w:line="220" w:lineRule="auto"/>
              <w:jc w:val="right"/>
            </w:pPr>
            <w:r>
              <w:rPr>
                <w:b w:val="0"/>
                <w:bCs w:val="0"/>
                <w:sz w:val="15"/>
                <w:szCs w:val="15"/>
              </w:rPr>
              <w:t>1,047</w:t>
            </w:r>
          </w:p>
        </w:tc>
        <w:tc>
          <w:tcPr>
            <w:tcW w:w="800" w:type="dxa"/>
            <w:tcBorders>
              <w:top w:val="nil"/>
              <w:left w:val="nil"/>
              <w:bottom w:val="nil"/>
              <w:right w:val="nil"/>
            </w:tcBorders>
            <w:tcMar>
              <w:top w:w="30" w:type="dxa"/>
              <w:left w:w="70" w:type="dxa"/>
              <w:bottom w:w="30" w:type="dxa"/>
              <w:right w:w="70" w:type="dxa"/>
            </w:tcMar>
          </w:tcPr>
          <w:p w14:paraId="7306C94C">
            <w:pPr>
              <w:spacing w:after="0" w:line="220" w:lineRule="auto"/>
              <w:jc w:val="right"/>
            </w:pPr>
            <w:r>
              <w:rPr>
                <w:b w:val="0"/>
                <w:bCs w:val="0"/>
                <w:sz w:val="15"/>
                <w:szCs w:val="15"/>
              </w:rPr>
              <w:t>286</w:t>
            </w:r>
          </w:p>
        </w:tc>
      </w:tr>
      <w:tr w14:paraId="7C5DE31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840" w:type="dxa"/>
            <w:tcBorders>
              <w:top w:val="nil"/>
              <w:left w:val="nil"/>
              <w:bottom w:val="single" w:color="000000" w:sz="8" w:space="0"/>
              <w:right w:val="nil"/>
            </w:tcBorders>
            <w:tcMar>
              <w:top w:w="30" w:type="dxa"/>
              <w:left w:w="70" w:type="dxa"/>
              <w:bottom w:w="30" w:type="dxa"/>
              <w:right w:w="70" w:type="dxa"/>
            </w:tcMar>
          </w:tcPr>
          <w:p w14:paraId="17C79E4F">
            <w:pPr>
              <w:spacing w:after="0" w:line="220" w:lineRule="auto"/>
              <w:jc w:val="left"/>
            </w:pPr>
            <w:r>
              <w:rPr>
                <w:b w:val="0"/>
                <w:bCs w:val="0"/>
                <w:sz w:val="15"/>
                <w:szCs w:val="15"/>
              </w:rPr>
              <w:t>Design L4, Wafer/PT L4</w:t>
            </w:r>
          </w:p>
        </w:tc>
        <w:tc>
          <w:tcPr>
            <w:tcW w:w="800" w:type="dxa"/>
            <w:tcBorders>
              <w:top w:val="nil"/>
              <w:left w:val="nil"/>
              <w:bottom w:val="single" w:color="000000" w:sz="8" w:space="0"/>
              <w:right w:val="nil"/>
            </w:tcBorders>
            <w:tcMar>
              <w:top w:w="30" w:type="dxa"/>
              <w:left w:w="70" w:type="dxa"/>
              <w:bottom w:w="30" w:type="dxa"/>
              <w:right w:w="70" w:type="dxa"/>
            </w:tcMar>
          </w:tcPr>
          <w:p w14:paraId="2A7389C3">
            <w:pPr>
              <w:spacing w:after="0" w:line="220" w:lineRule="auto"/>
              <w:jc w:val="right"/>
            </w:pPr>
            <w:r>
              <w:rPr>
                <w:b w:val="0"/>
                <w:bCs w:val="0"/>
                <w:sz w:val="15"/>
                <w:szCs w:val="15"/>
              </w:rPr>
              <w:t>20</w:t>
            </w:r>
          </w:p>
        </w:tc>
        <w:tc>
          <w:tcPr>
            <w:tcW w:w="800" w:type="dxa"/>
            <w:tcBorders>
              <w:top w:val="nil"/>
              <w:left w:val="nil"/>
              <w:bottom w:val="single" w:color="000000" w:sz="8" w:space="0"/>
              <w:right w:val="nil"/>
            </w:tcBorders>
            <w:tcMar>
              <w:top w:w="30" w:type="dxa"/>
              <w:left w:w="70" w:type="dxa"/>
              <w:bottom w:w="30" w:type="dxa"/>
              <w:right w:w="70" w:type="dxa"/>
            </w:tcMar>
          </w:tcPr>
          <w:p w14:paraId="37D82381">
            <w:pPr>
              <w:spacing w:after="0" w:line="220" w:lineRule="auto"/>
              <w:jc w:val="right"/>
            </w:pPr>
            <w:r>
              <w:rPr>
                <w:b w:val="0"/>
                <w:bCs w:val="0"/>
                <w:sz w:val="15"/>
                <w:szCs w:val="15"/>
              </w:rPr>
              <w:t>58.5</w:t>
            </w:r>
          </w:p>
        </w:tc>
        <w:tc>
          <w:tcPr>
            <w:tcW w:w="800" w:type="dxa"/>
            <w:tcBorders>
              <w:top w:val="nil"/>
              <w:left w:val="nil"/>
              <w:bottom w:val="single" w:color="000000" w:sz="8" w:space="0"/>
              <w:right w:val="nil"/>
            </w:tcBorders>
            <w:tcMar>
              <w:top w:w="30" w:type="dxa"/>
              <w:left w:w="70" w:type="dxa"/>
              <w:bottom w:w="30" w:type="dxa"/>
              <w:right w:w="70" w:type="dxa"/>
            </w:tcMar>
          </w:tcPr>
          <w:p w14:paraId="46DB2043">
            <w:pPr>
              <w:spacing w:after="0" w:line="220" w:lineRule="auto"/>
              <w:jc w:val="right"/>
            </w:pPr>
            <w:r>
              <w:rPr>
                <w:b w:val="0"/>
                <w:bCs w:val="0"/>
                <w:sz w:val="15"/>
                <w:szCs w:val="15"/>
              </w:rPr>
              <w:t>1,061</w:t>
            </w:r>
          </w:p>
        </w:tc>
        <w:tc>
          <w:tcPr>
            <w:tcW w:w="800" w:type="dxa"/>
            <w:tcBorders>
              <w:top w:val="nil"/>
              <w:left w:val="nil"/>
              <w:bottom w:val="single" w:color="000000" w:sz="8" w:space="0"/>
              <w:right w:val="nil"/>
            </w:tcBorders>
            <w:tcMar>
              <w:top w:w="30" w:type="dxa"/>
              <w:left w:w="70" w:type="dxa"/>
              <w:bottom w:w="30" w:type="dxa"/>
              <w:right w:w="70" w:type="dxa"/>
            </w:tcMar>
          </w:tcPr>
          <w:p w14:paraId="5928BB13">
            <w:pPr>
              <w:spacing w:after="0" w:line="220" w:lineRule="auto"/>
              <w:jc w:val="right"/>
            </w:pPr>
            <w:r>
              <w:rPr>
                <w:b w:val="0"/>
                <w:bCs w:val="0"/>
                <w:sz w:val="15"/>
                <w:szCs w:val="15"/>
              </w:rPr>
              <w:t>279</w:t>
            </w:r>
          </w:p>
        </w:tc>
      </w:tr>
    </w:tbl>
    <w:p w14:paraId="05650564">
      <w:pPr>
        <w:spacing w:after="120"/>
      </w:pPr>
    </w:p>
    <w:p w14:paraId="6D25D398">
      <w:pPr>
        <w:keepNext w:val="0"/>
        <w:spacing w:after="0" w:line="240" w:lineRule="auto"/>
        <w:ind w:firstLine="202"/>
        <w:jc w:val="both"/>
      </w:pPr>
      <w:r>
        <w:t xml:space="preserve">Producing the records is dominated by the design flow, not by signing: the PicoRV32 </w:t>
      </w:r>
      <w:r>
        <w:rPr>
          <w:i/>
          <w:iCs/>
        </w:rPr>
        <w:t>produce</w:t>
      </w:r>
      <w:r>
        <w:t xml:space="preserve"> stage (simulation, synthesis, equivalence, release, ten parties’ records, the HBOM and its renderings) took 103 s, and the virtual shuttle took 99 s, mostly for gate-level simulation of every die. The most expensive check in the project is not a record check but the at-boot check on the Caliptra RTL: on an Intel i7-11800H laptop with Verilator 5.052 on four threads, one unit reached Caliptra runtime after about 36 million cycles and 1 h 55 min, compared with 8.1 million cycles on the emulator. This is why pull requests boot the emulator and the RTL boot runs on demand.</w:t>
      </w:r>
    </w:p>
    <w:p w14:paraId="5AF9A919">
      <w:pPr>
        <w:pStyle w:val="3"/>
      </w:pPr>
      <w:r>
        <w:rPr>
          <w:i/>
          <w:iCs/>
        </w:rPr>
        <w:t>D. The FPGA board end to end</w:t>
      </w:r>
    </w:p>
    <w:p w14:paraId="63AE3024">
      <w:pPr>
        <w:keepNext w:val="0"/>
        <w:spacing w:after="0" w:line="240" w:lineRule="auto"/>
        <w:ind w:firstLine="202"/>
        <w:jc w:val="both"/>
      </w:pPr>
      <w:r>
        <w:t>The FPGA example is the only one whose chain runs from two designs, the root-of-trust chip and the FPGA board, to a board that boots, so we report it on its own. Producing its records took 154 s, mostly for the two design flows, the firmware builds and the root-of-trust lot. Powering on the two received boards took 29 s: on each, the simulated root of trust checked and released the FPGA image, and the SoC, running in RTL simulation, printed its banner on the UART. The buyer’s check of the board lot, of the root-of-trust lot through its own chain, of the bitstream, the boot manifest, the rule that the root of trust guards the FPGA, the provisioning of all three boards and the boot evidence of the two received boards took a median of 404 ms over ten runs (366 to 455 ms). The bundle holds 42 envelopes totalling 159 KB; of its 15.6 MB, 11.0 MB is design data (the synthesized netlist, the bitstreams and the flash image) and 4.4 MB the root-of-trust part’s own bundle. slsa-verifier verified the design VSA, the board-lot VSA and both per-board VSAs, and rejected a request for Firmware L3, which this bundle does not meet.</w:t>
      </w:r>
    </w:p>
    <w:p w14:paraId="3E21852A">
      <w:pPr>
        <w:keepNext w:val="0"/>
        <w:spacing w:after="0" w:line="240" w:lineRule="auto"/>
        <w:ind w:firstLine="202"/>
        <w:jc w:val="both"/>
      </w:pPr>
      <w:r>
        <w:t>The after-sale stage (32 s) signed a field update for one board and a return, rework and reshipment for the other; both boards booted again and the lot passed with their histories. The check then refused firmware changed with no update record, a board returned and not shipped again, a history with its first record cut and a return signed by the wrong role. The L3 stage (198 s) checked both boards at Assembly L3 and Firmware L3, including a consistency proof of the release log, and refused a flash image missing from the release log, a log the buyer does not read, firmware built with a compiler the policy does not pin, firmware no lab reviewed, boards without boot evidence, a root of trust provisioned at a test house rated below L3, a field update missing from the log, and a log that rewrote a release it had shown. The L4 stage (312 s) had a rebuilder enrolled under another organization rebuild the root-of-trust firmware, the SoC firmware and the bitstream bit for bit, and a lab draw seeded samples of two of the seven root-of-trust units and two of the three boards. The boards then passed at Assembly L4 and Firmware L4, the root-of-trust lot at Wafer and Package/Test L4, and slsa-verifier verified the lot and both per-board VSAs at those levels. The stage refused a flash image only one person approved, SoC firmware nobody else rebuilt, a rebuild by the board owner itself, boards inspected by the EMS’s own lab, and a root of trust provisioned at a test house rated below L4. As everywhere in this paper, the rebuilder, the lab and the approvers ran in the same job as the parties they check.</w:t>
      </w:r>
    </w:p>
    <w:p w14:paraId="7D18D764">
      <w:pPr>
        <w:keepNext w:val="0"/>
        <w:spacing w:after="0" w:line="240" w:lineRule="auto"/>
        <w:ind w:firstLine="202"/>
        <w:jc w:val="both"/>
      </w:pPr>
      <w:r>
        <w:t>With the FPGA bundle present, the 37 test cases of RQ2 that read it all passed, as did the 2 that need a Tcl shell. The other 37 skipped cases read the Caliptra bundle, which needs Caliptra’s builder and emulator; we did not rerun them, but all 37 passed in the project’s Caliptra CI job on the same commit.</w:t>
      </w:r>
    </w:p>
    <w:p w14:paraId="6C06C405">
      <w:pPr>
        <w:pStyle w:val="3"/>
      </w:pPr>
      <w:r>
        <w:rPr>
          <w:i/>
          <w:iCs/>
        </w:rPr>
        <w:t>E. RQ4: Rebuilds on real flows</w:t>
      </w:r>
    </w:p>
    <w:p w14:paraId="7A59B1B7">
      <w:pPr>
        <w:keepNext w:val="0"/>
        <w:spacing w:after="0" w:line="240" w:lineRule="auto"/>
        <w:ind w:firstLine="202"/>
        <w:jc w:val="both"/>
      </w:pPr>
      <w:r>
        <w:t xml:space="preserve">Design L4 depends on a second builder reproducing the release. Because our measurement machine could not download OpenLane’s container image, we ran the example’s CI workflow on GitHub-hosted runners at the evaluated commit on 2026-10-09; the figures from before the date fix below come from the project’s earlier CI runs. For the OpenLane 2 example, two runs on identical inputs initially matched on 157 of 176 step outputs. The other 19, including the final GDS, differed only in dates written by four tools (OpenSTA SDF headers, OpenRCX SPEF headers, Magic and KLayout GDS library and structure dates); placement and routing were already deterministic. After a script overlay, itself pinned as an input of every step, made those tools write </w:t>
      </w:r>
      <w:r>
        <w:rPr>
          <w:rFonts w:ascii="Courier New" w:hAnsi="Courier New" w:eastAsia="Courier New" w:cs="Courier New"/>
          <w:sz w:val="18"/>
          <w:szCs w:val="18"/>
        </w:rPr>
        <w:t>SOURCE_DATE_EPOCH</w:t>
      </w:r>
      <w:r>
        <w:t xml:space="preserve"> or no date, a second builder on a separate runner, with its own keys, trust root and builder id, matched the release on all 176 outputs of all 74 steps, including a byte-identical GDS, and the buyer’s check required </w:t>
      </w:r>
      <w:r>
        <w:rPr>
          <w:rFonts w:ascii="Courier New" w:hAnsi="Courier New" w:eastAsia="Courier New" w:cs="Courier New"/>
          <w:sz w:val="18"/>
          <w:szCs w:val="18"/>
        </w:rPr>
        <w:t>gds-bit-exact</w:t>
      </w:r>
      <w:r>
        <w:t>. On a hosted runner the flow took 71 s and the rebuild with its step-by-step comparison 53 s. Logs and reports still differ, which does not matter because they are byproducts. The PicoRV32 netlist and the FPGA bitstream and firmware images are likewise rebuilt bit for bit in the L4 runs, and the Caliptra ROM built from source equals the digest published by the Caliptra project. These results show that bit-exact rebuilds of open flows are achievable; they do not show it for commercial EDA tools, which we could not run.</w:t>
      </w:r>
    </w:p>
    <w:p w14:paraId="27D2BE0F">
      <w:pPr>
        <w:pStyle w:val="3"/>
      </w:pPr>
      <w:r>
        <w:rPr>
          <w:i/>
          <w:iCs/>
        </w:rPr>
        <w:t>F. RQ5: What signed records reveal</w:t>
      </w:r>
    </w:p>
    <w:p w14:paraId="08948A4B">
      <w:pPr>
        <w:keepNext w:val="0"/>
        <w:spacing w:after="0" w:line="240" w:lineRule="auto"/>
        <w:ind w:firstLine="202"/>
        <w:jc w:val="both"/>
      </w:pPr>
      <w:r>
        <w:t xml:space="preserve">We applied the </w:t>
      </w:r>
      <w:r>
        <w:rPr>
          <w:rFonts w:ascii="Courier New" w:hAnsi="Courier New" w:eastAsia="Courier New" w:cs="Courier New"/>
          <w:sz w:val="18"/>
          <w:szCs w:val="18"/>
        </w:rPr>
        <w:t>leaks</w:t>
      </w:r>
      <w:r>
        <w:t xml:space="preserve"> measurement to the PicoRV32 lot with both yields, the probe and test programs, the mask set id, the wafer ids and the synthesis script withheld, and the wafer maps, genealogy and test results salted; the buyer holds three of the 37 shipped units. Withheld values and salted files stayed hidden. But at Package/Test L2, where the lot digest is taken over serials, a buyer who reads the serial format of its own units recovered the packaged lot of 40 at the first guess and the shipped lot of 37 at guess 3,802, in milliseconds, and so learned the yield and which three serials were scrapped, although every yield field was withheld. Builder ids, subject URNs and signing keys, which must remain for the chain to be checkable, revealed nine parties and the fab and lot ids, and every step record revealed its time. Under verifier escrow the buyer held only the auditor’s identity, the design digest, the lot id, the verified levels and when the audit ran. At Package/Test L3 the lot digest is taken over certificate digests, which cannot be guessed. The finding is that withheld fields alone do not hide volumes at L2; a supplier that must hide them needs escrow, a per-unit commitment with an unguessable lot digest, or non-sequential serials.</w:t>
      </w:r>
    </w:p>
    <w:p w14:paraId="5B7369FF">
      <w:pPr>
        <w:pStyle w:val="3"/>
      </w:pPr>
      <w:r>
        <w:rPr>
          <w:i/>
          <w:iCs/>
        </w:rPr>
        <w:t>G. What the simulator knows and the records cannot</w:t>
      </w:r>
    </w:p>
    <w:p w14:paraId="169EC42D">
      <w:pPr>
        <w:keepNext w:val="0"/>
        <w:spacing w:after="0" w:line="240" w:lineRule="auto"/>
        <w:ind w:firstLine="202"/>
        <w:jc w:val="both"/>
      </w:pPr>
      <w:r>
        <w:t>The virtual shuttle placed the released PicoRV32 netlist on 72 dies across two wafers and injected 21 seeded stuck-at defects on 21 of 6,734 nets. Wafer sort passed 59 dies, 48 units were packaged and 37 passed final test, and the resulting MES, STDF and E142 exports became a lot that passed the buyer’s checks at Wafer L2 and Package/Test L2 as simulated evidence. Two shipped units carried a defect that neither test program caught. The simulator knows this; no record can show it, and neither could a real lot’s records. We include this result because it illustrates, with a concrete number, the limit stated in Section III: a correct chain of signed records says what each party claims, not that the parts are good.</w:t>
      </w:r>
    </w:p>
    <w:p w14:paraId="24D8A3E3">
      <w:pPr>
        <w:pStyle w:val="3"/>
      </w:pPr>
      <w:r>
        <w:rPr>
          <w:i/>
          <w:iCs/>
        </w:rPr>
        <w:t>H. Interoperability</w:t>
      </w:r>
    </w:p>
    <w:p w14:paraId="7CDD186C">
      <w:pPr>
        <w:keepNext w:val="0"/>
        <w:spacing w:after="0" w:line="240" w:lineRule="auto"/>
        <w:ind w:firstLine="202"/>
        <w:jc w:val="both"/>
      </w:pPr>
      <w:r>
        <w:t>Without modification, slsa-verifier v2.7.1 verified every HSLSA VSA (checking signature, subject digest, resource URI and levels) and rejected four mismatched cases (a level not verified, a design level above the claim, another subject digest and another verifier’s key); the CycloneDX project’s CLI validated the chip and board renderings; openssl verified every envelope’s signature against the trust root and OPA v1.21.1 evaluated the buyer rules written in Rego, accepting the chip and board bundles and refusing deliberately broken copies (a record altered after signing, an HBOM re-signed with another party’s key, a broken link, an edited lot list); and in the Caliptra example, Veraison’s CoRIM tool, which we did not write, decodes the reference values. A buyer can therefore check most of a chain with tools that know nothing about HSLSA.</w:t>
      </w:r>
    </w:p>
    <w:p w14:paraId="41D85B0B">
      <w:pPr>
        <w:pStyle w:val="2"/>
      </w:pPr>
      <w:r>
        <w:rPr>
          <w:smallCaps/>
        </w:rPr>
        <w:t>X. Security Analysis</w:t>
      </w:r>
    </w:p>
    <w:p w14:paraId="0D56963C">
      <w:pPr>
        <w:keepNext w:val="0"/>
        <w:spacing w:after="0" w:line="240" w:lineRule="auto"/>
        <w:ind w:firstLine="202"/>
        <w:jc w:val="both"/>
      </w:pPr>
      <w:r>
        <w:t>Table V condenses the specification’s per-track analysis. Three observations follow. First, L2 stops forgery and alteration of records and files but not lies by an allowed signer; such lies are only made accountable. Second, L3 moves the point of attack: HSMs stop remote key theft but not misuse by authorized operators, and identity challenges stop clones that lack a die-rooted key but not a genuine die in a modified package or a clone carrying an extracted key. Third, L4 is the only level that looks at silicon, and it does so statistically.</w:t>
      </w:r>
    </w:p>
    <w:p w14:paraId="38BCC0C2">
      <w:pPr>
        <w:sectPr>
          <w:type w:val="continuous"/>
          <w:pgSz w:w="12240" w:h="15840"/>
          <w:pgMar w:top="1080" w:right="900" w:bottom="1440" w:left="900" w:header="708" w:footer="708" w:gutter="0"/>
          <w:cols w:space="360" w:num="2"/>
          <w:docGrid w:linePitch="360" w:charSpace="0"/>
        </w:sectPr>
      </w:pPr>
    </w:p>
    <w:p w14:paraId="738660AB">
      <w:pPr>
        <w:keepNext/>
        <w:spacing w:before="160" w:after="0"/>
        <w:jc w:val="center"/>
      </w:pPr>
      <w:r>
        <w:rPr>
          <w:smallCaps/>
          <w:sz w:val="16"/>
          <w:szCs w:val="16"/>
        </w:rPr>
        <w:t>Table V</w:t>
      </w:r>
    </w:p>
    <w:p w14:paraId="7B7336C9">
      <w:pPr>
        <w:keepNext/>
        <w:spacing w:after="80"/>
        <w:jc w:val="center"/>
      </w:pPr>
      <w:r>
        <w:rPr>
          <w:smallCaps/>
          <w:sz w:val="16"/>
          <w:szCs w:val="16"/>
        </w:rPr>
        <w:t>What each level stops, makes accountable, and does not address (condensed from the specification’s threat model).</w:t>
      </w:r>
    </w:p>
    <w:tbl>
      <w:tblPr>
        <w:tblStyle w:val="9"/>
        <w:tblW w:w="104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100"/>
        <w:gridCol w:w="620"/>
        <w:gridCol w:w="3000"/>
        <w:gridCol w:w="2220"/>
        <w:gridCol w:w="3500"/>
      </w:tblGrid>
      <w:tr w14:paraId="1449FF5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cantSplit/>
          <w:tblHeader/>
          <w:jc w:val="center"/>
        </w:trPr>
        <w:tc>
          <w:tcPr>
            <w:tcW w:w="1100" w:type="dxa"/>
            <w:tcBorders>
              <w:top w:val="single" w:color="000000" w:sz="8" w:space="0"/>
              <w:left w:val="nil"/>
              <w:bottom w:val="single" w:color="000000" w:sz="4" w:space="0"/>
              <w:right w:val="nil"/>
            </w:tcBorders>
            <w:tcMar>
              <w:top w:w="30" w:type="dxa"/>
              <w:left w:w="70" w:type="dxa"/>
              <w:bottom w:w="30" w:type="dxa"/>
              <w:right w:w="70" w:type="dxa"/>
            </w:tcMar>
          </w:tcPr>
          <w:p w14:paraId="71601CC1">
            <w:pPr>
              <w:spacing w:after="0" w:line="220" w:lineRule="auto"/>
              <w:jc w:val="left"/>
            </w:pPr>
            <w:r>
              <w:rPr>
                <w:b/>
                <w:bCs/>
                <w:sz w:val="15"/>
                <w:szCs w:val="15"/>
              </w:rPr>
              <w:t>Track</w:t>
            </w:r>
          </w:p>
        </w:tc>
        <w:tc>
          <w:tcPr>
            <w:tcW w:w="620" w:type="dxa"/>
            <w:tcBorders>
              <w:top w:val="single" w:color="000000" w:sz="8" w:space="0"/>
              <w:left w:val="nil"/>
              <w:bottom w:val="single" w:color="000000" w:sz="4" w:space="0"/>
              <w:right w:val="nil"/>
            </w:tcBorders>
            <w:tcMar>
              <w:top w:w="30" w:type="dxa"/>
              <w:left w:w="70" w:type="dxa"/>
              <w:bottom w:w="30" w:type="dxa"/>
              <w:right w:w="70" w:type="dxa"/>
            </w:tcMar>
          </w:tcPr>
          <w:p w14:paraId="3B2D2C4F">
            <w:pPr>
              <w:spacing w:after="0" w:line="220" w:lineRule="auto"/>
              <w:jc w:val="left"/>
            </w:pPr>
            <w:r>
              <w:rPr>
                <w:b/>
                <w:bCs/>
                <w:sz w:val="15"/>
                <w:szCs w:val="15"/>
              </w:rPr>
              <w:t>Level</w:t>
            </w:r>
          </w:p>
        </w:tc>
        <w:tc>
          <w:tcPr>
            <w:tcW w:w="3000" w:type="dxa"/>
            <w:tcBorders>
              <w:top w:val="single" w:color="000000" w:sz="8" w:space="0"/>
              <w:left w:val="nil"/>
              <w:bottom w:val="single" w:color="000000" w:sz="4" w:space="0"/>
              <w:right w:val="nil"/>
            </w:tcBorders>
            <w:tcMar>
              <w:top w:w="30" w:type="dxa"/>
              <w:left w:w="70" w:type="dxa"/>
              <w:bottom w:w="30" w:type="dxa"/>
              <w:right w:w="70" w:type="dxa"/>
            </w:tcMar>
          </w:tcPr>
          <w:p w14:paraId="282AF6F2">
            <w:pPr>
              <w:spacing w:after="0" w:line="220" w:lineRule="auto"/>
              <w:jc w:val="left"/>
            </w:pPr>
            <w:r>
              <w:rPr>
                <w:b/>
                <w:bCs/>
                <w:sz w:val="15"/>
                <w:szCs w:val="15"/>
              </w:rPr>
              <w:t>Stops</w:t>
            </w:r>
          </w:p>
        </w:tc>
        <w:tc>
          <w:tcPr>
            <w:tcW w:w="2220" w:type="dxa"/>
            <w:tcBorders>
              <w:top w:val="single" w:color="000000" w:sz="8" w:space="0"/>
              <w:left w:val="nil"/>
              <w:bottom w:val="single" w:color="000000" w:sz="4" w:space="0"/>
              <w:right w:val="nil"/>
            </w:tcBorders>
            <w:tcMar>
              <w:top w:w="30" w:type="dxa"/>
              <w:left w:w="70" w:type="dxa"/>
              <w:bottom w:w="30" w:type="dxa"/>
              <w:right w:w="70" w:type="dxa"/>
            </w:tcMar>
          </w:tcPr>
          <w:p w14:paraId="5BD510FD">
            <w:pPr>
              <w:spacing w:after="0" w:line="220" w:lineRule="auto"/>
              <w:jc w:val="left"/>
            </w:pPr>
            <w:r>
              <w:rPr>
                <w:b/>
                <w:bCs/>
                <w:sz w:val="15"/>
                <w:szCs w:val="15"/>
              </w:rPr>
              <w:t>Makes accountable</w:t>
            </w:r>
          </w:p>
        </w:tc>
        <w:tc>
          <w:tcPr>
            <w:tcW w:w="3500" w:type="dxa"/>
            <w:tcBorders>
              <w:top w:val="single" w:color="000000" w:sz="8" w:space="0"/>
              <w:left w:val="nil"/>
              <w:bottom w:val="single" w:color="000000" w:sz="4" w:space="0"/>
              <w:right w:val="nil"/>
            </w:tcBorders>
            <w:tcMar>
              <w:top w:w="30" w:type="dxa"/>
              <w:left w:w="70" w:type="dxa"/>
              <w:bottom w:w="30" w:type="dxa"/>
              <w:right w:w="70" w:type="dxa"/>
            </w:tcMar>
          </w:tcPr>
          <w:p w14:paraId="0EE3271C">
            <w:pPr>
              <w:spacing w:after="0" w:line="220" w:lineRule="auto"/>
              <w:jc w:val="left"/>
            </w:pPr>
            <w:r>
              <w:rPr>
                <w:b/>
                <w:bCs/>
                <w:sz w:val="15"/>
                <w:szCs w:val="15"/>
              </w:rPr>
              <w:t>Does not address</w:t>
            </w:r>
          </w:p>
        </w:tc>
      </w:tr>
      <w:tr w14:paraId="1A8869D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127C381E">
            <w:pPr>
              <w:spacing w:after="0" w:line="220" w:lineRule="auto"/>
              <w:jc w:val="left"/>
            </w:pPr>
            <w:r>
              <w:rPr>
                <w:b w:val="0"/>
                <w:bCs w:val="0"/>
                <w:sz w:val="15"/>
                <w:szCs w:val="15"/>
              </w:rPr>
              <w:t>Design</w:t>
            </w:r>
          </w:p>
        </w:tc>
        <w:tc>
          <w:tcPr>
            <w:tcW w:w="620" w:type="dxa"/>
            <w:tcBorders>
              <w:top w:val="nil"/>
              <w:left w:val="nil"/>
              <w:bottom w:val="nil"/>
              <w:right w:val="nil"/>
            </w:tcBorders>
            <w:tcMar>
              <w:top w:w="30" w:type="dxa"/>
              <w:left w:w="70" w:type="dxa"/>
              <w:bottom w:w="30" w:type="dxa"/>
              <w:right w:w="70" w:type="dxa"/>
            </w:tcMar>
          </w:tcPr>
          <w:p w14:paraId="224B06E5">
            <w:pPr>
              <w:spacing w:after="0" w:line="220" w:lineRule="auto"/>
              <w:jc w:val="left"/>
            </w:pPr>
            <w:r>
              <w:rPr>
                <w:b w:val="0"/>
                <w:bCs w:val="0"/>
                <w:sz w:val="15"/>
                <w:szCs w:val="15"/>
              </w:rPr>
              <w:t>L2</w:t>
            </w:r>
          </w:p>
        </w:tc>
        <w:tc>
          <w:tcPr>
            <w:tcW w:w="3000" w:type="dxa"/>
            <w:tcBorders>
              <w:top w:val="nil"/>
              <w:left w:val="nil"/>
              <w:bottom w:val="nil"/>
              <w:right w:val="nil"/>
            </w:tcBorders>
            <w:tcMar>
              <w:top w:w="30" w:type="dxa"/>
              <w:left w:w="70" w:type="dxa"/>
              <w:bottom w:w="30" w:type="dxa"/>
              <w:right w:w="70" w:type="dxa"/>
            </w:tcMar>
          </w:tcPr>
          <w:p w14:paraId="63E7D7DF">
            <w:pPr>
              <w:spacing w:after="0" w:line="220" w:lineRule="auto"/>
              <w:jc w:val="left"/>
            </w:pPr>
            <w:r>
              <w:rPr>
                <w:b w:val="0"/>
                <w:bCs w:val="0"/>
                <w:sz w:val="15"/>
                <w:szCs w:val="15"/>
              </w:rPr>
              <w:t>Forged or altered step records; files swapped after signing; RTL changed after the signed freeze; IP replaced</w:t>
            </w:r>
          </w:p>
        </w:tc>
        <w:tc>
          <w:tcPr>
            <w:tcW w:w="2220" w:type="dxa"/>
            <w:tcBorders>
              <w:top w:val="nil"/>
              <w:left w:val="nil"/>
              <w:bottom w:val="nil"/>
              <w:right w:val="nil"/>
            </w:tcBorders>
            <w:tcMar>
              <w:top w:w="30" w:type="dxa"/>
              <w:left w:w="70" w:type="dxa"/>
              <w:bottom w:w="30" w:type="dxa"/>
              <w:right w:w="70" w:type="dxa"/>
            </w:tcMar>
          </w:tcPr>
          <w:p w14:paraId="78461E7B">
            <w:pPr>
              <w:spacing w:after="0" w:line="220" w:lineRule="auto"/>
              <w:jc w:val="left"/>
            </w:pPr>
            <w:r>
              <w:rPr>
                <w:b w:val="0"/>
                <w:bCs w:val="0"/>
                <w:sz w:val="15"/>
                <w:szCs w:val="15"/>
              </w:rPr>
              <w:t>Flow platform; freeze signers and reviewer; IP vendors</w:t>
            </w:r>
          </w:p>
        </w:tc>
        <w:tc>
          <w:tcPr>
            <w:tcW w:w="3500" w:type="dxa"/>
            <w:tcBorders>
              <w:top w:val="nil"/>
              <w:left w:val="nil"/>
              <w:bottom w:val="nil"/>
              <w:right w:val="nil"/>
            </w:tcBorders>
            <w:tcMar>
              <w:top w:w="30" w:type="dxa"/>
              <w:left w:w="70" w:type="dxa"/>
              <w:bottom w:w="30" w:type="dxa"/>
              <w:right w:w="70" w:type="dxa"/>
            </w:tcMar>
          </w:tcPr>
          <w:p w14:paraId="5B24AA5B">
            <w:pPr>
              <w:spacing w:after="0" w:line="220" w:lineRule="auto"/>
              <w:jc w:val="left"/>
            </w:pPr>
            <w:r>
              <w:rPr>
                <w:b w:val="0"/>
                <w:bCs w:val="0"/>
                <w:sz w:val="15"/>
                <w:szCs w:val="15"/>
              </w:rPr>
              <w:t>Malicious RTL that passed review; trojans in IP; a compromised flow platform</w:t>
            </w:r>
          </w:p>
        </w:tc>
      </w:tr>
      <w:tr w14:paraId="28FE42F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34F5ACC3">
            <w:pPr>
              <w:spacing w:after="0" w:line="220" w:lineRule="auto"/>
              <w:jc w:val="left"/>
            </w:pPr>
            <w:r>
              <w:rPr>
                <w:b w:val="0"/>
                <w:bCs w:val="0"/>
                <w:sz w:val="15"/>
                <w:szCs w:val="15"/>
              </w:rPr>
              <w:t>Design</w:t>
            </w:r>
          </w:p>
        </w:tc>
        <w:tc>
          <w:tcPr>
            <w:tcW w:w="620" w:type="dxa"/>
            <w:tcBorders>
              <w:top w:val="nil"/>
              <w:left w:val="nil"/>
              <w:bottom w:val="nil"/>
              <w:right w:val="nil"/>
            </w:tcBorders>
            <w:tcMar>
              <w:top w:w="30" w:type="dxa"/>
              <w:left w:w="70" w:type="dxa"/>
              <w:bottom w:w="30" w:type="dxa"/>
              <w:right w:w="70" w:type="dxa"/>
            </w:tcMar>
          </w:tcPr>
          <w:p w14:paraId="4A06F149">
            <w:pPr>
              <w:spacing w:after="0" w:line="220" w:lineRule="auto"/>
              <w:jc w:val="left"/>
            </w:pPr>
            <w:r>
              <w:rPr>
                <w:b w:val="0"/>
                <w:bCs w:val="0"/>
                <w:sz w:val="15"/>
                <w:szCs w:val="15"/>
              </w:rPr>
              <w:t>L3</w:t>
            </w:r>
          </w:p>
        </w:tc>
        <w:tc>
          <w:tcPr>
            <w:tcW w:w="3000" w:type="dxa"/>
            <w:tcBorders>
              <w:top w:val="nil"/>
              <w:left w:val="nil"/>
              <w:bottom w:val="nil"/>
              <w:right w:val="nil"/>
            </w:tcBorders>
            <w:tcMar>
              <w:top w:w="30" w:type="dxa"/>
              <w:left w:w="70" w:type="dxa"/>
              <w:bottom w:w="30" w:type="dxa"/>
              <w:right w:w="70" w:type="dxa"/>
            </w:tcMar>
          </w:tcPr>
          <w:p w14:paraId="21639490">
            <w:pPr>
              <w:spacing w:after="0" w:line="220" w:lineRule="auto"/>
              <w:jc w:val="left"/>
            </w:pPr>
            <w:r>
              <w:rPr>
                <w:b w:val="0"/>
                <w:bCs w:val="0"/>
                <w:sz w:val="15"/>
                <w:szCs w:val="15"/>
              </w:rPr>
              <w:t>Steps tampering with each other or the key; unpinned tools or inputs; logic added between RTL and netlist (by rerunning equivalence)</w:t>
            </w:r>
          </w:p>
        </w:tc>
        <w:tc>
          <w:tcPr>
            <w:tcW w:w="2220" w:type="dxa"/>
            <w:tcBorders>
              <w:top w:val="nil"/>
              <w:left w:val="nil"/>
              <w:bottom w:val="nil"/>
              <w:right w:val="nil"/>
            </w:tcBorders>
            <w:tcMar>
              <w:top w:w="30" w:type="dxa"/>
              <w:left w:w="70" w:type="dxa"/>
              <w:bottom w:w="30" w:type="dxa"/>
              <w:right w:w="70" w:type="dxa"/>
            </w:tcMar>
          </w:tcPr>
          <w:p w14:paraId="1FE61078">
            <w:pPr>
              <w:spacing w:after="0" w:line="220" w:lineRule="auto"/>
              <w:jc w:val="left"/>
            </w:pPr>
            <w:r>
              <w:rPr>
                <w:b w:val="0"/>
                <w:bCs w:val="0"/>
                <w:sz w:val="15"/>
                <w:szCs w:val="15"/>
              </w:rPr>
              <w:t>Platform’s isolation statement</w:t>
            </w:r>
          </w:p>
        </w:tc>
        <w:tc>
          <w:tcPr>
            <w:tcW w:w="3500" w:type="dxa"/>
            <w:tcBorders>
              <w:top w:val="nil"/>
              <w:left w:val="nil"/>
              <w:bottom w:val="nil"/>
              <w:right w:val="nil"/>
            </w:tcBorders>
            <w:tcMar>
              <w:top w:w="30" w:type="dxa"/>
              <w:left w:w="70" w:type="dxa"/>
              <w:bottom w:w="30" w:type="dxa"/>
              <w:right w:w="70" w:type="dxa"/>
            </w:tcMar>
          </w:tcPr>
          <w:p w14:paraId="198194D3">
            <w:pPr>
              <w:spacing w:after="0" w:line="220" w:lineRule="auto"/>
              <w:jc w:val="left"/>
            </w:pPr>
            <w:r>
              <w:rPr>
                <w:b w:val="0"/>
                <w:bCs w:val="0"/>
                <w:sz w:val="15"/>
                <w:szCs w:val="15"/>
              </w:rPr>
              <w:t>Malicious tools on the allow-list; data leaving over a declared license server</w:t>
            </w:r>
          </w:p>
        </w:tc>
      </w:tr>
      <w:tr w14:paraId="577C7CC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50DA76C8">
            <w:pPr>
              <w:spacing w:after="0" w:line="220" w:lineRule="auto"/>
              <w:jc w:val="left"/>
            </w:pPr>
            <w:r>
              <w:rPr>
                <w:b w:val="0"/>
                <w:bCs w:val="0"/>
                <w:sz w:val="15"/>
                <w:szCs w:val="15"/>
              </w:rPr>
              <w:t>Design</w:t>
            </w:r>
          </w:p>
        </w:tc>
        <w:tc>
          <w:tcPr>
            <w:tcW w:w="620" w:type="dxa"/>
            <w:tcBorders>
              <w:top w:val="nil"/>
              <w:left w:val="nil"/>
              <w:bottom w:val="nil"/>
              <w:right w:val="nil"/>
            </w:tcBorders>
            <w:tcMar>
              <w:top w:w="30" w:type="dxa"/>
              <w:left w:w="70" w:type="dxa"/>
              <w:bottom w:w="30" w:type="dxa"/>
              <w:right w:w="70" w:type="dxa"/>
            </w:tcMar>
          </w:tcPr>
          <w:p w14:paraId="02851E2C">
            <w:pPr>
              <w:spacing w:after="0" w:line="220" w:lineRule="auto"/>
              <w:jc w:val="left"/>
            </w:pPr>
            <w:r>
              <w:rPr>
                <w:b w:val="0"/>
                <w:bCs w:val="0"/>
                <w:sz w:val="15"/>
                <w:szCs w:val="15"/>
              </w:rPr>
              <w:t>L4</w:t>
            </w:r>
          </w:p>
        </w:tc>
        <w:tc>
          <w:tcPr>
            <w:tcW w:w="3000" w:type="dxa"/>
            <w:tcBorders>
              <w:top w:val="nil"/>
              <w:left w:val="nil"/>
              <w:bottom w:val="nil"/>
              <w:right w:val="nil"/>
            </w:tcBorders>
            <w:tcMar>
              <w:top w:w="30" w:type="dxa"/>
              <w:left w:w="70" w:type="dxa"/>
              <w:bottom w:w="30" w:type="dxa"/>
              <w:right w:w="70" w:type="dxa"/>
            </w:tcMar>
          </w:tcPr>
          <w:p w14:paraId="32A0AB50">
            <w:pPr>
              <w:spacing w:after="0" w:line="220" w:lineRule="auto"/>
              <w:jc w:val="left"/>
            </w:pPr>
            <w:r>
              <w:rPr>
                <w:b w:val="0"/>
                <w:bCs w:val="0"/>
                <w:sz w:val="15"/>
                <w:szCs w:val="15"/>
              </w:rPr>
              <w:t>A compromised flow platform or one insider (rebuild); one rogue reviewer</w:t>
            </w:r>
          </w:p>
        </w:tc>
        <w:tc>
          <w:tcPr>
            <w:tcW w:w="2220" w:type="dxa"/>
            <w:tcBorders>
              <w:top w:val="nil"/>
              <w:left w:val="nil"/>
              <w:bottom w:val="nil"/>
              <w:right w:val="nil"/>
            </w:tcBorders>
            <w:tcMar>
              <w:top w:w="30" w:type="dxa"/>
              <w:left w:w="70" w:type="dxa"/>
              <w:bottom w:w="30" w:type="dxa"/>
              <w:right w:w="70" w:type="dxa"/>
            </w:tcMar>
          </w:tcPr>
          <w:p w14:paraId="74ED034E">
            <w:pPr>
              <w:spacing w:after="0" w:line="220" w:lineRule="auto"/>
              <w:jc w:val="left"/>
            </w:pPr>
            <w:r>
              <w:rPr>
                <w:b w:val="0"/>
                <w:bCs w:val="0"/>
                <w:sz w:val="15"/>
                <w:szCs w:val="15"/>
              </w:rPr>
              <w:t>Second builder</w:t>
            </w:r>
          </w:p>
        </w:tc>
        <w:tc>
          <w:tcPr>
            <w:tcW w:w="3500" w:type="dxa"/>
            <w:tcBorders>
              <w:top w:val="nil"/>
              <w:left w:val="nil"/>
              <w:bottom w:val="nil"/>
              <w:right w:val="nil"/>
            </w:tcBorders>
            <w:tcMar>
              <w:top w:w="30" w:type="dxa"/>
              <w:left w:w="70" w:type="dxa"/>
              <w:bottom w:w="30" w:type="dxa"/>
              <w:right w:w="70" w:type="dxa"/>
            </w:tcMar>
          </w:tcPr>
          <w:p w14:paraId="50548492">
            <w:pPr>
              <w:spacing w:after="0" w:line="220" w:lineRule="auto"/>
              <w:jc w:val="left"/>
            </w:pPr>
            <w:r>
              <w:rPr>
                <w:b w:val="0"/>
                <w:bCs w:val="0"/>
                <w:sz w:val="15"/>
                <w:szCs w:val="15"/>
              </w:rPr>
              <w:t>Malicious RTL or IP; a trojan in an input both builders share; collusion</w:t>
            </w:r>
          </w:p>
        </w:tc>
      </w:tr>
      <w:tr w14:paraId="5A2DB83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1507907B">
            <w:pPr>
              <w:spacing w:after="0" w:line="220" w:lineRule="auto"/>
              <w:jc w:val="left"/>
            </w:pPr>
            <w:r>
              <w:rPr>
                <w:b w:val="0"/>
                <w:bCs w:val="0"/>
                <w:sz w:val="15"/>
                <w:szCs w:val="15"/>
              </w:rPr>
              <w:t>Wafer</w:t>
            </w:r>
          </w:p>
        </w:tc>
        <w:tc>
          <w:tcPr>
            <w:tcW w:w="620" w:type="dxa"/>
            <w:tcBorders>
              <w:top w:val="nil"/>
              <w:left w:val="nil"/>
              <w:bottom w:val="nil"/>
              <w:right w:val="nil"/>
            </w:tcBorders>
            <w:tcMar>
              <w:top w:w="30" w:type="dxa"/>
              <w:left w:w="70" w:type="dxa"/>
              <w:bottom w:w="30" w:type="dxa"/>
              <w:right w:w="70" w:type="dxa"/>
            </w:tcMar>
          </w:tcPr>
          <w:p w14:paraId="09DF5A4A">
            <w:pPr>
              <w:spacing w:after="0" w:line="220" w:lineRule="auto"/>
              <w:jc w:val="left"/>
            </w:pPr>
            <w:r>
              <w:rPr>
                <w:b w:val="0"/>
                <w:bCs w:val="0"/>
                <w:sz w:val="15"/>
                <w:szCs w:val="15"/>
              </w:rPr>
              <w:t>L2</w:t>
            </w:r>
          </w:p>
        </w:tc>
        <w:tc>
          <w:tcPr>
            <w:tcW w:w="3000" w:type="dxa"/>
            <w:tcBorders>
              <w:top w:val="nil"/>
              <w:left w:val="nil"/>
              <w:bottom w:val="nil"/>
              <w:right w:val="nil"/>
            </w:tcBorders>
            <w:tcMar>
              <w:top w:w="30" w:type="dxa"/>
              <w:left w:w="70" w:type="dxa"/>
              <w:bottom w:w="30" w:type="dxa"/>
              <w:right w:w="70" w:type="dxa"/>
            </w:tcMar>
          </w:tcPr>
          <w:p w14:paraId="067C0D39">
            <w:pPr>
              <w:spacing w:after="0" w:line="220" w:lineRule="auto"/>
              <w:jc w:val="left"/>
            </w:pPr>
            <w:r>
              <w:rPr>
                <w:b w:val="0"/>
                <w:bCs w:val="0"/>
                <w:sz w:val="15"/>
                <w:szCs w:val="15"/>
              </w:rPr>
              <w:t>Forged fab or sort records; a lot record that points at another design</w:t>
            </w:r>
          </w:p>
        </w:tc>
        <w:tc>
          <w:tcPr>
            <w:tcW w:w="2220" w:type="dxa"/>
            <w:tcBorders>
              <w:top w:val="nil"/>
              <w:left w:val="nil"/>
              <w:bottom w:val="nil"/>
              <w:right w:val="nil"/>
            </w:tcBorders>
            <w:tcMar>
              <w:top w:w="30" w:type="dxa"/>
              <w:left w:w="70" w:type="dxa"/>
              <w:bottom w:w="30" w:type="dxa"/>
              <w:right w:w="70" w:type="dxa"/>
            </w:tcMar>
          </w:tcPr>
          <w:p w14:paraId="48F58CF8">
            <w:pPr>
              <w:spacing w:after="0" w:line="220" w:lineRule="auto"/>
              <w:jc w:val="left"/>
            </w:pPr>
            <w:r>
              <w:rPr>
                <w:b w:val="0"/>
                <w:bCs w:val="0"/>
                <w:sz w:val="15"/>
                <w:szCs w:val="15"/>
              </w:rPr>
              <w:t>Fab’s claim to have built the released GDS</w:t>
            </w:r>
          </w:p>
        </w:tc>
        <w:tc>
          <w:tcPr>
            <w:tcW w:w="3500" w:type="dxa"/>
            <w:tcBorders>
              <w:top w:val="nil"/>
              <w:left w:val="nil"/>
              <w:bottom w:val="nil"/>
              <w:right w:val="nil"/>
            </w:tcBorders>
            <w:tcMar>
              <w:top w:w="30" w:type="dxa"/>
              <w:left w:w="70" w:type="dxa"/>
              <w:bottom w:w="30" w:type="dxa"/>
              <w:right w:w="70" w:type="dxa"/>
            </w:tcMar>
          </w:tcPr>
          <w:p w14:paraId="156AE9FF">
            <w:pPr>
              <w:spacing w:after="0" w:line="220" w:lineRule="auto"/>
              <w:jc w:val="left"/>
            </w:pPr>
            <w:r>
              <w:rPr>
                <w:b w:val="0"/>
                <w:bCs w:val="0"/>
                <w:sz w:val="15"/>
                <w:szCs w:val="15"/>
              </w:rPr>
              <w:t>Anything done to the silicon; unrecorded wafers; a stolen key</w:t>
            </w:r>
          </w:p>
        </w:tc>
      </w:tr>
      <w:tr w14:paraId="496FBC7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00E96832">
            <w:pPr>
              <w:spacing w:after="0" w:line="220" w:lineRule="auto"/>
              <w:jc w:val="left"/>
            </w:pPr>
            <w:r>
              <w:rPr>
                <w:b w:val="0"/>
                <w:bCs w:val="0"/>
                <w:sz w:val="15"/>
                <w:szCs w:val="15"/>
              </w:rPr>
              <w:t>Wafer</w:t>
            </w:r>
          </w:p>
        </w:tc>
        <w:tc>
          <w:tcPr>
            <w:tcW w:w="620" w:type="dxa"/>
            <w:tcBorders>
              <w:top w:val="nil"/>
              <w:left w:val="nil"/>
              <w:bottom w:val="nil"/>
              <w:right w:val="nil"/>
            </w:tcBorders>
            <w:tcMar>
              <w:top w:w="30" w:type="dxa"/>
              <w:left w:w="70" w:type="dxa"/>
              <w:bottom w:w="30" w:type="dxa"/>
              <w:right w:w="70" w:type="dxa"/>
            </w:tcMar>
          </w:tcPr>
          <w:p w14:paraId="3447748C">
            <w:pPr>
              <w:spacing w:after="0" w:line="220" w:lineRule="auto"/>
              <w:jc w:val="left"/>
            </w:pPr>
            <w:r>
              <w:rPr>
                <w:b w:val="0"/>
                <w:bCs w:val="0"/>
                <w:sz w:val="15"/>
                <w:szCs w:val="15"/>
              </w:rPr>
              <w:t>L3</w:t>
            </w:r>
          </w:p>
        </w:tc>
        <w:tc>
          <w:tcPr>
            <w:tcW w:w="3000" w:type="dxa"/>
            <w:tcBorders>
              <w:top w:val="nil"/>
              <w:left w:val="nil"/>
              <w:bottom w:val="nil"/>
              <w:right w:val="nil"/>
            </w:tcBorders>
            <w:tcMar>
              <w:top w:w="30" w:type="dxa"/>
              <w:left w:w="70" w:type="dxa"/>
              <w:bottom w:w="30" w:type="dxa"/>
              <w:right w:w="70" w:type="dxa"/>
            </w:tcMar>
          </w:tcPr>
          <w:p w14:paraId="41612F83">
            <w:pPr>
              <w:spacing w:after="0" w:line="220" w:lineRule="auto"/>
              <w:jc w:val="left"/>
            </w:pPr>
            <w:r>
              <w:rPr>
                <w:b w:val="0"/>
                <w:bCs w:val="0"/>
                <w:sz w:val="15"/>
                <w:szCs w:val="15"/>
              </w:rPr>
              <w:t>Remote key theft; a fab building from an unreleased GDS; a die without an endorsed identity</w:t>
            </w:r>
          </w:p>
        </w:tc>
        <w:tc>
          <w:tcPr>
            <w:tcW w:w="2220" w:type="dxa"/>
            <w:tcBorders>
              <w:top w:val="nil"/>
              <w:left w:val="nil"/>
              <w:bottom w:val="nil"/>
              <w:right w:val="nil"/>
            </w:tcBorders>
            <w:tcMar>
              <w:top w:w="30" w:type="dxa"/>
              <w:left w:w="70" w:type="dxa"/>
              <w:bottom w:w="30" w:type="dxa"/>
              <w:right w:w="70" w:type="dxa"/>
            </w:tcMar>
          </w:tcPr>
          <w:p w14:paraId="45EA690D">
            <w:pPr>
              <w:spacing w:after="0" w:line="220" w:lineRule="auto"/>
              <w:jc w:val="left"/>
            </w:pPr>
            <w:r>
              <w:rPr>
                <w:b w:val="0"/>
                <w:bCs w:val="0"/>
                <w:sz w:val="15"/>
                <w:szCs w:val="15"/>
              </w:rPr>
              <w:t>Fab’s accreditation; its mask-vs-GDS XOR</w:t>
            </w:r>
          </w:p>
        </w:tc>
        <w:tc>
          <w:tcPr>
            <w:tcW w:w="3500" w:type="dxa"/>
            <w:tcBorders>
              <w:top w:val="nil"/>
              <w:left w:val="nil"/>
              <w:bottom w:val="nil"/>
              <w:right w:val="nil"/>
            </w:tcBorders>
            <w:tcMar>
              <w:top w:w="30" w:type="dxa"/>
              <w:left w:w="70" w:type="dxa"/>
              <w:bottom w:w="30" w:type="dxa"/>
              <w:right w:w="70" w:type="dxa"/>
            </w:tcMar>
          </w:tcPr>
          <w:p w14:paraId="5C1709FB">
            <w:pPr>
              <w:spacing w:after="0" w:line="220" w:lineRule="auto"/>
              <w:jc w:val="left"/>
            </w:pPr>
            <w:r>
              <w:rPr>
                <w:b w:val="0"/>
                <w:bCs w:val="0"/>
                <w:sz w:val="15"/>
                <w:szCs w:val="15"/>
              </w:rPr>
              <w:t>Mask altered after the XOR; dopant or oxide changes; HSM misuse</w:t>
            </w:r>
          </w:p>
        </w:tc>
      </w:tr>
      <w:tr w14:paraId="266257E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1AEE2388">
            <w:pPr>
              <w:spacing w:after="0" w:line="220" w:lineRule="auto"/>
              <w:jc w:val="left"/>
            </w:pPr>
            <w:r>
              <w:rPr>
                <w:b w:val="0"/>
                <w:bCs w:val="0"/>
                <w:sz w:val="15"/>
                <w:szCs w:val="15"/>
              </w:rPr>
              <w:t>Wafer</w:t>
            </w:r>
          </w:p>
        </w:tc>
        <w:tc>
          <w:tcPr>
            <w:tcW w:w="620" w:type="dxa"/>
            <w:tcBorders>
              <w:top w:val="nil"/>
              <w:left w:val="nil"/>
              <w:bottom w:val="nil"/>
              <w:right w:val="nil"/>
            </w:tcBorders>
            <w:tcMar>
              <w:top w:w="30" w:type="dxa"/>
              <w:left w:w="70" w:type="dxa"/>
              <w:bottom w:w="30" w:type="dxa"/>
              <w:right w:w="70" w:type="dxa"/>
            </w:tcMar>
          </w:tcPr>
          <w:p w14:paraId="2BD9C71A">
            <w:pPr>
              <w:spacing w:after="0" w:line="220" w:lineRule="auto"/>
              <w:jc w:val="left"/>
            </w:pPr>
            <w:r>
              <w:rPr>
                <w:b w:val="0"/>
                <w:bCs w:val="0"/>
                <w:sz w:val="15"/>
                <w:szCs w:val="15"/>
              </w:rPr>
              <w:t>L4</w:t>
            </w:r>
          </w:p>
        </w:tc>
        <w:tc>
          <w:tcPr>
            <w:tcW w:w="3000" w:type="dxa"/>
            <w:tcBorders>
              <w:top w:val="nil"/>
              <w:left w:val="nil"/>
              <w:bottom w:val="nil"/>
              <w:right w:val="nil"/>
            </w:tcBorders>
            <w:tcMar>
              <w:top w:w="30" w:type="dxa"/>
              <w:left w:w="70" w:type="dxa"/>
              <w:bottom w:w="30" w:type="dxa"/>
              <w:right w:w="70" w:type="dxa"/>
            </w:tcMar>
          </w:tcPr>
          <w:p w14:paraId="620EA38C">
            <w:pPr>
              <w:spacing w:after="0" w:line="220" w:lineRule="auto"/>
              <w:jc w:val="left"/>
            </w:pPr>
            <w:r>
              <w:rPr>
                <w:b w:val="0"/>
                <w:bCs w:val="0"/>
                <w:sz w:val="15"/>
                <w:szCs w:val="15"/>
              </w:rPr>
              <w:t>Statistically, layout changes and mask substitution in imaged regions</w:t>
            </w:r>
          </w:p>
        </w:tc>
        <w:tc>
          <w:tcPr>
            <w:tcW w:w="2220" w:type="dxa"/>
            <w:tcBorders>
              <w:top w:val="nil"/>
              <w:left w:val="nil"/>
              <w:bottom w:val="nil"/>
              <w:right w:val="nil"/>
            </w:tcBorders>
            <w:tcMar>
              <w:top w:w="30" w:type="dxa"/>
              <w:left w:w="70" w:type="dxa"/>
              <w:bottom w:w="30" w:type="dxa"/>
              <w:right w:w="70" w:type="dxa"/>
            </w:tcMar>
          </w:tcPr>
          <w:p w14:paraId="39D242B8">
            <w:pPr>
              <w:spacing w:after="0" w:line="220" w:lineRule="auto"/>
              <w:jc w:val="left"/>
            </w:pPr>
            <w:r>
              <w:rPr>
                <w:b w:val="0"/>
                <w:bCs w:val="0"/>
                <w:sz w:val="15"/>
                <w:szCs w:val="15"/>
              </w:rPr>
              <w:t>Lab</w:t>
            </w:r>
          </w:p>
        </w:tc>
        <w:tc>
          <w:tcPr>
            <w:tcW w:w="3500" w:type="dxa"/>
            <w:tcBorders>
              <w:top w:val="nil"/>
              <w:left w:val="nil"/>
              <w:bottom w:val="nil"/>
              <w:right w:val="nil"/>
            </w:tcBorders>
            <w:tcMar>
              <w:top w:w="30" w:type="dxa"/>
              <w:left w:w="70" w:type="dxa"/>
              <w:bottom w:w="30" w:type="dxa"/>
              <w:right w:w="70" w:type="dxa"/>
            </w:tcMar>
          </w:tcPr>
          <w:p w14:paraId="780BAD8B">
            <w:pPr>
              <w:spacing w:after="0" w:line="220" w:lineRule="auto"/>
              <w:jc w:val="left"/>
            </w:pPr>
            <w:r>
              <w:rPr>
                <w:b w:val="0"/>
                <w:bCs w:val="0"/>
                <w:sz w:val="15"/>
                <w:szCs w:val="15"/>
              </w:rPr>
              <w:t>Unsampled units or regions; dopant-level trojans unless imaged for doping; malicious logic already in the GDS</w:t>
            </w:r>
          </w:p>
        </w:tc>
      </w:tr>
      <w:tr w14:paraId="6B7370E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5B1EE34F">
            <w:pPr>
              <w:spacing w:after="0" w:line="220" w:lineRule="auto"/>
              <w:jc w:val="left"/>
            </w:pPr>
            <w:r>
              <w:rPr>
                <w:b w:val="0"/>
                <w:bCs w:val="0"/>
                <w:sz w:val="15"/>
                <w:szCs w:val="15"/>
              </w:rPr>
              <w:t>Package/Test</w:t>
            </w:r>
          </w:p>
        </w:tc>
        <w:tc>
          <w:tcPr>
            <w:tcW w:w="620" w:type="dxa"/>
            <w:tcBorders>
              <w:top w:val="nil"/>
              <w:left w:val="nil"/>
              <w:bottom w:val="nil"/>
              <w:right w:val="nil"/>
            </w:tcBorders>
            <w:tcMar>
              <w:top w:w="30" w:type="dxa"/>
              <w:left w:w="70" w:type="dxa"/>
              <w:bottom w:w="30" w:type="dxa"/>
              <w:right w:w="70" w:type="dxa"/>
            </w:tcMar>
          </w:tcPr>
          <w:p w14:paraId="359C5C9D">
            <w:pPr>
              <w:spacing w:after="0" w:line="220" w:lineRule="auto"/>
              <w:jc w:val="left"/>
            </w:pPr>
            <w:r>
              <w:rPr>
                <w:b w:val="0"/>
                <w:bCs w:val="0"/>
                <w:sz w:val="15"/>
                <w:szCs w:val="15"/>
              </w:rPr>
              <w:t>L2</w:t>
            </w:r>
          </w:p>
        </w:tc>
        <w:tc>
          <w:tcPr>
            <w:tcW w:w="3000" w:type="dxa"/>
            <w:tcBorders>
              <w:top w:val="nil"/>
              <w:left w:val="nil"/>
              <w:bottom w:val="nil"/>
              <w:right w:val="nil"/>
            </w:tcBorders>
            <w:tcMar>
              <w:top w:w="30" w:type="dxa"/>
              <w:left w:w="70" w:type="dxa"/>
              <w:bottom w:w="30" w:type="dxa"/>
              <w:right w:w="70" w:type="dxa"/>
            </w:tcMar>
          </w:tcPr>
          <w:p w14:paraId="2E9E9753">
            <w:pPr>
              <w:spacing w:after="0" w:line="220" w:lineRule="auto"/>
              <w:jc w:val="left"/>
            </w:pPr>
            <w:r>
              <w:rPr>
                <w:b w:val="0"/>
                <w:bCs w:val="0"/>
                <w:sz w:val="15"/>
                <w:szCs w:val="15"/>
              </w:rPr>
              <w:t>Units added to a lot after F4; scrapped units shipped; units swapped between sites (with transfers)</w:t>
            </w:r>
          </w:p>
        </w:tc>
        <w:tc>
          <w:tcPr>
            <w:tcW w:w="2220" w:type="dxa"/>
            <w:tcBorders>
              <w:top w:val="nil"/>
              <w:left w:val="nil"/>
              <w:bottom w:val="nil"/>
              <w:right w:val="nil"/>
            </w:tcBorders>
            <w:tcMar>
              <w:top w:w="30" w:type="dxa"/>
              <w:left w:w="70" w:type="dxa"/>
              <w:bottom w:w="30" w:type="dxa"/>
              <w:right w:w="70" w:type="dxa"/>
            </w:tcMar>
          </w:tcPr>
          <w:p w14:paraId="5B0429AF">
            <w:pPr>
              <w:spacing w:after="0" w:line="220" w:lineRule="auto"/>
              <w:jc w:val="left"/>
            </w:pPr>
            <w:r>
              <w:rPr>
                <w:b w:val="0"/>
                <w:bCs w:val="0"/>
                <w:sz w:val="15"/>
                <w:szCs w:val="15"/>
              </w:rPr>
              <w:t>OSAT, test site</w:t>
            </w:r>
          </w:p>
        </w:tc>
        <w:tc>
          <w:tcPr>
            <w:tcW w:w="3500" w:type="dxa"/>
            <w:tcBorders>
              <w:top w:val="nil"/>
              <w:left w:val="nil"/>
              <w:bottom w:val="nil"/>
              <w:right w:val="nil"/>
            </w:tcBorders>
            <w:tcMar>
              <w:top w:w="30" w:type="dxa"/>
              <w:left w:w="70" w:type="dxa"/>
              <w:bottom w:w="30" w:type="dxa"/>
              <w:right w:w="70" w:type="dxa"/>
            </w:tcMar>
          </w:tcPr>
          <w:p w14:paraId="25CE64A1">
            <w:pPr>
              <w:spacing w:after="0" w:line="220" w:lineRule="auto"/>
              <w:jc w:val="left"/>
            </w:pPr>
            <w:r>
              <w:rPr>
                <w:b w:val="0"/>
                <w:bCs w:val="0"/>
                <w:sz w:val="15"/>
                <w:szCs w:val="15"/>
              </w:rPr>
              <w:t>Copied serials; die swap or remark under a genuine serial</w:t>
            </w:r>
          </w:p>
        </w:tc>
      </w:tr>
      <w:tr w14:paraId="3B1F059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6B201353">
            <w:pPr>
              <w:spacing w:after="0" w:line="220" w:lineRule="auto"/>
              <w:jc w:val="left"/>
            </w:pPr>
            <w:r>
              <w:rPr>
                <w:b w:val="0"/>
                <w:bCs w:val="0"/>
                <w:sz w:val="15"/>
                <w:szCs w:val="15"/>
              </w:rPr>
              <w:t>Package/Test</w:t>
            </w:r>
          </w:p>
        </w:tc>
        <w:tc>
          <w:tcPr>
            <w:tcW w:w="620" w:type="dxa"/>
            <w:tcBorders>
              <w:top w:val="nil"/>
              <w:left w:val="nil"/>
              <w:bottom w:val="nil"/>
              <w:right w:val="nil"/>
            </w:tcBorders>
            <w:tcMar>
              <w:top w:w="30" w:type="dxa"/>
              <w:left w:w="70" w:type="dxa"/>
              <w:bottom w:w="30" w:type="dxa"/>
              <w:right w:w="70" w:type="dxa"/>
            </w:tcMar>
          </w:tcPr>
          <w:p w14:paraId="489192C6">
            <w:pPr>
              <w:spacing w:after="0" w:line="220" w:lineRule="auto"/>
              <w:jc w:val="left"/>
            </w:pPr>
            <w:r>
              <w:rPr>
                <w:b w:val="0"/>
                <w:bCs w:val="0"/>
                <w:sz w:val="15"/>
                <w:szCs w:val="15"/>
              </w:rPr>
              <w:t>L3</w:t>
            </w:r>
          </w:p>
        </w:tc>
        <w:tc>
          <w:tcPr>
            <w:tcW w:w="3000" w:type="dxa"/>
            <w:tcBorders>
              <w:top w:val="nil"/>
              <w:left w:val="nil"/>
              <w:bottom w:val="nil"/>
              <w:right w:val="nil"/>
            </w:tcBorders>
            <w:tcMar>
              <w:top w:w="30" w:type="dxa"/>
              <w:left w:w="70" w:type="dxa"/>
              <w:bottom w:w="30" w:type="dxa"/>
              <w:right w:w="70" w:type="dxa"/>
            </w:tcMar>
          </w:tcPr>
          <w:p w14:paraId="32187045">
            <w:pPr>
              <w:spacing w:after="0" w:line="220" w:lineRule="auto"/>
              <w:jc w:val="left"/>
            </w:pPr>
            <w:r>
              <w:rPr>
                <w:b w:val="0"/>
                <w:bCs w:val="0"/>
                <w:sz w:val="15"/>
                <w:szCs w:val="15"/>
              </w:rPr>
              <w:t>Clones and remarked parts without a die-rooted key, at test and at receipt</w:t>
            </w:r>
          </w:p>
        </w:tc>
        <w:tc>
          <w:tcPr>
            <w:tcW w:w="2220" w:type="dxa"/>
            <w:tcBorders>
              <w:top w:val="nil"/>
              <w:left w:val="nil"/>
              <w:bottom w:val="nil"/>
              <w:right w:val="nil"/>
            </w:tcBorders>
            <w:tcMar>
              <w:top w:w="30" w:type="dxa"/>
              <w:left w:w="70" w:type="dxa"/>
              <w:bottom w:w="30" w:type="dxa"/>
              <w:right w:w="70" w:type="dxa"/>
            </w:tcMar>
          </w:tcPr>
          <w:p w14:paraId="57413420">
            <w:pPr>
              <w:spacing w:after="0" w:line="220" w:lineRule="auto"/>
              <w:jc w:val="left"/>
            </w:pPr>
            <w:r>
              <w:rPr>
                <w:b w:val="0"/>
                <w:bCs w:val="0"/>
                <w:sz w:val="15"/>
                <w:szCs w:val="15"/>
              </w:rPr>
              <w:t>Accreditation</w:t>
            </w:r>
          </w:p>
        </w:tc>
        <w:tc>
          <w:tcPr>
            <w:tcW w:w="3500" w:type="dxa"/>
            <w:tcBorders>
              <w:top w:val="nil"/>
              <w:left w:val="nil"/>
              <w:bottom w:val="nil"/>
              <w:right w:val="nil"/>
            </w:tcBorders>
            <w:tcMar>
              <w:top w:w="30" w:type="dxa"/>
              <w:left w:w="70" w:type="dxa"/>
              <w:bottom w:w="30" w:type="dxa"/>
              <w:right w:w="70" w:type="dxa"/>
            </w:tcMar>
          </w:tcPr>
          <w:p w14:paraId="5F1DEDE7">
            <w:pPr>
              <w:spacing w:after="0" w:line="220" w:lineRule="auto"/>
              <w:jc w:val="left"/>
            </w:pPr>
            <w:r>
              <w:rPr>
                <w:b w:val="0"/>
                <w:bCs w:val="0"/>
                <w:sz w:val="15"/>
                <w:szCs w:val="15"/>
              </w:rPr>
              <w:t>Genuine die in a modified package; extracted keys</w:t>
            </w:r>
          </w:p>
        </w:tc>
      </w:tr>
      <w:tr w14:paraId="3771869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6DDF742A">
            <w:pPr>
              <w:spacing w:after="0" w:line="220" w:lineRule="auto"/>
              <w:jc w:val="left"/>
            </w:pPr>
            <w:r>
              <w:rPr>
                <w:b w:val="0"/>
                <w:bCs w:val="0"/>
                <w:sz w:val="15"/>
                <w:szCs w:val="15"/>
              </w:rPr>
              <w:t>Package/Test</w:t>
            </w:r>
          </w:p>
        </w:tc>
        <w:tc>
          <w:tcPr>
            <w:tcW w:w="620" w:type="dxa"/>
            <w:tcBorders>
              <w:top w:val="nil"/>
              <w:left w:val="nil"/>
              <w:bottom w:val="nil"/>
              <w:right w:val="nil"/>
            </w:tcBorders>
            <w:tcMar>
              <w:top w:w="30" w:type="dxa"/>
              <w:left w:w="70" w:type="dxa"/>
              <w:bottom w:w="30" w:type="dxa"/>
              <w:right w:w="70" w:type="dxa"/>
            </w:tcMar>
          </w:tcPr>
          <w:p w14:paraId="5162C0D6">
            <w:pPr>
              <w:spacing w:after="0" w:line="220" w:lineRule="auto"/>
              <w:jc w:val="left"/>
            </w:pPr>
            <w:r>
              <w:rPr>
                <w:b w:val="0"/>
                <w:bCs w:val="0"/>
                <w:sz w:val="15"/>
                <w:szCs w:val="15"/>
              </w:rPr>
              <w:t>L4</w:t>
            </w:r>
          </w:p>
        </w:tc>
        <w:tc>
          <w:tcPr>
            <w:tcW w:w="3000" w:type="dxa"/>
            <w:tcBorders>
              <w:top w:val="nil"/>
              <w:left w:val="nil"/>
              <w:bottom w:val="nil"/>
              <w:right w:val="nil"/>
            </w:tcBorders>
            <w:tcMar>
              <w:top w:w="30" w:type="dxa"/>
              <w:left w:w="70" w:type="dxa"/>
              <w:bottom w:w="30" w:type="dxa"/>
              <w:right w:w="70" w:type="dxa"/>
            </w:tcMar>
          </w:tcPr>
          <w:p w14:paraId="6AB34958">
            <w:pPr>
              <w:spacing w:after="0" w:line="220" w:lineRule="auto"/>
              <w:jc w:val="left"/>
            </w:pPr>
            <w:r>
              <w:rPr>
                <w:b w:val="0"/>
                <w:bCs w:val="0"/>
                <w:sz w:val="15"/>
                <w:szCs w:val="15"/>
              </w:rPr>
              <w:t>Statistically, die swaps and package additions on sampled units</w:t>
            </w:r>
          </w:p>
        </w:tc>
        <w:tc>
          <w:tcPr>
            <w:tcW w:w="2220" w:type="dxa"/>
            <w:tcBorders>
              <w:top w:val="nil"/>
              <w:left w:val="nil"/>
              <w:bottom w:val="nil"/>
              <w:right w:val="nil"/>
            </w:tcBorders>
            <w:tcMar>
              <w:top w:w="30" w:type="dxa"/>
              <w:left w:w="70" w:type="dxa"/>
              <w:bottom w:w="30" w:type="dxa"/>
              <w:right w:w="70" w:type="dxa"/>
            </w:tcMar>
          </w:tcPr>
          <w:p w14:paraId="3E717E00">
            <w:pPr>
              <w:spacing w:after="0" w:line="220" w:lineRule="auto"/>
              <w:jc w:val="left"/>
            </w:pPr>
            <w:r>
              <w:rPr>
                <w:b w:val="0"/>
                <w:bCs w:val="0"/>
                <w:sz w:val="15"/>
                <w:szCs w:val="15"/>
              </w:rPr>
              <w:t>Lab</w:t>
            </w:r>
          </w:p>
        </w:tc>
        <w:tc>
          <w:tcPr>
            <w:tcW w:w="3500" w:type="dxa"/>
            <w:tcBorders>
              <w:top w:val="nil"/>
              <w:left w:val="nil"/>
              <w:bottom w:val="nil"/>
              <w:right w:val="nil"/>
            </w:tcBorders>
            <w:tcMar>
              <w:top w:w="30" w:type="dxa"/>
              <w:left w:w="70" w:type="dxa"/>
              <w:bottom w:w="30" w:type="dxa"/>
              <w:right w:w="70" w:type="dxa"/>
            </w:tcMar>
          </w:tcPr>
          <w:p w14:paraId="175A82CC">
            <w:pPr>
              <w:spacing w:after="0" w:line="220" w:lineRule="auto"/>
              <w:jc w:val="left"/>
            </w:pPr>
            <w:r>
              <w:rPr>
                <w:b w:val="0"/>
                <w:bCs w:val="0"/>
                <w:sz w:val="15"/>
                <w:szCs w:val="15"/>
              </w:rPr>
              <w:t>Unsampled units; changes inside the die</w:t>
            </w:r>
          </w:p>
        </w:tc>
      </w:tr>
      <w:tr w14:paraId="32DB38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72DD8624">
            <w:pPr>
              <w:spacing w:after="0" w:line="220" w:lineRule="auto"/>
              <w:jc w:val="left"/>
            </w:pPr>
            <w:r>
              <w:rPr>
                <w:b w:val="0"/>
                <w:bCs w:val="0"/>
                <w:sz w:val="15"/>
                <w:szCs w:val="15"/>
              </w:rPr>
              <w:t>Assembly</w:t>
            </w:r>
          </w:p>
        </w:tc>
        <w:tc>
          <w:tcPr>
            <w:tcW w:w="620" w:type="dxa"/>
            <w:tcBorders>
              <w:top w:val="nil"/>
              <w:left w:val="nil"/>
              <w:bottom w:val="nil"/>
              <w:right w:val="nil"/>
            </w:tcBorders>
            <w:tcMar>
              <w:top w:w="30" w:type="dxa"/>
              <w:left w:w="70" w:type="dxa"/>
              <w:bottom w:w="30" w:type="dxa"/>
              <w:right w:w="70" w:type="dxa"/>
            </w:tcMar>
          </w:tcPr>
          <w:p w14:paraId="4DF61F2B">
            <w:pPr>
              <w:spacing w:after="0" w:line="220" w:lineRule="auto"/>
              <w:jc w:val="left"/>
            </w:pPr>
            <w:r>
              <w:rPr>
                <w:b w:val="0"/>
                <w:bCs w:val="0"/>
                <w:sz w:val="15"/>
                <w:szCs w:val="15"/>
              </w:rPr>
              <w:t>L2</w:t>
            </w:r>
          </w:p>
        </w:tc>
        <w:tc>
          <w:tcPr>
            <w:tcW w:w="3000" w:type="dxa"/>
            <w:tcBorders>
              <w:top w:val="nil"/>
              <w:left w:val="nil"/>
              <w:bottom w:val="nil"/>
              <w:right w:val="nil"/>
            </w:tcBorders>
            <w:tcMar>
              <w:top w:w="30" w:type="dxa"/>
              <w:left w:w="70" w:type="dxa"/>
              <w:bottom w:w="30" w:type="dxa"/>
              <w:right w:w="70" w:type="dxa"/>
            </w:tcMar>
          </w:tcPr>
          <w:p w14:paraId="0D70E62D">
            <w:pPr>
              <w:spacing w:after="0" w:line="220" w:lineRule="auto"/>
              <w:jc w:val="left"/>
            </w:pPr>
            <w:r>
              <w:rPr>
                <w:b w:val="0"/>
                <w:bCs w:val="0"/>
                <w:sz w:val="15"/>
                <w:szCs w:val="15"/>
              </w:rPr>
              <w:t>Unlisted shippers; failing chip chains; over-placement</w:t>
            </w:r>
          </w:p>
        </w:tc>
        <w:tc>
          <w:tcPr>
            <w:tcW w:w="2220" w:type="dxa"/>
            <w:tcBorders>
              <w:top w:val="nil"/>
              <w:left w:val="nil"/>
              <w:bottom w:val="nil"/>
              <w:right w:val="nil"/>
            </w:tcBorders>
            <w:tcMar>
              <w:top w:w="30" w:type="dxa"/>
              <w:left w:w="70" w:type="dxa"/>
              <w:bottom w:w="30" w:type="dxa"/>
              <w:right w:w="70" w:type="dxa"/>
            </w:tcMar>
          </w:tcPr>
          <w:p w14:paraId="685B2429">
            <w:pPr>
              <w:spacing w:after="0" w:line="220" w:lineRule="auto"/>
              <w:jc w:val="left"/>
            </w:pPr>
            <w:r>
              <w:rPr>
                <w:b w:val="0"/>
                <w:bCs w:val="0"/>
                <w:sz w:val="15"/>
                <w:szCs w:val="15"/>
              </w:rPr>
              <w:t>Shippers, EMS</w:t>
            </w:r>
          </w:p>
        </w:tc>
        <w:tc>
          <w:tcPr>
            <w:tcW w:w="3500" w:type="dxa"/>
            <w:tcBorders>
              <w:top w:val="nil"/>
              <w:left w:val="nil"/>
              <w:bottom w:val="nil"/>
              <w:right w:val="nil"/>
            </w:tcBorders>
            <w:tcMar>
              <w:top w:w="30" w:type="dxa"/>
              <w:left w:w="70" w:type="dxa"/>
              <w:bottom w:w="30" w:type="dxa"/>
              <w:right w:w="70" w:type="dxa"/>
            </w:tcMar>
          </w:tcPr>
          <w:p w14:paraId="085E84B2">
            <w:pPr>
              <w:spacing w:after="0" w:line="220" w:lineRule="auto"/>
              <w:jc w:val="left"/>
            </w:pPr>
            <w:r>
              <w:rPr>
                <w:b w:val="0"/>
                <w:bCs w:val="0"/>
                <w:sz w:val="15"/>
                <w:szCs w:val="15"/>
              </w:rPr>
              <w:t>Swap inside a reel of parts without identity; storage swaps; implants after A1</w:t>
            </w:r>
          </w:p>
        </w:tc>
      </w:tr>
      <w:tr w14:paraId="3EF7DA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2662DE75">
            <w:pPr>
              <w:spacing w:after="0" w:line="220" w:lineRule="auto"/>
              <w:jc w:val="left"/>
            </w:pPr>
            <w:r>
              <w:rPr>
                <w:b w:val="0"/>
                <w:bCs w:val="0"/>
                <w:sz w:val="15"/>
                <w:szCs w:val="15"/>
              </w:rPr>
              <w:t>Assembly</w:t>
            </w:r>
          </w:p>
        </w:tc>
        <w:tc>
          <w:tcPr>
            <w:tcW w:w="620" w:type="dxa"/>
            <w:tcBorders>
              <w:top w:val="nil"/>
              <w:left w:val="nil"/>
              <w:bottom w:val="nil"/>
              <w:right w:val="nil"/>
            </w:tcBorders>
            <w:tcMar>
              <w:top w:w="30" w:type="dxa"/>
              <w:left w:w="70" w:type="dxa"/>
              <w:bottom w:w="30" w:type="dxa"/>
              <w:right w:w="70" w:type="dxa"/>
            </w:tcMar>
          </w:tcPr>
          <w:p w14:paraId="1A9FFE9B">
            <w:pPr>
              <w:spacing w:after="0" w:line="220" w:lineRule="auto"/>
              <w:jc w:val="left"/>
            </w:pPr>
            <w:r>
              <w:rPr>
                <w:b w:val="0"/>
                <w:bCs w:val="0"/>
                <w:sz w:val="15"/>
                <w:szCs w:val="15"/>
              </w:rPr>
              <w:t>L3</w:t>
            </w:r>
          </w:p>
        </w:tc>
        <w:tc>
          <w:tcPr>
            <w:tcW w:w="3000" w:type="dxa"/>
            <w:tcBorders>
              <w:top w:val="nil"/>
              <w:left w:val="nil"/>
              <w:bottom w:val="nil"/>
              <w:right w:val="nil"/>
            </w:tcBorders>
            <w:tcMar>
              <w:top w:w="30" w:type="dxa"/>
              <w:left w:w="70" w:type="dxa"/>
              <w:bottom w:w="30" w:type="dxa"/>
              <w:right w:w="70" w:type="dxa"/>
            </w:tcMar>
          </w:tcPr>
          <w:p w14:paraId="3B106239">
            <w:pPr>
              <w:spacing w:after="0" w:line="220" w:lineRule="auto"/>
              <w:jc w:val="left"/>
            </w:pPr>
            <w:r>
              <w:rPr>
                <w:b w:val="0"/>
                <w:bCs w:val="0"/>
                <w:sz w:val="15"/>
                <w:szCs w:val="15"/>
              </w:rPr>
              <w:t>Substitution of parts with a hardware identity</w:t>
            </w:r>
          </w:p>
        </w:tc>
        <w:tc>
          <w:tcPr>
            <w:tcW w:w="2220" w:type="dxa"/>
            <w:tcBorders>
              <w:top w:val="nil"/>
              <w:left w:val="nil"/>
              <w:bottom w:val="nil"/>
              <w:right w:val="nil"/>
            </w:tcBorders>
            <w:tcMar>
              <w:top w:w="30" w:type="dxa"/>
              <w:left w:w="70" w:type="dxa"/>
              <w:bottom w:w="30" w:type="dxa"/>
              <w:right w:w="70" w:type="dxa"/>
            </w:tcMar>
          </w:tcPr>
          <w:p w14:paraId="091E1B53">
            <w:pPr>
              <w:spacing w:after="0" w:line="220" w:lineRule="auto"/>
              <w:jc w:val="left"/>
            </w:pPr>
            <w:r>
              <w:rPr>
                <w:b w:val="0"/>
                <w:bCs w:val="0"/>
                <w:sz w:val="15"/>
                <w:szCs w:val="15"/>
              </w:rPr>
              <w:t>Accreditation</w:t>
            </w:r>
          </w:p>
        </w:tc>
        <w:tc>
          <w:tcPr>
            <w:tcW w:w="3500" w:type="dxa"/>
            <w:tcBorders>
              <w:top w:val="nil"/>
              <w:left w:val="nil"/>
              <w:bottom w:val="nil"/>
              <w:right w:val="nil"/>
            </w:tcBorders>
            <w:tcMar>
              <w:top w:w="30" w:type="dxa"/>
              <w:left w:w="70" w:type="dxa"/>
              <w:bottom w:w="30" w:type="dxa"/>
              <w:right w:w="70" w:type="dxa"/>
            </w:tcMar>
          </w:tcPr>
          <w:p w14:paraId="27E9AEE4">
            <w:pPr>
              <w:spacing w:after="0" w:line="220" w:lineRule="auto"/>
              <w:jc w:val="left"/>
            </w:pPr>
            <w:r>
              <w:rPr>
                <w:b w:val="0"/>
                <w:bCs w:val="0"/>
                <w:sz w:val="15"/>
                <w:szCs w:val="15"/>
              </w:rPr>
              <w:t>Most of a board (passives, power, commodity logic)</w:t>
            </w:r>
          </w:p>
        </w:tc>
      </w:tr>
      <w:tr w14:paraId="5FE034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2B3875AF">
            <w:pPr>
              <w:spacing w:after="0" w:line="220" w:lineRule="auto"/>
              <w:jc w:val="left"/>
            </w:pPr>
            <w:r>
              <w:rPr>
                <w:b w:val="0"/>
                <w:bCs w:val="0"/>
                <w:sz w:val="15"/>
                <w:szCs w:val="15"/>
              </w:rPr>
              <w:t>Assembly</w:t>
            </w:r>
          </w:p>
        </w:tc>
        <w:tc>
          <w:tcPr>
            <w:tcW w:w="620" w:type="dxa"/>
            <w:tcBorders>
              <w:top w:val="nil"/>
              <w:left w:val="nil"/>
              <w:bottom w:val="nil"/>
              <w:right w:val="nil"/>
            </w:tcBorders>
            <w:tcMar>
              <w:top w:w="30" w:type="dxa"/>
              <w:left w:w="70" w:type="dxa"/>
              <w:bottom w:w="30" w:type="dxa"/>
              <w:right w:w="70" w:type="dxa"/>
            </w:tcMar>
          </w:tcPr>
          <w:p w14:paraId="203038FF">
            <w:pPr>
              <w:spacing w:after="0" w:line="220" w:lineRule="auto"/>
              <w:jc w:val="left"/>
            </w:pPr>
            <w:r>
              <w:rPr>
                <w:b w:val="0"/>
                <w:bCs w:val="0"/>
                <w:sz w:val="15"/>
                <w:szCs w:val="15"/>
              </w:rPr>
              <w:t>L4</w:t>
            </w:r>
          </w:p>
        </w:tc>
        <w:tc>
          <w:tcPr>
            <w:tcW w:w="3000" w:type="dxa"/>
            <w:tcBorders>
              <w:top w:val="nil"/>
              <w:left w:val="nil"/>
              <w:bottom w:val="nil"/>
              <w:right w:val="nil"/>
            </w:tcBorders>
            <w:tcMar>
              <w:top w:w="30" w:type="dxa"/>
              <w:left w:w="70" w:type="dxa"/>
              <w:bottom w:w="30" w:type="dxa"/>
              <w:right w:w="70" w:type="dxa"/>
            </w:tcMar>
          </w:tcPr>
          <w:p w14:paraId="1532EA02">
            <w:pPr>
              <w:spacing w:after="0" w:line="220" w:lineRule="auto"/>
              <w:jc w:val="left"/>
            </w:pPr>
            <w:r>
              <w:rPr>
                <w:b w:val="0"/>
                <w:bCs w:val="0"/>
                <w:sz w:val="15"/>
                <w:szCs w:val="15"/>
              </w:rPr>
              <w:t>Statistically, counterfeits and implants visible to X-ray and authentication</w:t>
            </w:r>
          </w:p>
        </w:tc>
        <w:tc>
          <w:tcPr>
            <w:tcW w:w="2220" w:type="dxa"/>
            <w:tcBorders>
              <w:top w:val="nil"/>
              <w:left w:val="nil"/>
              <w:bottom w:val="nil"/>
              <w:right w:val="nil"/>
            </w:tcBorders>
            <w:tcMar>
              <w:top w:w="30" w:type="dxa"/>
              <w:left w:w="70" w:type="dxa"/>
              <w:bottom w:w="30" w:type="dxa"/>
              <w:right w:w="70" w:type="dxa"/>
            </w:tcMar>
          </w:tcPr>
          <w:p w14:paraId="2A094620">
            <w:pPr>
              <w:spacing w:after="0" w:line="220" w:lineRule="auto"/>
              <w:jc w:val="left"/>
            </w:pPr>
            <w:r>
              <w:rPr>
                <w:b w:val="0"/>
                <w:bCs w:val="0"/>
                <w:sz w:val="15"/>
                <w:szCs w:val="15"/>
              </w:rPr>
              <w:t>Lab</w:t>
            </w:r>
          </w:p>
        </w:tc>
        <w:tc>
          <w:tcPr>
            <w:tcW w:w="3500" w:type="dxa"/>
            <w:tcBorders>
              <w:top w:val="nil"/>
              <w:left w:val="nil"/>
              <w:bottom w:val="nil"/>
              <w:right w:val="nil"/>
            </w:tcBorders>
            <w:tcMar>
              <w:top w:w="30" w:type="dxa"/>
              <w:left w:w="70" w:type="dxa"/>
              <w:bottom w:w="30" w:type="dxa"/>
              <w:right w:w="70" w:type="dxa"/>
            </w:tcMar>
          </w:tcPr>
          <w:p w14:paraId="16DD818F">
            <w:pPr>
              <w:spacing w:after="0" w:line="220" w:lineRule="auto"/>
              <w:jc w:val="left"/>
            </w:pPr>
            <w:r>
              <w:rPr>
                <w:b w:val="0"/>
                <w:bCs w:val="0"/>
                <w:sz w:val="15"/>
                <w:szCs w:val="15"/>
              </w:rPr>
              <w:t>Unsampled boards; implants inside a genuine package</w:t>
            </w:r>
          </w:p>
        </w:tc>
      </w:tr>
      <w:tr w14:paraId="7640A7C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22D274AB">
            <w:pPr>
              <w:spacing w:after="0" w:line="220" w:lineRule="auto"/>
              <w:jc w:val="left"/>
            </w:pPr>
            <w:r>
              <w:rPr>
                <w:b w:val="0"/>
                <w:bCs w:val="0"/>
                <w:sz w:val="15"/>
                <w:szCs w:val="15"/>
              </w:rPr>
              <w:t>Firmware</w:t>
            </w:r>
          </w:p>
        </w:tc>
        <w:tc>
          <w:tcPr>
            <w:tcW w:w="620" w:type="dxa"/>
            <w:tcBorders>
              <w:top w:val="nil"/>
              <w:left w:val="nil"/>
              <w:bottom w:val="nil"/>
              <w:right w:val="nil"/>
            </w:tcBorders>
            <w:tcMar>
              <w:top w:w="30" w:type="dxa"/>
              <w:left w:w="70" w:type="dxa"/>
              <w:bottom w:w="30" w:type="dxa"/>
              <w:right w:w="70" w:type="dxa"/>
            </w:tcMar>
          </w:tcPr>
          <w:p w14:paraId="33284698">
            <w:pPr>
              <w:spacing w:after="0" w:line="220" w:lineRule="auto"/>
              <w:jc w:val="left"/>
            </w:pPr>
            <w:r>
              <w:rPr>
                <w:b w:val="0"/>
                <w:bCs w:val="0"/>
                <w:sz w:val="15"/>
                <w:szCs w:val="15"/>
              </w:rPr>
              <w:t>L2</w:t>
            </w:r>
          </w:p>
        </w:tc>
        <w:tc>
          <w:tcPr>
            <w:tcW w:w="3000" w:type="dxa"/>
            <w:tcBorders>
              <w:top w:val="nil"/>
              <w:left w:val="nil"/>
              <w:bottom w:val="nil"/>
              <w:right w:val="nil"/>
            </w:tcBorders>
            <w:tcMar>
              <w:top w:w="30" w:type="dxa"/>
              <w:left w:w="70" w:type="dxa"/>
              <w:bottom w:w="30" w:type="dxa"/>
              <w:right w:w="70" w:type="dxa"/>
            </w:tcMar>
          </w:tcPr>
          <w:p w14:paraId="3996798D">
            <w:pPr>
              <w:spacing w:after="0" w:line="220" w:lineRule="auto"/>
              <w:jc w:val="left"/>
            </w:pPr>
            <w:r>
              <w:rPr>
                <w:b w:val="0"/>
                <w:bCs w:val="0"/>
                <w:sz w:val="15"/>
                <w:szCs w:val="15"/>
              </w:rPr>
              <w:t>Forged provenance; unsigned images (secure boot); wrong images written</w:t>
            </w:r>
          </w:p>
        </w:tc>
        <w:tc>
          <w:tcPr>
            <w:tcW w:w="2220" w:type="dxa"/>
            <w:tcBorders>
              <w:top w:val="nil"/>
              <w:left w:val="nil"/>
              <w:bottom w:val="nil"/>
              <w:right w:val="nil"/>
            </w:tcBorders>
            <w:tcMar>
              <w:top w:w="30" w:type="dxa"/>
              <w:left w:w="70" w:type="dxa"/>
              <w:bottom w:w="30" w:type="dxa"/>
              <w:right w:w="70" w:type="dxa"/>
            </w:tcMar>
          </w:tcPr>
          <w:p w14:paraId="67B158D8">
            <w:pPr>
              <w:spacing w:after="0" w:line="220" w:lineRule="auto"/>
              <w:jc w:val="left"/>
            </w:pPr>
            <w:r>
              <w:rPr>
                <w:b w:val="0"/>
                <w:bCs w:val="0"/>
                <w:sz w:val="15"/>
                <w:szCs w:val="15"/>
              </w:rPr>
              <w:t>Build platform, station site</w:t>
            </w:r>
          </w:p>
        </w:tc>
        <w:tc>
          <w:tcPr>
            <w:tcW w:w="3500" w:type="dxa"/>
            <w:tcBorders>
              <w:top w:val="nil"/>
              <w:left w:val="nil"/>
              <w:bottom w:val="nil"/>
              <w:right w:val="nil"/>
            </w:tcBorders>
            <w:tcMar>
              <w:top w:w="30" w:type="dxa"/>
              <w:left w:w="70" w:type="dxa"/>
              <w:bottom w:w="30" w:type="dxa"/>
              <w:right w:w="70" w:type="dxa"/>
            </w:tcMar>
          </w:tcPr>
          <w:p w14:paraId="4B8AE574">
            <w:pPr>
              <w:spacing w:after="0" w:line="220" w:lineRule="auto"/>
              <w:jc w:val="left"/>
            </w:pPr>
            <w:r>
              <w:rPr>
                <w:b w:val="0"/>
                <w:bCs w:val="0"/>
                <w:sz w:val="15"/>
                <w:szCs w:val="15"/>
              </w:rPr>
              <w:t>Compromised build platform; malicious source; stolen signing key</w:t>
            </w:r>
          </w:p>
        </w:tc>
      </w:tr>
      <w:tr w14:paraId="384AF94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nil"/>
              <w:right w:val="nil"/>
            </w:tcBorders>
            <w:tcMar>
              <w:top w:w="30" w:type="dxa"/>
              <w:left w:w="70" w:type="dxa"/>
              <w:bottom w:w="30" w:type="dxa"/>
              <w:right w:w="70" w:type="dxa"/>
            </w:tcMar>
          </w:tcPr>
          <w:p w14:paraId="7B28199A">
            <w:pPr>
              <w:spacing w:after="0" w:line="220" w:lineRule="auto"/>
              <w:jc w:val="left"/>
            </w:pPr>
            <w:r>
              <w:rPr>
                <w:b w:val="0"/>
                <w:bCs w:val="0"/>
                <w:sz w:val="15"/>
                <w:szCs w:val="15"/>
              </w:rPr>
              <w:t>Firmware</w:t>
            </w:r>
          </w:p>
        </w:tc>
        <w:tc>
          <w:tcPr>
            <w:tcW w:w="620" w:type="dxa"/>
            <w:tcBorders>
              <w:top w:val="nil"/>
              <w:left w:val="nil"/>
              <w:bottom w:val="nil"/>
              <w:right w:val="nil"/>
            </w:tcBorders>
            <w:tcMar>
              <w:top w:w="30" w:type="dxa"/>
              <w:left w:w="70" w:type="dxa"/>
              <w:bottom w:w="30" w:type="dxa"/>
              <w:right w:w="70" w:type="dxa"/>
            </w:tcMar>
          </w:tcPr>
          <w:p w14:paraId="3B84D0C6">
            <w:pPr>
              <w:spacing w:after="0" w:line="220" w:lineRule="auto"/>
              <w:jc w:val="left"/>
            </w:pPr>
            <w:r>
              <w:rPr>
                <w:b w:val="0"/>
                <w:bCs w:val="0"/>
                <w:sz w:val="15"/>
                <w:szCs w:val="15"/>
              </w:rPr>
              <w:t>L3</w:t>
            </w:r>
          </w:p>
        </w:tc>
        <w:tc>
          <w:tcPr>
            <w:tcW w:w="3000" w:type="dxa"/>
            <w:tcBorders>
              <w:top w:val="nil"/>
              <w:left w:val="nil"/>
              <w:bottom w:val="nil"/>
              <w:right w:val="nil"/>
            </w:tcBorders>
            <w:tcMar>
              <w:top w:w="30" w:type="dxa"/>
              <w:left w:w="70" w:type="dxa"/>
              <w:bottom w:w="30" w:type="dxa"/>
              <w:right w:w="70" w:type="dxa"/>
            </w:tcMar>
          </w:tcPr>
          <w:p w14:paraId="2E7A548E">
            <w:pPr>
              <w:spacing w:after="0" w:line="220" w:lineRule="auto"/>
              <w:jc w:val="left"/>
            </w:pPr>
            <w:r>
              <w:rPr>
                <w:b w:val="0"/>
                <w:bCs w:val="0"/>
                <w:sz w:val="15"/>
                <w:szCs w:val="15"/>
              </w:rPr>
              <w:t>Build tampering; unreleased signed images (log); measured firmware or fuses differing from records</w:t>
            </w:r>
          </w:p>
        </w:tc>
        <w:tc>
          <w:tcPr>
            <w:tcW w:w="2220" w:type="dxa"/>
            <w:tcBorders>
              <w:top w:val="nil"/>
              <w:left w:val="nil"/>
              <w:bottom w:val="nil"/>
              <w:right w:val="nil"/>
            </w:tcBorders>
            <w:tcMar>
              <w:top w:w="30" w:type="dxa"/>
              <w:left w:w="70" w:type="dxa"/>
              <w:bottom w:w="30" w:type="dxa"/>
              <w:right w:w="70" w:type="dxa"/>
            </w:tcMar>
          </w:tcPr>
          <w:p w14:paraId="7E1B4CF7">
            <w:pPr>
              <w:spacing w:after="0" w:line="220" w:lineRule="auto"/>
              <w:jc w:val="left"/>
            </w:pPr>
            <w:r>
              <w:rPr>
                <w:b w:val="0"/>
                <w:bCs w:val="0"/>
                <w:sz w:val="15"/>
                <w:szCs w:val="15"/>
              </w:rPr>
              <w:t>Reviewers, release signers</w:t>
            </w:r>
          </w:p>
        </w:tc>
        <w:tc>
          <w:tcPr>
            <w:tcW w:w="3500" w:type="dxa"/>
            <w:tcBorders>
              <w:top w:val="nil"/>
              <w:left w:val="nil"/>
              <w:bottom w:val="nil"/>
              <w:right w:val="nil"/>
            </w:tcBorders>
            <w:tcMar>
              <w:top w:w="30" w:type="dxa"/>
              <w:left w:w="70" w:type="dxa"/>
              <w:bottom w:w="30" w:type="dxa"/>
              <w:right w:w="70" w:type="dxa"/>
            </w:tcMar>
          </w:tcPr>
          <w:p w14:paraId="2C538E1E">
            <w:pPr>
              <w:spacing w:after="0" w:line="220" w:lineRule="auto"/>
              <w:jc w:val="left"/>
            </w:pPr>
            <w:r>
              <w:rPr>
                <w:b w:val="0"/>
                <w:bCs w:val="0"/>
                <w:sz w:val="15"/>
                <w:szCs w:val="15"/>
              </w:rPr>
              <w:t>Bugs the review missed; a flawed mask ROM</w:t>
            </w:r>
          </w:p>
        </w:tc>
      </w:tr>
      <w:tr w14:paraId="6FB36F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top w:val="nil"/>
              <w:left w:val="nil"/>
              <w:bottom w:val="single" w:color="000000" w:sz="8" w:space="0"/>
              <w:right w:val="nil"/>
            </w:tcBorders>
            <w:tcMar>
              <w:top w:w="30" w:type="dxa"/>
              <w:left w:w="70" w:type="dxa"/>
              <w:bottom w:w="30" w:type="dxa"/>
              <w:right w:w="70" w:type="dxa"/>
            </w:tcMar>
          </w:tcPr>
          <w:p w14:paraId="53916CB7">
            <w:pPr>
              <w:spacing w:after="0" w:line="220" w:lineRule="auto"/>
              <w:jc w:val="left"/>
            </w:pPr>
            <w:r>
              <w:rPr>
                <w:b w:val="0"/>
                <w:bCs w:val="0"/>
                <w:sz w:val="15"/>
                <w:szCs w:val="15"/>
              </w:rPr>
              <w:t>Firmware</w:t>
            </w:r>
          </w:p>
        </w:tc>
        <w:tc>
          <w:tcPr>
            <w:tcW w:w="620" w:type="dxa"/>
            <w:tcBorders>
              <w:top w:val="nil"/>
              <w:left w:val="nil"/>
              <w:bottom w:val="single" w:color="000000" w:sz="8" w:space="0"/>
              <w:right w:val="nil"/>
            </w:tcBorders>
            <w:tcMar>
              <w:top w:w="30" w:type="dxa"/>
              <w:left w:w="70" w:type="dxa"/>
              <w:bottom w:w="30" w:type="dxa"/>
              <w:right w:w="70" w:type="dxa"/>
            </w:tcMar>
          </w:tcPr>
          <w:p w14:paraId="4CDC86FA">
            <w:pPr>
              <w:spacing w:after="0" w:line="220" w:lineRule="auto"/>
              <w:jc w:val="left"/>
            </w:pPr>
            <w:r>
              <w:rPr>
                <w:b w:val="0"/>
                <w:bCs w:val="0"/>
                <w:sz w:val="15"/>
                <w:szCs w:val="15"/>
              </w:rPr>
              <w:t>L4</w:t>
            </w:r>
          </w:p>
        </w:tc>
        <w:tc>
          <w:tcPr>
            <w:tcW w:w="3000" w:type="dxa"/>
            <w:tcBorders>
              <w:top w:val="nil"/>
              <w:left w:val="nil"/>
              <w:bottom w:val="single" w:color="000000" w:sz="8" w:space="0"/>
              <w:right w:val="nil"/>
            </w:tcBorders>
            <w:tcMar>
              <w:top w:w="30" w:type="dxa"/>
              <w:left w:w="70" w:type="dxa"/>
              <w:bottom w:w="30" w:type="dxa"/>
              <w:right w:w="70" w:type="dxa"/>
            </w:tcMar>
          </w:tcPr>
          <w:p w14:paraId="2CFBEB85">
            <w:pPr>
              <w:spacing w:after="0" w:line="220" w:lineRule="auto"/>
              <w:jc w:val="left"/>
            </w:pPr>
            <w:r>
              <w:rPr>
                <w:b w:val="0"/>
                <w:bCs w:val="0"/>
                <w:sz w:val="15"/>
                <w:szCs w:val="15"/>
              </w:rPr>
              <w:t>A compromised build system or insider (rebuild); one rogue releaser</w:t>
            </w:r>
          </w:p>
        </w:tc>
        <w:tc>
          <w:tcPr>
            <w:tcW w:w="2220" w:type="dxa"/>
            <w:tcBorders>
              <w:top w:val="nil"/>
              <w:left w:val="nil"/>
              <w:bottom w:val="single" w:color="000000" w:sz="8" w:space="0"/>
              <w:right w:val="nil"/>
            </w:tcBorders>
            <w:tcMar>
              <w:top w:w="30" w:type="dxa"/>
              <w:left w:w="70" w:type="dxa"/>
              <w:bottom w:w="30" w:type="dxa"/>
              <w:right w:w="70" w:type="dxa"/>
            </w:tcMar>
          </w:tcPr>
          <w:p w14:paraId="69EF7DC6">
            <w:pPr>
              <w:spacing w:after="0" w:line="220" w:lineRule="auto"/>
              <w:jc w:val="left"/>
            </w:pPr>
            <w:r>
              <w:rPr>
                <w:b w:val="0"/>
                <w:bCs w:val="0"/>
                <w:sz w:val="15"/>
                <w:szCs w:val="15"/>
              </w:rPr>
              <w:t>Rebuilder</w:t>
            </w:r>
          </w:p>
        </w:tc>
        <w:tc>
          <w:tcPr>
            <w:tcW w:w="3500" w:type="dxa"/>
            <w:tcBorders>
              <w:top w:val="nil"/>
              <w:left w:val="nil"/>
              <w:bottom w:val="single" w:color="000000" w:sz="8" w:space="0"/>
              <w:right w:val="nil"/>
            </w:tcBorders>
            <w:tcMar>
              <w:top w:w="30" w:type="dxa"/>
              <w:left w:w="70" w:type="dxa"/>
              <w:bottom w:w="30" w:type="dxa"/>
              <w:right w:w="70" w:type="dxa"/>
            </w:tcMar>
          </w:tcPr>
          <w:p w14:paraId="3821C9CC">
            <w:pPr>
              <w:spacing w:after="0" w:line="220" w:lineRule="auto"/>
              <w:jc w:val="left"/>
            </w:pPr>
            <w:r>
              <w:rPr>
                <w:b w:val="0"/>
                <w:bCs w:val="0"/>
                <w:sz w:val="15"/>
                <w:szCs w:val="15"/>
              </w:rPr>
              <w:t>Malicious source; a shared toolchain; vendor binaries</w:t>
            </w:r>
          </w:p>
        </w:tc>
      </w:tr>
    </w:tbl>
    <w:p w14:paraId="4F4D9A11">
      <w:pPr>
        <w:spacing w:after="120"/>
      </w:pPr>
    </w:p>
    <w:p w14:paraId="205392A7">
      <w:pPr>
        <w:sectPr>
          <w:type w:val="continuous"/>
          <w:pgSz w:w="12240" w:h="15840"/>
          <w:pgMar w:top="1080" w:right="900" w:bottom="1440" w:left="900" w:header="708" w:footer="708" w:gutter="0"/>
          <w:cols w:space="720" w:num="1"/>
          <w:docGrid w:linePitch="360" w:charSpace="0"/>
        </w:sectPr>
      </w:pPr>
    </w:p>
    <w:p w14:paraId="5DAD5B0D">
      <w:pPr>
        <w:keepNext w:val="0"/>
        <w:spacing w:after="0" w:line="240" w:lineRule="auto"/>
        <w:ind w:firstLine="202"/>
        <w:jc w:val="both"/>
      </w:pPr>
      <w:r>
        <w:rPr>
          <w:b/>
          <w:bCs/>
        </w:rPr>
        <w:t>Sampling.</w:t>
      </w:r>
      <w:r>
        <w:t xml:space="preserve"> If a fraction p of a lot is altered and the lab draws n units at random from a much larger lot, the alteration is missed with probability about (1 − p)ⁿ. With p = 1%, 30 samples miss it about 74% of the time, and detection with 95% confidence needs 299 samples regardless of lot size; for p = 5% and 10% it needs 59 and 29 samples. Sampling therefore suits changes made to a whole lot (a changed mask is found by the first sample in which it is visible) and is weak against changes aimed at a few parts. HSLSA sets no sample size: the inspection record states the lot size, the plan, the technique and the layers and regions imaged, and the buyer sets a minimum sample from the share of parts it wants to detect. Our examples inspect two to five units or boards per lot, which shows that the records and checks work, not that their lots are covered.</w:t>
      </w:r>
    </w:p>
    <w:p w14:paraId="6C40FB25">
      <w:pPr>
        <w:keepNext w:val="0"/>
        <w:spacing w:after="0" w:line="240" w:lineRule="auto"/>
        <w:ind w:firstLine="202"/>
        <w:jc w:val="both"/>
      </w:pPr>
      <w:r>
        <w:rPr>
          <w:b/>
          <w:bCs/>
        </w:rPr>
        <w:t>Equivocation and backdating.</w:t>
      </w:r>
      <w:r>
        <w:t xml:space="preserve"> Without a shared log, a site can sign two different records for one lot and show each to a different buyer, and a thief of a key can sign records dated before the theft. HSLSA requires a log only at Firmware L3 and lets a buyer’s policy require one for manufacturing records; a log shared by a consortium of buyers closes equivocation among the parties that read it.</w:t>
      </w:r>
    </w:p>
    <w:p w14:paraId="077C076A">
      <w:pPr>
        <w:keepNext w:val="0"/>
        <w:spacing w:after="0" w:line="240" w:lineRule="auto"/>
        <w:ind w:firstLine="202"/>
        <w:jc w:val="both"/>
      </w:pPr>
      <w:r>
        <w:rPr>
          <w:b/>
          <w:bCs/>
        </w:rPr>
        <w:t>Who the verifier trusts.</w:t>
      </w:r>
      <w:r>
        <w:t xml:space="preserve"> The buyer’s trust root and policy, key custody at each site, the hardware roots of trust (keys stay inside, the ROM does what its design says), SHA-256/384 and ECDSA, and, where used, proxies and the escrow auditor. Records cannot show who operates a key; independence at L4 and the competence of labs and auditors rest on the buyer’s enrollment decisions.</w:t>
      </w:r>
    </w:p>
    <w:p w14:paraId="5C1DACE0">
      <w:pPr>
        <w:pStyle w:val="2"/>
      </w:pPr>
      <w:r>
        <w:rPr>
          <w:smallCaps/>
        </w:rPr>
        <w:t>XI. Limitations and Discussion</w:t>
      </w:r>
    </w:p>
    <w:p w14:paraId="1B19CDD4">
      <w:pPr>
        <w:keepNext w:val="0"/>
        <w:spacing w:after="0" w:line="240" w:lineRule="auto"/>
        <w:ind w:firstLine="202"/>
        <w:jc w:val="both"/>
      </w:pPr>
      <w:r>
        <w:rPr>
          <w:b/>
          <w:bCs/>
        </w:rPr>
        <w:t>Simulated manufacturing.</w:t>
      </w:r>
      <w:r>
        <w:t xml:space="preserve"> No wafer, package or board was made for this work. The fab, sort, packaging, test, assembly and provisioning records come from hand-written scenarios, models and a gate-level virtual shuttle whose defects are stuck-at faults on a generic-gate netlist, not real defect mechanisms. Real supplier exports may differ from what our adapters read. The next steps are an open-PDK shuttle run whose real sort and test data become records, and a real FPGA board with a physical root of trust.</w:t>
      </w:r>
    </w:p>
    <w:p w14:paraId="1BA9A84C">
      <w:pPr>
        <w:keepNext w:val="0"/>
        <w:spacing w:after="0" w:line="240" w:lineRule="auto"/>
        <w:ind w:firstLine="202"/>
        <w:jc w:val="both"/>
      </w:pPr>
      <w:r>
        <w:rPr>
          <w:b/>
          <w:bCs/>
        </w:rPr>
        <w:t>Independence by enrollment only.</w:t>
      </w:r>
      <w:r>
        <w:t xml:space="preserve"> The L4 rebuilders and labs in our examples run in the same CI job, under one account, as the parties they check; the buyer’s enrollments are what name them as other companies. The tool enforces that their keys are enrolled under other organizations, but it cannot show who operates a key. Running a second builder under a separate operator is future work.</w:t>
      </w:r>
    </w:p>
    <w:p w14:paraId="7820FD88">
      <w:pPr>
        <w:keepNext w:val="0"/>
        <w:spacing w:after="0" w:line="240" w:lineRule="auto"/>
        <w:ind w:firstLine="202"/>
        <w:jc w:val="both"/>
      </w:pPr>
      <w:r>
        <w:rPr>
          <w:b/>
          <w:bCs/>
        </w:rPr>
        <w:t>No deployment.</w:t>
      </w:r>
      <w:r>
        <w:t xml:space="preserve"> One author designed and implemented the framework, and no foundry, OSAT, EMS or buyer has used it. Whether suppliers will adopt proxy records, sidecar adapters and selective disclosure, and whether their legal and IT constraints allow it, is untested. Accreditation schemes and HSM key ceremonies are represented by records with made-up accreditations and SoftHSM tokens.</w:t>
      </w:r>
    </w:p>
    <w:p w14:paraId="1DDCB6CB">
      <w:pPr>
        <w:keepNext w:val="0"/>
        <w:spacing w:after="0" w:line="240" w:lineRule="auto"/>
        <w:ind w:firstLine="202"/>
        <w:jc w:val="both"/>
      </w:pPr>
      <w:r>
        <w:rPr>
          <w:b/>
          <w:bCs/>
        </w:rPr>
        <w:t>Scope.</w:t>
      </w:r>
      <w:r>
        <w:t xml:space="preserve"> Version 0.1 covers digital ASIC and SoC flows and FPGA designs. Analog and mixed-signal blocks enter only as hard IP with a vendor-signed release. Storage is not recorded beyond the shipper’s distribution record. After-sale events are recorded only on boards with a root of trust, and a rework that replaces a part with a hardware identity is refused rather than modeled. Only the ECC P-384 half of Caliptra 2.x’s identity chain is checked; the ML-DSA-87 chain is reported as present and not checked until common X.509 libraries verify it.</w:t>
      </w:r>
    </w:p>
    <w:p w14:paraId="22AB6761">
      <w:pPr>
        <w:keepNext w:val="0"/>
        <w:spacing w:after="0" w:line="240" w:lineRule="auto"/>
        <w:ind w:firstLine="202"/>
        <w:jc w:val="both"/>
      </w:pPr>
      <w:r>
        <w:rPr>
          <w:b/>
          <w:bCs/>
        </w:rPr>
        <w:t>Commercial EDA.</w:t>
      </w:r>
      <w:r>
        <w:t xml:space="preserve"> The license-server isolation rule and the Tcl hook were designed for commercial tools, but were exercised only with open-source tools (Yosys, OpenROAD) and synthetic license-server records, for lack of licenses.</w:t>
      </w:r>
    </w:p>
    <w:p w14:paraId="54E1C7EB">
      <w:pPr>
        <w:keepNext w:val="0"/>
        <w:spacing w:after="0" w:line="240" w:lineRule="auto"/>
        <w:ind w:firstLine="202"/>
        <w:jc w:val="both"/>
      </w:pPr>
      <w:r>
        <w:rPr>
          <w:b/>
          <w:bCs/>
        </w:rPr>
        <w:t>Profile, not a new standard.</w:t>
      </w:r>
      <w:r>
        <w:t xml:space="preserve"> HSLSA maps each of its steps onto an IR 8536 event category, fills IR 8536’s record elements from its fields, and adds four requirements for exchange with other IR 8536 ecosystems. In the other direction, it supplies what IR 8536 leaves to each sector for semiconductors: payload templates, a risk scale (the levels), and the binding of a booted device to its records. Whether IR 8536’s reference implementation can ingest HSLSA records could not be tested, since it was not public when we last checked (September 2026). A long-term neutral home for the specification (for example OpenSSF, CHIPS Alliance or OCP), and whether such a body should run a trust root shared by many buyers, are open questions.</w:t>
      </w:r>
    </w:p>
    <w:p w14:paraId="59DB8F79">
      <w:pPr>
        <w:pStyle w:val="2"/>
      </w:pPr>
      <w:r>
        <w:rPr>
          <w:smallCaps/>
        </w:rPr>
        <w:t>XII. Conclusion</w:t>
      </w:r>
    </w:p>
    <w:p w14:paraId="5F5DBF1C">
      <w:pPr>
        <w:keepNext w:val="0"/>
        <w:spacing w:after="0" w:line="240" w:lineRule="auto"/>
        <w:ind w:firstLine="202"/>
        <w:jc w:val="both"/>
      </w:pPr>
      <w:r>
        <w:t>HSLSA brings the structure that SLSA and in-toto gave software supply chains to the hardware supply chain: per-stage levels a buyer can require, one chain of signed records from RTL to a booted device, and checks that answer pass or fail. It reuses existing standards for records, device identity, reference values, firmware review and bills of materials, and adds the hardware-specific parts: physical subject naming, die-rooted identity challenges, license-server-aware isolation, committed sampling for destructive inspection, records for suppliers that do not sign yet, and selective disclosure for supplier secrets. A reference implementation and five open-source examples show that, for these examples, the records can be produced and checked at every level in well under a second per check, partly with unmodified SLSA, SBOM and policy tooling, and that a real RTL-to-GDS flow can be rebuilt bit for bit. They do not show that real suppliers will produce these records, or that signed records make real parts trustworthy: the framework is explicit that a signature proves who made a claim, not that the claim is true, and that only device identity, boot measurements and sampled inspection ever touch the silicon. The specification, tool and examples are available at https://github.com/Horiodino/hw-slsa.</w:t>
      </w:r>
    </w:p>
    <w:p w14:paraId="4617CFDC">
      <w:pPr>
        <w:pStyle w:val="2"/>
      </w:pPr>
      <w:r>
        <w:rPr>
          <w:smallCaps/>
        </w:rPr>
        <w:t>References</w:t>
      </w:r>
    </w:p>
    <w:p w14:paraId="58C9E091">
      <w:pPr>
        <w:tabs>
          <w:tab w:val="left" w:pos="400"/>
        </w:tabs>
        <w:spacing w:after="20"/>
        <w:ind w:left="400" w:hanging="400"/>
        <w:jc w:val="left"/>
      </w:pPr>
      <w:r>
        <w:rPr>
          <w:sz w:val="16"/>
          <w:szCs w:val="16"/>
        </w:rPr>
        <w:t>[1]</w:t>
      </w:r>
      <w:r>
        <w:rPr>
          <w:sz w:val="16"/>
          <w:szCs w:val="16"/>
        </w:rPr>
        <w:tab/>
      </w:r>
      <w:r>
        <w:rPr>
          <w:sz w:val="16"/>
          <w:szCs w:val="16"/>
        </w:rPr>
        <w:t xml:space="preserve">U. Guin, K. Huang, D. DiMase, J. M. Carulli, M. Tehranipoor, and Y. Makris, “Counterfeit integrated circuits: A rising threat in the global semiconductor supply chain,” </w:t>
      </w:r>
      <w:r>
        <w:rPr>
          <w:i/>
          <w:iCs/>
          <w:sz w:val="16"/>
          <w:szCs w:val="16"/>
        </w:rPr>
        <w:t>Proceedings of the IEEE</w:t>
      </w:r>
      <w:r>
        <w:rPr>
          <w:sz w:val="16"/>
          <w:szCs w:val="16"/>
        </w:rPr>
        <w:t>, vol. 102, no. 8, 2014.</w:t>
      </w:r>
    </w:p>
    <w:p w14:paraId="5DC0448D">
      <w:pPr>
        <w:tabs>
          <w:tab w:val="left" w:pos="400"/>
        </w:tabs>
        <w:spacing w:after="20"/>
        <w:ind w:left="400" w:hanging="400"/>
        <w:jc w:val="left"/>
      </w:pPr>
      <w:r>
        <w:rPr>
          <w:sz w:val="16"/>
          <w:szCs w:val="16"/>
        </w:rPr>
        <w:t>[2]</w:t>
      </w:r>
      <w:r>
        <w:rPr>
          <w:sz w:val="16"/>
          <w:szCs w:val="16"/>
        </w:rPr>
        <w:tab/>
      </w:r>
      <w:r>
        <w:rPr>
          <w:sz w:val="16"/>
          <w:szCs w:val="16"/>
        </w:rPr>
        <w:t xml:space="preserve">M. Tehranipoor and F. Koushanfar, “A survey of hardware trojan taxonomy and detection,” </w:t>
      </w:r>
      <w:r>
        <w:rPr>
          <w:i/>
          <w:iCs/>
          <w:sz w:val="16"/>
          <w:szCs w:val="16"/>
        </w:rPr>
        <w:t>IEEE Design &amp; Test of Computers</w:t>
      </w:r>
      <w:r>
        <w:rPr>
          <w:sz w:val="16"/>
          <w:szCs w:val="16"/>
        </w:rPr>
        <w:t>, vol. 27, no. 1, 2010.</w:t>
      </w:r>
    </w:p>
    <w:p w14:paraId="43BE6B52">
      <w:pPr>
        <w:tabs>
          <w:tab w:val="left" w:pos="400"/>
        </w:tabs>
        <w:spacing w:after="20"/>
        <w:ind w:left="400" w:hanging="400"/>
        <w:jc w:val="left"/>
      </w:pPr>
      <w:r>
        <w:rPr>
          <w:sz w:val="16"/>
          <w:szCs w:val="16"/>
        </w:rPr>
        <w:t>[3]</w:t>
      </w:r>
      <w:r>
        <w:rPr>
          <w:sz w:val="16"/>
          <w:szCs w:val="16"/>
        </w:rPr>
        <w:tab/>
      </w:r>
      <w:r>
        <w:rPr>
          <w:sz w:val="16"/>
          <w:szCs w:val="16"/>
        </w:rPr>
        <w:t xml:space="preserve">M. Rostami, F. Koushanfar, and R. Karri, “A primer on hardware security: Models, methods, and metrics,” </w:t>
      </w:r>
      <w:r>
        <w:rPr>
          <w:i/>
          <w:iCs/>
          <w:sz w:val="16"/>
          <w:szCs w:val="16"/>
        </w:rPr>
        <w:t>Proceedings of the IEEE</w:t>
      </w:r>
      <w:r>
        <w:rPr>
          <w:sz w:val="16"/>
          <w:szCs w:val="16"/>
        </w:rPr>
        <w:t>, vol. 102, no. 8, 2014.</w:t>
      </w:r>
    </w:p>
    <w:p w14:paraId="2C8DB4A3">
      <w:pPr>
        <w:tabs>
          <w:tab w:val="left" w:pos="400"/>
        </w:tabs>
        <w:spacing w:after="20"/>
        <w:ind w:left="400" w:hanging="400"/>
        <w:jc w:val="left"/>
      </w:pPr>
      <w:r>
        <w:rPr>
          <w:sz w:val="16"/>
          <w:szCs w:val="16"/>
        </w:rPr>
        <w:t>[4]</w:t>
      </w:r>
      <w:r>
        <w:rPr>
          <w:sz w:val="16"/>
          <w:szCs w:val="16"/>
        </w:rPr>
        <w:tab/>
      </w:r>
      <w:r>
        <w:rPr>
          <w:sz w:val="16"/>
          <w:szCs w:val="16"/>
        </w:rPr>
        <w:t xml:space="preserve">K. Yang, M. Hicks, Q. Dong, T. Austin, and D. Sylvester, “A2: Analog malicious hardware,” in </w:t>
      </w:r>
      <w:r>
        <w:rPr>
          <w:i/>
          <w:iCs/>
          <w:sz w:val="16"/>
          <w:szCs w:val="16"/>
        </w:rPr>
        <w:t>Proceedings of the IEEE Symposium on Security and Privacy (S&amp;P)</w:t>
      </w:r>
      <w:r>
        <w:rPr>
          <w:sz w:val="16"/>
          <w:szCs w:val="16"/>
        </w:rPr>
        <w:t>, 2016.</w:t>
      </w:r>
    </w:p>
    <w:p w14:paraId="57B565C7">
      <w:pPr>
        <w:tabs>
          <w:tab w:val="left" w:pos="400"/>
        </w:tabs>
        <w:spacing w:after="20"/>
        <w:ind w:left="400" w:hanging="400"/>
        <w:jc w:val="left"/>
      </w:pPr>
      <w:r>
        <w:rPr>
          <w:sz w:val="16"/>
          <w:szCs w:val="16"/>
        </w:rPr>
        <w:t>[5]</w:t>
      </w:r>
      <w:r>
        <w:rPr>
          <w:sz w:val="16"/>
          <w:szCs w:val="16"/>
        </w:rPr>
        <w:tab/>
      </w:r>
      <w:r>
        <w:rPr>
          <w:sz w:val="16"/>
          <w:szCs w:val="16"/>
        </w:rPr>
        <w:t xml:space="preserve">G. T. Becker, F. Regazzoni, C. Paar, and W. P. Burleson, “Stealthy dopant-level hardware trojans,” in </w:t>
      </w:r>
      <w:r>
        <w:rPr>
          <w:i/>
          <w:iCs/>
          <w:sz w:val="16"/>
          <w:szCs w:val="16"/>
        </w:rPr>
        <w:t>Cryptographic Hardware and Embedded Systems (CHES)</w:t>
      </w:r>
      <w:r>
        <w:rPr>
          <w:sz w:val="16"/>
          <w:szCs w:val="16"/>
        </w:rPr>
        <w:t>, ser. LNCS, vol. 8086, 2013.</w:t>
      </w:r>
    </w:p>
    <w:p w14:paraId="3ACCF854">
      <w:pPr>
        <w:tabs>
          <w:tab w:val="left" w:pos="400"/>
        </w:tabs>
        <w:spacing w:after="20"/>
        <w:ind w:left="400" w:hanging="400"/>
        <w:jc w:val="left"/>
      </w:pPr>
      <w:r>
        <w:rPr>
          <w:sz w:val="16"/>
          <w:szCs w:val="16"/>
        </w:rPr>
        <w:t>[6]</w:t>
      </w:r>
      <w:r>
        <w:rPr>
          <w:sz w:val="16"/>
          <w:szCs w:val="16"/>
        </w:rPr>
        <w:tab/>
      </w:r>
      <w:r>
        <w:rPr>
          <w:sz w:val="16"/>
          <w:szCs w:val="16"/>
        </w:rPr>
        <w:t xml:space="preserve">S. Torres-Arias, H. Afzali, T. K. Kuppusamy, R. Curtmola, and J. Cappos, “in-toto: Providing farm-to-table guarantees for bits and bytes,” in </w:t>
      </w:r>
      <w:r>
        <w:rPr>
          <w:i/>
          <w:iCs/>
          <w:sz w:val="16"/>
          <w:szCs w:val="16"/>
        </w:rPr>
        <w:t>Proceedings of the 28th USENIX Security Symposium</w:t>
      </w:r>
      <w:r>
        <w:rPr>
          <w:sz w:val="16"/>
          <w:szCs w:val="16"/>
        </w:rPr>
        <w:t>, 2019.</w:t>
      </w:r>
    </w:p>
    <w:p w14:paraId="6395C2C6">
      <w:pPr>
        <w:tabs>
          <w:tab w:val="left" w:pos="400"/>
        </w:tabs>
        <w:spacing w:after="20"/>
        <w:ind w:left="400" w:hanging="400"/>
        <w:jc w:val="left"/>
      </w:pPr>
      <w:r>
        <w:rPr>
          <w:sz w:val="16"/>
          <w:szCs w:val="16"/>
        </w:rPr>
        <w:t>[7]</w:t>
      </w:r>
      <w:r>
        <w:rPr>
          <w:sz w:val="16"/>
          <w:szCs w:val="16"/>
        </w:rPr>
        <w:tab/>
      </w:r>
      <w:r>
        <w:rPr>
          <w:sz w:val="16"/>
          <w:szCs w:val="16"/>
        </w:rPr>
        <w:t>in-toto project, “in-toto attestation framework: Statement v1,” https://github.com/in-toto/attestation/blob/main/spec/v1/statement.md, accessed 2026-10-09.</w:t>
      </w:r>
    </w:p>
    <w:p w14:paraId="4DAEE735">
      <w:pPr>
        <w:tabs>
          <w:tab w:val="left" w:pos="400"/>
        </w:tabs>
        <w:spacing w:after="20"/>
        <w:ind w:left="400" w:hanging="400"/>
        <w:jc w:val="left"/>
      </w:pPr>
      <w:r>
        <w:rPr>
          <w:sz w:val="16"/>
          <w:szCs w:val="16"/>
        </w:rPr>
        <w:t>[8]</w:t>
      </w:r>
      <w:r>
        <w:rPr>
          <w:sz w:val="16"/>
          <w:szCs w:val="16"/>
        </w:rPr>
        <w:tab/>
      </w:r>
      <w:r>
        <w:rPr>
          <w:sz w:val="16"/>
          <w:szCs w:val="16"/>
        </w:rPr>
        <w:t>OpenSSF, “SLSA specification v1.2,” https://slsa.dev/spec/v1.2/, accessed 2026-10-09.</w:t>
      </w:r>
    </w:p>
    <w:p w14:paraId="6C64AFA6">
      <w:pPr>
        <w:tabs>
          <w:tab w:val="left" w:pos="400"/>
        </w:tabs>
        <w:spacing w:after="20"/>
        <w:ind w:left="400" w:hanging="400"/>
        <w:jc w:val="left"/>
      </w:pPr>
      <w:r>
        <w:rPr>
          <w:sz w:val="16"/>
          <w:szCs w:val="16"/>
        </w:rPr>
        <w:t>[9]</w:t>
      </w:r>
      <w:r>
        <w:rPr>
          <w:sz w:val="16"/>
          <w:szCs w:val="16"/>
        </w:rPr>
        <w:tab/>
      </w:r>
      <w:r>
        <w:rPr>
          <w:sz w:val="16"/>
          <w:szCs w:val="16"/>
        </w:rPr>
        <w:t xml:space="preserve">Z. Newman, J. S. Meyers, and S. Torres-Arias, “Sigstore: Software signing for everybody,” in </w:t>
      </w:r>
      <w:r>
        <w:rPr>
          <w:i/>
          <w:iCs/>
          <w:sz w:val="16"/>
          <w:szCs w:val="16"/>
        </w:rPr>
        <w:t>Proceedings of the 2022 ACM SIGSAC Conference on Computer and Communications Security (CCS)</w:t>
      </w:r>
      <w:r>
        <w:rPr>
          <w:sz w:val="16"/>
          <w:szCs w:val="16"/>
        </w:rPr>
        <w:t>, 2022.</w:t>
      </w:r>
    </w:p>
    <w:p w14:paraId="2C9DEE41">
      <w:pPr>
        <w:tabs>
          <w:tab w:val="left" w:pos="400"/>
        </w:tabs>
        <w:spacing w:after="20"/>
        <w:ind w:left="400" w:hanging="400"/>
        <w:jc w:val="left"/>
      </w:pPr>
      <w:r>
        <w:rPr>
          <w:sz w:val="16"/>
          <w:szCs w:val="16"/>
        </w:rPr>
        <w:t>[10]</w:t>
      </w:r>
      <w:r>
        <w:rPr>
          <w:sz w:val="16"/>
          <w:szCs w:val="16"/>
        </w:rPr>
        <w:tab/>
      </w:r>
      <w:r>
        <w:rPr>
          <w:sz w:val="16"/>
          <w:szCs w:val="16"/>
        </w:rPr>
        <w:t xml:space="preserve">C. Lamb and S. Zacchiroli, “Reproducible builds: Increasing the integrity of software supply chains,” </w:t>
      </w:r>
      <w:r>
        <w:rPr>
          <w:i/>
          <w:iCs/>
          <w:sz w:val="16"/>
          <w:szCs w:val="16"/>
        </w:rPr>
        <w:t>IEEE Software</w:t>
      </w:r>
      <w:r>
        <w:rPr>
          <w:sz w:val="16"/>
          <w:szCs w:val="16"/>
        </w:rPr>
        <w:t>, vol. 39, no. 2, 2022.</w:t>
      </w:r>
    </w:p>
    <w:p w14:paraId="2137CACD">
      <w:pPr>
        <w:tabs>
          <w:tab w:val="left" w:pos="400"/>
        </w:tabs>
        <w:spacing w:after="20"/>
        <w:ind w:left="400" w:hanging="400"/>
        <w:jc w:val="left"/>
      </w:pPr>
      <w:r>
        <w:rPr>
          <w:sz w:val="16"/>
          <w:szCs w:val="16"/>
        </w:rPr>
        <w:t>[11]</w:t>
      </w:r>
      <w:r>
        <w:rPr>
          <w:sz w:val="16"/>
          <w:szCs w:val="16"/>
        </w:rPr>
        <w:tab/>
      </w:r>
      <w:r>
        <w:rPr>
          <w:sz w:val="16"/>
          <w:szCs w:val="16"/>
        </w:rPr>
        <w:t>National Telecommunications and Information Administration, “The minimum elements for a software bill of materials (SBOM),” U.S. Department of Commerce, Tech. Rep., 2021.</w:t>
      </w:r>
    </w:p>
    <w:p w14:paraId="69C9558F">
      <w:pPr>
        <w:tabs>
          <w:tab w:val="left" w:pos="400"/>
        </w:tabs>
        <w:spacing w:after="20"/>
        <w:ind w:left="400" w:hanging="400"/>
        <w:jc w:val="left"/>
      </w:pPr>
      <w:r>
        <w:rPr>
          <w:sz w:val="16"/>
          <w:szCs w:val="16"/>
        </w:rPr>
        <w:t>[12]</w:t>
      </w:r>
      <w:r>
        <w:rPr>
          <w:sz w:val="16"/>
          <w:szCs w:val="16"/>
        </w:rPr>
        <w:tab/>
      </w:r>
      <w:r>
        <w:rPr>
          <w:sz w:val="16"/>
          <w:szCs w:val="16"/>
        </w:rPr>
        <w:t>Ecma International, “ECMA-424: CycloneDX bill of materials specification, 1st edition (CycloneDX 1.6),” Ecma International, Tech. Rep., 2024.</w:t>
      </w:r>
    </w:p>
    <w:p w14:paraId="6A9DAE52">
      <w:pPr>
        <w:tabs>
          <w:tab w:val="left" w:pos="400"/>
        </w:tabs>
        <w:spacing w:after="20"/>
        <w:ind w:left="400" w:hanging="400"/>
        <w:jc w:val="left"/>
      </w:pPr>
      <w:r>
        <w:rPr>
          <w:sz w:val="16"/>
          <w:szCs w:val="16"/>
        </w:rPr>
        <w:t>[13]</w:t>
      </w:r>
      <w:r>
        <w:rPr>
          <w:sz w:val="16"/>
          <w:szCs w:val="16"/>
        </w:rPr>
        <w:tab/>
      </w:r>
      <w:r>
        <w:rPr>
          <w:sz w:val="16"/>
          <w:szCs w:val="16"/>
        </w:rPr>
        <w:t>Trusted Computing Group, “DICE attestation architecture,” Trusted Computing Group, Tech. Rep., https://trustedcomputinggroup.org/resource/dice-attestation-architecture/.</w:t>
      </w:r>
    </w:p>
    <w:p w14:paraId="42765165">
      <w:pPr>
        <w:tabs>
          <w:tab w:val="left" w:pos="400"/>
        </w:tabs>
        <w:spacing w:after="20"/>
        <w:ind w:left="400" w:hanging="400"/>
        <w:jc w:val="left"/>
      </w:pPr>
      <w:r>
        <w:rPr>
          <w:sz w:val="16"/>
          <w:szCs w:val="16"/>
        </w:rPr>
        <w:t>[14]</w:t>
      </w:r>
      <w:r>
        <w:rPr>
          <w:sz w:val="16"/>
          <w:szCs w:val="16"/>
        </w:rPr>
        <w:tab/>
      </w:r>
      <w:r>
        <w:rPr>
          <w:sz w:val="16"/>
          <w:szCs w:val="16"/>
        </w:rPr>
        <w:t>CHIPS Alliance, “Caliptra: Open-source silicon root of trust, RTL and firmware,” https://github.com/chipsalliance/caliptra-rtl, https://github.com/chipsalliance/caliptra-sw, caliptra-sw tag fw-2.1.3.</w:t>
      </w:r>
    </w:p>
    <w:p w14:paraId="7CF8A63A">
      <w:pPr>
        <w:tabs>
          <w:tab w:val="left" w:pos="400"/>
        </w:tabs>
        <w:spacing w:after="20"/>
        <w:ind w:left="400" w:hanging="400"/>
        <w:jc w:val="left"/>
      </w:pPr>
      <w:r>
        <w:rPr>
          <w:sz w:val="16"/>
          <w:szCs w:val="16"/>
        </w:rPr>
        <w:t>[15]</w:t>
      </w:r>
      <w:r>
        <w:rPr>
          <w:sz w:val="16"/>
          <w:szCs w:val="16"/>
        </w:rPr>
        <w:tab/>
      </w:r>
      <w:r>
        <w:rPr>
          <w:sz w:val="16"/>
          <w:szCs w:val="16"/>
        </w:rPr>
        <w:t>Open Compute Project, “Security appraisal framework and enablement (S.A.F.E.),” https://github.com/opencomputeproject/OCP-Security-SAFE, accessed 2026-10-09.</w:t>
      </w:r>
    </w:p>
    <w:p w14:paraId="44349965">
      <w:pPr>
        <w:tabs>
          <w:tab w:val="left" w:pos="400"/>
        </w:tabs>
        <w:spacing w:after="20"/>
        <w:ind w:left="400" w:hanging="400"/>
        <w:jc w:val="left"/>
      </w:pPr>
      <w:r>
        <w:rPr>
          <w:sz w:val="16"/>
          <w:szCs w:val="16"/>
        </w:rPr>
        <w:t>[16]</w:t>
      </w:r>
      <w:r>
        <w:rPr>
          <w:sz w:val="16"/>
          <w:szCs w:val="16"/>
        </w:rPr>
        <w:tab/>
      </w:r>
      <w:r>
        <w:rPr>
          <w:sz w:val="16"/>
          <w:szCs w:val="16"/>
        </w:rPr>
        <w:t>CISA ICT Supply Chain Risk Management Task Force, “A hardware bill of materials (HBOM) framework for supply chain risk management,” Cybersecurity and Infrastructure Security Agency, Tech. Rep., 2023.</w:t>
      </w:r>
    </w:p>
    <w:p w14:paraId="1FB36220">
      <w:pPr>
        <w:tabs>
          <w:tab w:val="left" w:pos="400"/>
        </w:tabs>
        <w:spacing w:after="20"/>
        <w:ind w:left="400" w:hanging="400"/>
        <w:jc w:val="left"/>
      </w:pPr>
      <w:r>
        <w:rPr>
          <w:sz w:val="16"/>
          <w:szCs w:val="16"/>
        </w:rPr>
        <w:t>[17]</w:t>
      </w:r>
      <w:r>
        <w:rPr>
          <w:sz w:val="16"/>
          <w:szCs w:val="16"/>
        </w:rPr>
        <w:tab/>
      </w:r>
      <w:r>
        <w:rPr>
          <w:sz w:val="16"/>
          <w:szCs w:val="16"/>
        </w:rPr>
        <w:t>National Institute of Standards and Technology, “Supply chain traceability: Manufacturing meta-framework,” NIST, Interagency Report NIST IR 8536, 2026.</w:t>
      </w:r>
    </w:p>
    <w:p w14:paraId="546566D8">
      <w:pPr>
        <w:tabs>
          <w:tab w:val="left" w:pos="400"/>
        </w:tabs>
        <w:spacing w:after="20"/>
        <w:ind w:left="400" w:hanging="400"/>
        <w:jc w:val="left"/>
      </w:pPr>
      <w:r>
        <w:rPr>
          <w:sz w:val="16"/>
          <w:szCs w:val="16"/>
        </w:rPr>
        <w:t>[18]</w:t>
      </w:r>
      <w:r>
        <w:rPr>
          <w:sz w:val="16"/>
          <w:szCs w:val="16"/>
        </w:rPr>
        <w:tab/>
      </w:r>
      <w:r>
        <w:rPr>
          <w:sz w:val="16"/>
          <w:szCs w:val="16"/>
        </w:rPr>
        <w:t xml:space="preserve">K. Yang, D. Forte, and M. M. Tehranipoor, “CDTA: A comprehensive solution for counterfeit detection, traceability, and authentication in the IoT supply chain,” </w:t>
      </w:r>
      <w:r>
        <w:rPr>
          <w:i/>
          <w:iCs/>
          <w:sz w:val="16"/>
          <w:szCs w:val="16"/>
        </w:rPr>
        <w:t>ACM Transactions on Design Automation of Electronic Systems</w:t>
      </w:r>
      <w:r>
        <w:rPr>
          <w:sz w:val="16"/>
          <w:szCs w:val="16"/>
        </w:rPr>
        <w:t>, vol. 22, 2017.</w:t>
      </w:r>
    </w:p>
    <w:p w14:paraId="32EEF848">
      <w:pPr>
        <w:tabs>
          <w:tab w:val="left" w:pos="400"/>
        </w:tabs>
        <w:spacing w:after="20"/>
        <w:ind w:left="400" w:hanging="400"/>
        <w:jc w:val="left"/>
      </w:pPr>
      <w:r>
        <w:rPr>
          <w:sz w:val="16"/>
          <w:szCs w:val="16"/>
        </w:rPr>
        <w:t>[19]</w:t>
      </w:r>
      <w:r>
        <w:rPr>
          <w:sz w:val="16"/>
          <w:szCs w:val="16"/>
        </w:rPr>
        <w:tab/>
      </w:r>
      <w:r>
        <w:rPr>
          <w:sz w:val="16"/>
          <w:szCs w:val="16"/>
        </w:rPr>
        <w:t>Secure Systems Lab, “DSSE: Dead simple signing envelope,” https://github.com/secure-systems-lab/dsse, accessed 2026-10-09.</w:t>
      </w:r>
    </w:p>
    <w:p w14:paraId="311C6564">
      <w:pPr>
        <w:tabs>
          <w:tab w:val="left" w:pos="400"/>
        </w:tabs>
        <w:spacing w:after="20"/>
        <w:ind w:left="400" w:hanging="400"/>
        <w:jc w:val="left"/>
      </w:pPr>
      <w:r>
        <w:rPr>
          <w:sz w:val="16"/>
          <w:szCs w:val="16"/>
        </w:rPr>
        <w:t>[20]</w:t>
      </w:r>
      <w:r>
        <w:rPr>
          <w:sz w:val="16"/>
          <w:szCs w:val="16"/>
        </w:rPr>
        <w:tab/>
      </w:r>
      <w:r>
        <w:rPr>
          <w:sz w:val="16"/>
          <w:szCs w:val="16"/>
        </w:rPr>
        <w:t xml:space="preserve">P. Ladisa, H. Plate, M. Martinez, and O. Barais, “SoK: Taxonomy of attacks on open-source software supply chains,” in </w:t>
      </w:r>
      <w:r>
        <w:rPr>
          <w:i/>
          <w:iCs/>
          <w:sz w:val="16"/>
          <w:szCs w:val="16"/>
        </w:rPr>
        <w:t>Proceedings of the IEEE Symposium on Security and Privacy (S&amp;P)</w:t>
      </w:r>
      <w:r>
        <w:rPr>
          <w:sz w:val="16"/>
          <w:szCs w:val="16"/>
        </w:rPr>
        <w:t>, 2023.</w:t>
      </w:r>
    </w:p>
    <w:p w14:paraId="0DAAFAB4">
      <w:pPr>
        <w:tabs>
          <w:tab w:val="left" w:pos="400"/>
        </w:tabs>
        <w:spacing w:after="20"/>
        <w:ind w:left="400" w:hanging="400"/>
        <w:jc w:val="left"/>
      </w:pPr>
      <w:r>
        <w:rPr>
          <w:sz w:val="16"/>
          <w:szCs w:val="16"/>
        </w:rPr>
        <w:t>[21]</w:t>
      </w:r>
      <w:r>
        <w:rPr>
          <w:sz w:val="16"/>
          <w:szCs w:val="16"/>
        </w:rPr>
        <w:tab/>
      </w:r>
      <w:r>
        <w:rPr>
          <w:sz w:val="16"/>
          <w:szCs w:val="16"/>
        </w:rPr>
        <w:t>SPDX Project, “SPDX 3.1 ontology and schema, release candidate,” https://spdx.dev/spdx-3-1-ontology-and-schema-available-for-review/, 2026, accessed 2026-09-20.</w:t>
      </w:r>
    </w:p>
    <w:p w14:paraId="7C5E8819">
      <w:pPr>
        <w:tabs>
          <w:tab w:val="left" w:pos="400"/>
        </w:tabs>
        <w:spacing w:after="20"/>
        <w:ind w:left="400" w:hanging="400"/>
        <w:jc w:val="left"/>
      </w:pPr>
      <w:r>
        <w:rPr>
          <w:sz w:val="16"/>
          <w:szCs w:val="16"/>
        </w:rPr>
        <w:t>[22]</w:t>
      </w:r>
      <w:r>
        <w:rPr>
          <w:sz w:val="16"/>
          <w:szCs w:val="16"/>
        </w:rPr>
        <w:tab/>
      </w:r>
      <w:r>
        <w:rPr>
          <w:sz w:val="16"/>
          <w:szCs w:val="16"/>
        </w:rPr>
        <w:t xml:space="preserve">T. Sugawara, D. Suzuki, R. Fujii, S. Tawa, R. Hori, M. Shiozaki, and T. Fujino, “Reversing stealthy dopant-level circuits,” in </w:t>
      </w:r>
      <w:r>
        <w:rPr>
          <w:i/>
          <w:iCs/>
          <w:sz w:val="16"/>
          <w:szCs w:val="16"/>
        </w:rPr>
        <w:t>Cryptographic Hardware and Embedded Systems (CHES)</w:t>
      </w:r>
      <w:r>
        <w:rPr>
          <w:sz w:val="16"/>
          <w:szCs w:val="16"/>
        </w:rPr>
        <w:t>, ser. LNCS, vol. 8731, 2014.</w:t>
      </w:r>
    </w:p>
    <w:p w14:paraId="0FA24454">
      <w:pPr>
        <w:tabs>
          <w:tab w:val="left" w:pos="400"/>
        </w:tabs>
        <w:spacing w:after="20"/>
        <w:ind w:left="400" w:hanging="400"/>
        <w:jc w:val="left"/>
      </w:pPr>
      <w:r>
        <w:rPr>
          <w:sz w:val="16"/>
          <w:szCs w:val="16"/>
        </w:rPr>
        <w:t>[23]</w:t>
      </w:r>
      <w:r>
        <w:rPr>
          <w:sz w:val="16"/>
          <w:szCs w:val="16"/>
        </w:rPr>
        <w:tab/>
      </w:r>
      <w:r>
        <w:rPr>
          <w:sz w:val="16"/>
          <w:szCs w:val="16"/>
        </w:rPr>
        <w:t xml:space="preserve">M. Tehranipoor, U. Guin, and D. Forte, </w:t>
      </w:r>
      <w:r>
        <w:rPr>
          <w:i/>
          <w:iCs/>
          <w:sz w:val="16"/>
          <w:szCs w:val="16"/>
        </w:rPr>
        <w:t>Counterfeit Integrated Circuits: Detection and Avoidance</w:t>
      </w:r>
      <w:r>
        <w:rPr>
          <w:sz w:val="16"/>
          <w:szCs w:val="16"/>
        </w:rPr>
        <w:t>. Springer, 2015.</w:t>
      </w:r>
    </w:p>
    <w:p w14:paraId="76AE1AC1">
      <w:pPr>
        <w:tabs>
          <w:tab w:val="left" w:pos="400"/>
        </w:tabs>
        <w:spacing w:after="20"/>
        <w:ind w:left="400" w:hanging="400"/>
        <w:jc w:val="left"/>
      </w:pPr>
      <w:r>
        <w:rPr>
          <w:sz w:val="16"/>
          <w:szCs w:val="16"/>
        </w:rPr>
        <w:t>[24]</w:t>
      </w:r>
      <w:r>
        <w:rPr>
          <w:sz w:val="16"/>
          <w:szCs w:val="16"/>
        </w:rPr>
        <w:tab/>
      </w:r>
      <w:r>
        <w:rPr>
          <w:sz w:val="16"/>
          <w:szCs w:val="16"/>
        </w:rPr>
        <w:t>CHIPS Alliance, “CHIPS alliance welcomes the Caliptra open source root of trust project,” https://chipsalliance.org/news/chips-alliance-welcomes-the-caliptra-open-source-root-of-trust-project/, 2022.</w:t>
      </w:r>
    </w:p>
    <w:p w14:paraId="37637923">
      <w:pPr>
        <w:tabs>
          <w:tab w:val="left" w:pos="400"/>
        </w:tabs>
        <w:spacing w:after="20"/>
        <w:ind w:left="400" w:hanging="400"/>
        <w:jc w:val="left"/>
      </w:pPr>
      <w:r>
        <w:rPr>
          <w:sz w:val="16"/>
          <w:szCs w:val="16"/>
        </w:rPr>
        <w:t>[25]</w:t>
      </w:r>
      <w:r>
        <w:rPr>
          <w:sz w:val="16"/>
          <w:szCs w:val="16"/>
        </w:rPr>
        <w:tab/>
      </w:r>
      <w:r>
        <w:rPr>
          <w:sz w:val="16"/>
          <w:szCs w:val="16"/>
        </w:rPr>
        <w:t>H. Birkholz, D. Thaler, M. Richardson, N. Smith, and W. Pan, “Remote attestation procedures (RATS) architecture,” IETF, RFC 9334, 2023.</w:t>
      </w:r>
    </w:p>
    <w:p w14:paraId="6D578BC2">
      <w:pPr>
        <w:tabs>
          <w:tab w:val="left" w:pos="400"/>
        </w:tabs>
        <w:spacing w:after="20"/>
        <w:ind w:left="400" w:hanging="400"/>
        <w:jc w:val="left"/>
      </w:pPr>
      <w:r>
        <w:rPr>
          <w:sz w:val="16"/>
          <w:szCs w:val="16"/>
        </w:rPr>
        <w:t>[26]</w:t>
      </w:r>
      <w:r>
        <w:rPr>
          <w:sz w:val="16"/>
          <w:szCs w:val="16"/>
        </w:rPr>
        <w:tab/>
      </w:r>
      <w:r>
        <w:rPr>
          <w:sz w:val="16"/>
          <w:szCs w:val="16"/>
        </w:rPr>
        <w:t>IETF RATS Working Group, “Concise reference integrity manifest,” IETF, Internet-Draft draft-ietf-rats-corim-11, work in progress.</w:t>
      </w:r>
    </w:p>
    <w:p w14:paraId="4CEBC767">
      <w:pPr>
        <w:tabs>
          <w:tab w:val="left" w:pos="400"/>
        </w:tabs>
        <w:spacing w:after="20"/>
        <w:ind w:left="400" w:hanging="400"/>
        <w:jc w:val="left"/>
      </w:pPr>
      <w:r>
        <w:rPr>
          <w:sz w:val="16"/>
          <w:szCs w:val="16"/>
        </w:rPr>
        <w:t>[27]</w:t>
      </w:r>
      <w:r>
        <w:rPr>
          <w:sz w:val="16"/>
          <w:szCs w:val="16"/>
        </w:rPr>
        <w:tab/>
      </w:r>
      <w:r>
        <w:rPr>
          <w:sz w:val="16"/>
          <w:szCs w:val="16"/>
        </w:rPr>
        <w:t>Trusted Computing Group, “TCG platform certificate profile,” Trusted Computing Group, Tech. Rep.</w:t>
      </w:r>
    </w:p>
    <w:p w14:paraId="49FB7DC2">
      <w:pPr>
        <w:tabs>
          <w:tab w:val="left" w:pos="400"/>
        </w:tabs>
        <w:spacing w:after="20"/>
        <w:ind w:left="400" w:hanging="400"/>
        <w:jc w:val="left"/>
      </w:pPr>
      <w:r>
        <w:rPr>
          <w:sz w:val="16"/>
          <w:szCs w:val="16"/>
        </w:rPr>
        <w:t>[28]</w:t>
      </w:r>
      <w:r>
        <w:rPr>
          <w:sz w:val="16"/>
          <w:szCs w:val="16"/>
        </w:rPr>
        <w:tab/>
      </w:r>
      <w:r>
        <w:rPr>
          <w:sz w:val="16"/>
          <w:szCs w:val="16"/>
        </w:rPr>
        <w:t>DMTF, “Security protocol and data model (SPDM) specification, DSP0274,” DMTF, Tech. Rep.</w:t>
      </w:r>
    </w:p>
    <w:p w14:paraId="5C69C288">
      <w:pPr>
        <w:tabs>
          <w:tab w:val="left" w:pos="400"/>
        </w:tabs>
        <w:spacing w:after="20"/>
        <w:ind w:left="400" w:hanging="400"/>
        <w:jc w:val="left"/>
      </w:pPr>
      <w:r>
        <w:rPr>
          <w:sz w:val="16"/>
          <w:szCs w:val="16"/>
        </w:rPr>
        <w:t>[29]</w:t>
      </w:r>
      <w:r>
        <w:rPr>
          <w:sz w:val="16"/>
          <w:szCs w:val="16"/>
        </w:rPr>
        <w:tab/>
      </w:r>
      <w:r>
        <w:rPr>
          <w:sz w:val="16"/>
          <w:szCs w:val="16"/>
        </w:rPr>
        <w:t>IPC, “IPC-1782: Standard for manufacturing and supply chain traceability of electronic products,” IPC, Tech. Rep.</w:t>
      </w:r>
    </w:p>
    <w:p w14:paraId="6B2C8F6F">
      <w:pPr>
        <w:tabs>
          <w:tab w:val="left" w:pos="400"/>
        </w:tabs>
        <w:spacing w:after="20"/>
        <w:ind w:left="400" w:hanging="400"/>
        <w:jc w:val="left"/>
      </w:pPr>
      <w:r>
        <w:rPr>
          <w:sz w:val="16"/>
          <w:szCs w:val="16"/>
        </w:rPr>
        <w:t>[30]</w:t>
      </w:r>
      <w:r>
        <w:rPr>
          <w:sz w:val="16"/>
          <w:szCs w:val="16"/>
        </w:rPr>
        <w:tab/>
      </w:r>
      <w:r>
        <w:rPr>
          <w:sz w:val="16"/>
          <w:szCs w:val="16"/>
        </w:rPr>
        <w:t>SEMI, “SEMI E142: Specification for substrate mapping,” SEMI, Tech. Rep.</w:t>
      </w:r>
    </w:p>
    <w:p w14:paraId="7733D9EF">
      <w:pPr>
        <w:tabs>
          <w:tab w:val="left" w:pos="400"/>
        </w:tabs>
        <w:spacing w:after="20"/>
        <w:ind w:left="400" w:hanging="400"/>
        <w:jc w:val="left"/>
      </w:pPr>
      <w:r>
        <w:rPr>
          <w:sz w:val="16"/>
          <w:szCs w:val="16"/>
        </w:rPr>
        <w:t>[31]</w:t>
      </w:r>
      <w:r>
        <w:rPr>
          <w:sz w:val="16"/>
          <w:szCs w:val="16"/>
        </w:rPr>
        <w:tab/>
      </w:r>
      <w:r>
        <w:rPr>
          <w:sz w:val="16"/>
          <w:szCs w:val="16"/>
        </w:rPr>
        <w:t>ISO/IEC, “ISO/IEC 20243: Open trusted technology provider standard (O-TTPS),” ISO/IEC, Tech. Rep.</w:t>
      </w:r>
    </w:p>
    <w:p w14:paraId="085C7C27">
      <w:pPr>
        <w:tabs>
          <w:tab w:val="left" w:pos="400"/>
        </w:tabs>
        <w:spacing w:after="20"/>
        <w:ind w:left="400" w:hanging="400"/>
        <w:jc w:val="left"/>
      </w:pPr>
      <w:r>
        <w:rPr>
          <w:sz w:val="16"/>
          <w:szCs w:val="16"/>
        </w:rPr>
        <w:t>[32]</w:t>
      </w:r>
      <w:r>
        <w:rPr>
          <w:sz w:val="16"/>
          <w:szCs w:val="16"/>
        </w:rPr>
        <w:tab/>
      </w:r>
      <w:r>
        <w:rPr>
          <w:sz w:val="16"/>
          <w:szCs w:val="16"/>
        </w:rPr>
        <w:t>U.S. Department of Defense, “DoD microelectronics: Levels of assurance definitions and applications,” Office of the Under Secretary of Defense for Research and Engineering, Tech. Rep., 2022.</w:t>
      </w:r>
    </w:p>
    <w:p w14:paraId="3972A8DD">
      <w:pPr>
        <w:tabs>
          <w:tab w:val="left" w:pos="400"/>
        </w:tabs>
        <w:spacing w:after="20"/>
        <w:ind w:left="400" w:hanging="400"/>
        <w:jc w:val="left"/>
      </w:pPr>
      <w:r>
        <w:rPr>
          <w:sz w:val="16"/>
          <w:szCs w:val="16"/>
        </w:rPr>
        <w:t>[33]</w:t>
      </w:r>
      <w:r>
        <w:rPr>
          <w:sz w:val="16"/>
          <w:szCs w:val="16"/>
        </w:rPr>
        <w:tab/>
      </w:r>
      <w:r>
        <w:rPr>
          <w:sz w:val="16"/>
          <w:szCs w:val="16"/>
        </w:rPr>
        <w:t>Horiodino, “HSLSA: Hardware supply chain security framework, specification and reference implementation,” https://github.com/Horiodino/hw-slsa, 2026, commit 62b2b11.</w:t>
      </w:r>
    </w:p>
    <w:p w14:paraId="257772C9">
      <w:pPr>
        <w:tabs>
          <w:tab w:val="left" w:pos="400"/>
        </w:tabs>
        <w:spacing w:after="20"/>
        <w:ind w:left="400" w:hanging="400"/>
        <w:jc w:val="left"/>
      </w:pPr>
      <w:r>
        <w:rPr>
          <w:sz w:val="16"/>
          <w:szCs w:val="16"/>
        </w:rPr>
        <w:t>[34]</w:t>
      </w:r>
      <w:r>
        <w:rPr>
          <w:sz w:val="16"/>
          <w:szCs w:val="16"/>
        </w:rPr>
        <w:tab/>
      </w:r>
      <w:r>
        <w:rPr>
          <w:sz w:val="16"/>
          <w:szCs w:val="16"/>
        </w:rPr>
        <w:t>B. Laurie, E. Messeri, and R. Stradling, “Certificate transparency version 2.0,” IETF, RFC 9162, 2021.</w:t>
      </w:r>
    </w:p>
    <w:p w14:paraId="498B54FA">
      <w:pPr>
        <w:tabs>
          <w:tab w:val="left" w:pos="400"/>
        </w:tabs>
        <w:spacing w:after="20"/>
        <w:ind w:left="400" w:hanging="400"/>
        <w:jc w:val="left"/>
      </w:pPr>
      <w:r>
        <w:rPr>
          <w:sz w:val="16"/>
          <w:szCs w:val="16"/>
        </w:rPr>
        <w:t>[35]</w:t>
      </w:r>
      <w:r>
        <w:rPr>
          <w:sz w:val="16"/>
          <w:szCs w:val="16"/>
        </w:rPr>
        <w:tab/>
      </w:r>
      <w:r>
        <w:rPr>
          <w:sz w:val="16"/>
          <w:szCs w:val="16"/>
        </w:rPr>
        <w:t>P. C. Bryan, K. Zyp, and M. Nottingham, “JavaScript object notation (JSON) pointer,” IETF, RFC 6901, 2013.</w:t>
      </w:r>
    </w:p>
    <w:p w14:paraId="215C38D8">
      <w:pPr>
        <w:tabs>
          <w:tab w:val="left" w:pos="400"/>
        </w:tabs>
        <w:spacing w:after="20"/>
        <w:ind w:left="400" w:hanging="400"/>
        <w:jc w:val="left"/>
      </w:pPr>
      <w:r>
        <w:rPr>
          <w:sz w:val="16"/>
          <w:szCs w:val="16"/>
        </w:rPr>
        <w:t>[36]</w:t>
      </w:r>
      <w:r>
        <w:rPr>
          <w:sz w:val="16"/>
          <w:szCs w:val="16"/>
        </w:rPr>
        <w:tab/>
      </w:r>
      <w:r>
        <w:rPr>
          <w:sz w:val="16"/>
          <w:szCs w:val="16"/>
        </w:rPr>
        <w:t>IETF OAuth Working Group, “Selective disclosure for JWTs (SD-JWT),” IETF, RFC 9901.</w:t>
      </w:r>
    </w:p>
    <w:p w14:paraId="095F6616">
      <w:pPr>
        <w:tabs>
          <w:tab w:val="left" w:pos="400"/>
        </w:tabs>
        <w:spacing w:after="20"/>
        <w:ind w:left="400" w:hanging="400"/>
        <w:jc w:val="left"/>
      </w:pPr>
      <w:r>
        <w:rPr>
          <w:sz w:val="16"/>
          <w:szCs w:val="16"/>
        </w:rPr>
        <w:t>[37]</w:t>
      </w:r>
      <w:r>
        <w:rPr>
          <w:sz w:val="16"/>
          <w:szCs w:val="16"/>
        </w:rPr>
        <w:tab/>
      </w:r>
      <w:r>
        <w:rPr>
          <w:sz w:val="16"/>
          <w:szCs w:val="16"/>
        </w:rPr>
        <w:t>Open Policy Agent, “Open policy agent,” https://www.openpolicyagent.org/, version 1.21.1.</w:t>
      </w:r>
    </w:p>
    <w:p w14:paraId="41429B15">
      <w:pPr>
        <w:tabs>
          <w:tab w:val="left" w:pos="400"/>
        </w:tabs>
        <w:spacing w:after="20"/>
        <w:ind w:left="400" w:hanging="400"/>
        <w:jc w:val="left"/>
      </w:pPr>
      <w:r>
        <w:rPr>
          <w:sz w:val="16"/>
          <w:szCs w:val="16"/>
        </w:rPr>
        <w:t>[38]</w:t>
      </w:r>
      <w:r>
        <w:rPr>
          <w:sz w:val="16"/>
          <w:szCs w:val="16"/>
        </w:rPr>
        <w:tab/>
      </w:r>
      <w:r>
        <w:rPr>
          <w:sz w:val="16"/>
          <w:szCs w:val="16"/>
        </w:rPr>
        <w:t>SLSA Framework, “slsa-verifier,” https://github.com/slsa-framework/slsa-verifier, version 2.7.1.</w:t>
      </w:r>
    </w:p>
    <w:p w14:paraId="5FADBBAD">
      <w:pPr>
        <w:tabs>
          <w:tab w:val="left" w:pos="400"/>
        </w:tabs>
        <w:spacing w:after="20"/>
        <w:ind w:left="400" w:hanging="400"/>
        <w:jc w:val="left"/>
      </w:pPr>
      <w:r>
        <w:rPr>
          <w:sz w:val="16"/>
          <w:szCs w:val="16"/>
        </w:rPr>
        <w:t>[39]</w:t>
      </w:r>
      <w:r>
        <w:rPr>
          <w:sz w:val="16"/>
          <w:szCs w:val="16"/>
        </w:rPr>
        <w:tab/>
      </w:r>
      <w:r>
        <w:rPr>
          <w:sz w:val="16"/>
          <w:szCs w:val="16"/>
        </w:rPr>
        <w:t>C. X. Wolf, “PicoRV32: A size-optimized RISC-V CPU,” https://github.com/YosysHQ/picorv32.</w:t>
      </w:r>
    </w:p>
    <w:p w14:paraId="1A3B6B03">
      <w:pPr>
        <w:tabs>
          <w:tab w:val="left" w:pos="400"/>
        </w:tabs>
        <w:spacing w:after="20"/>
        <w:ind w:left="400" w:hanging="400"/>
        <w:jc w:val="left"/>
      </w:pPr>
      <w:r>
        <w:rPr>
          <w:sz w:val="16"/>
          <w:szCs w:val="16"/>
        </w:rPr>
        <w:t>[40]</w:t>
      </w:r>
      <w:r>
        <w:rPr>
          <w:sz w:val="16"/>
          <w:szCs w:val="16"/>
        </w:rPr>
        <w:tab/>
      </w:r>
      <w:r>
        <w:rPr>
          <w:sz w:val="16"/>
          <w:szCs w:val="16"/>
        </w:rPr>
        <w:t>Efabless, “OpenLane 2,” https://github.com/efabless/openlane2, version 2.3.10.</w:t>
      </w:r>
    </w:p>
    <w:p w14:paraId="10755C8A">
      <w:pPr>
        <w:tabs>
          <w:tab w:val="left" w:pos="400"/>
        </w:tabs>
        <w:spacing w:after="20"/>
        <w:ind w:left="400" w:hanging="400"/>
        <w:jc w:val="left"/>
      </w:pPr>
      <w:r>
        <w:rPr>
          <w:sz w:val="16"/>
          <w:szCs w:val="16"/>
        </w:rPr>
        <w:t>[41]</w:t>
      </w:r>
      <w:r>
        <w:rPr>
          <w:sz w:val="16"/>
          <w:szCs w:val="16"/>
        </w:rPr>
        <w:tab/>
      </w:r>
      <w:r>
        <w:rPr>
          <w:sz w:val="16"/>
          <w:szCs w:val="16"/>
        </w:rPr>
        <w:t>SkyWater Technology and Google, “SkyWater SKY130 open source PDK,” https://github.com/google/skywater-pdk.</w:t>
      </w:r>
    </w:p>
    <w:sectPr>
      <w:type w:val="continuous"/>
      <w:pgSz w:w="12240" w:h="15840"/>
      <w:pgMar w:top="1080" w:right="900" w:bottom="144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16"/>
      </w:pPr>
    </w:lvl>
  </w:abstractNum>
  <w:abstractNum w:abstractNumId="1">
    <w:nsid w:val="59ADCABA"/>
    <w:multiLevelType w:val="singleLevel"/>
    <w:tmpl w:val="59ADCABA"/>
    <w:lvl w:ilvl="0" w:tentative="0">
      <w:start w:val="1"/>
      <w:numFmt w:val="decimal"/>
      <w:lvlText w:val="%1)"/>
      <w:lvlJc w:val="left"/>
      <w:pPr>
        <w:ind w:left="360" w:hanging="288"/>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A9D2B51"/>
    <w:rsid w:val="2E6C23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pPr>
      <w:keepNext/>
      <w:spacing w:before="200" w:after="100"/>
      <w:jc w:val="center"/>
      <w:outlineLvl w:val="0"/>
    </w:pPr>
    <w:rPr>
      <w:rFonts w:ascii="Times New Roman" w:hAnsi="Times New Roman" w:eastAsia="Times New Roman" w:cs="Times New Roman"/>
      <w:color w:val="000000"/>
      <w:sz w:val="20"/>
      <w:szCs w:val="20"/>
    </w:rPr>
  </w:style>
  <w:style w:type="paragraph" w:styleId="3">
    <w:name w:val="heading 2"/>
    <w:next w:val="1"/>
    <w:qFormat/>
    <w:uiPriority w:val="0"/>
    <w:pPr>
      <w:keepNext/>
      <w:spacing w:before="120" w:after="60"/>
      <w:outlineLvl w:val="1"/>
    </w:pPr>
    <w:rPr>
      <w:rFonts w:ascii="Times New Roman" w:hAnsi="Times New Roman" w:eastAsia="Times New Roman" w:cs="Times New Roman"/>
      <w:i/>
      <w:iCs/>
      <w:color w:val="000000"/>
      <w:sz w:val="20"/>
      <w:szCs w:val="20"/>
    </w:rPr>
  </w:style>
  <w:style w:type="paragraph" w:styleId="4">
    <w:name w:val="heading 3"/>
    <w:next w:val="1"/>
    <w:qFormat/>
    <w:uiPriority w:val="0"/>
    <w:pPr>
      <w:spacing w:after="0"/>
    </w:pPr>
    <w:rPr>
      <w:rFonts w:ascii="Times New Roman" w:hAnsi="Times New Roman" w:eastAsia="Times New Roman" w:cs="Times New Roman"/>
      <w:color w:val="1F4D78"/>
      <w:sz w:val="24"/>
      <w:szCs w:val="24"/>
    </w:rPr>
  </w:style>
  <w:style w:type="paragraph" w:styleId="5">
    <w:name w:val="heading 4"/>
    <w:next w:val="1"/>
    <w:qFormat/>
    <w:uiPriority w:val="0"/>
    <w:pPr>
      <w:spacing w:after="0"/>
    </w:pPr>
    <w:rPr>
      <w:rFonts w:ascii="Times New Roman" w:hAnsi="Times New Roman" w:eastAsia="Times New Roman" w:cs="Times New Roman"/>
      <w:i/>
      <w:iCs/>
      <w:color w:val="2E74B5"/>
      <w:sz w:val="20"/>
      <w:szCs w:val="20"/>
    </w:rPr>
  </w:style>
  <w:style w:type="paragraph" w:styleId="6">
    <w:name w:val="heading 5"/>
    <w:next w:val="1"/>
    <w:qFormat/>
    <w:uiPriority w:val="0"/>
    <w:pPr>
      <w:spacing w:after="0"/>
    </w:pPr>
    <w:rPr>
      <w:rFonts w:ascii="Times New Roman" w:hAnsi="Times New Roman" w:eastAsia="Times New Roman" w:cs="Times New Roman"/>
      <w:color w:val="2E74B5"/>
      <w:sz w:val="20"/>
      <w:szCs w:val="20"/>
    </w:rPr>
  </w:style>
  <w:style w:type="paragraph" w:styleId="7">
    <w:name w:val="heading 6"/>
    <w:next w:val="1"/>
    <w:qFormat/>
    <w:uiPriority w:val="0"/>
    <w:pPr>
      <w:spacing w:after="0"/>
    </w:pPr>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pPr>
      <w:spacing w:after="0"/>
    </w:pPr>
    <w:rPr>
      <w:rFonts w:ascii="Times New Roman" w:hAnsi="Times New Roman" w:eastAsia="Times New Roman" w:cs="Times New Roman"/>
      <w:sz w:val="56"/>
      <w:szCs w:val="56"/>
    </w:rPr>
  </w:style>
  <w:style w:type="paragraph" w:styleId="16">
    <w:name w:val="List Paragraph"/>
    <w:qFormat/>
    <w:uiPriority w:val="0"/>
    <w:pPr>
      <w:spacing w:after="0"/>
    </w:pPr>
    <w:rPr>
      <w:rFonts w:ascii="Times New Roman" w:hAnsi="Times New Roman" w:eastAsia="Times New Roman" w:cs="Times New Roman"/>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2026-10-09T05:28:00Z</dcterms:created>
  <dc:creator>[Author name]</dc:creator>
  <cp:lastModifiedBy>pkkha</cp:lastModifiedBy>
  <dcterms:modified xsi:type="dcterms:W3CDTF">2026-10-09T05:39:04Z</dcterms:modified>
  <dc:title>HSLSA: Verifiable Supply-Chain Levels for Hardware, from RTL to a Booted Device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E0A2A3284C5947459A3C075C83626677_12</vt:lpwstr>
  </property>
</Properties>
</file>