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Secrets Management Policy Standard</w:t>
      </w:r>
    </w:p>
    <w:p>
      <w:pPr>
        <w:jc w:val="center"/>
      </w:pPr>
      <w:r>
        <w:t>For [Company Name]</w:t>
      </w:r>
    </w:p>
    <w:p/>
    <w:tbl>
      <w:tblPr>
        <w:tblStyle w:val="TableGrid"/>
        <w:tblW w:type="auto" w:w="0"/>
        <w:jc w:val="center"/>
        <w:tblLook w:firstColumn="1" w:firstRow="1" w:lastColumn="0" w:lastRow="0" w:noHBand="0" w:noVBand="1" w:val="04A0"/>
      </w:tblPr>
      <w:tblGrid>
        <w:gridCol w:w="4320"/>
        <w:gridCol w:w="4320"/>
      </w:tblGrid>
      <w:tr>
        <w:tc>
          <w:tcPr>
            <w:tcW w:type="dxa" w:w="4320"/>
          </w:tcPr>
          <w:p>
            <w:r>
              <w:t>Document ID</w:t>
            </w:r>
          </w:p>
        </w:tc>
        <w:tc>
          <w:tcPr>
            <w:tcW w:type="dxa" w:w="4320"/>
          </w:tcPr>
          <w:p>
            <w:r>
              <w:t>[SM-POL-001]</w:t>
            </w:r>
          </w:p>
        </w:tc>
      </w:tr>
      <w:tr>
        <w:tc>
          <w:tcPr>
            <w:tcW w:type="dxa" w:w="4320"/>
          </w:tcPr>
          <w:p>
            <w:r>
              <w:t>Version</w:t>
            </w:r>
          </w:p>
        </w:tc>
        <w:tc>
          <w:tcPr>
            <w:tcW w:type="dxa" w:w="4320"/>
          </w:tcPr>
          <w:p>
            <w:r>
              <w:t>1.0</w:t>
            </w:r>
          </w:p>
        </w:tc>
      </w:tr>
      <w:tr>
        <w:tc>
          <w:tcPr>
            <w:tcW w:type="dxa" w:w="4320"/>
          </w:tcPr>
          <w:p>
            <w:r>
              <w:t>Owner</w:t>
            </w:r>
          </w:p>
        </w:tc>
        <w:tc>
          <w:tcPr>
            <w:tcW w:type="dxa" w:w="4320"/>
          </w:tcPr>
          <w:p>
            <w:r>
              <w:t>Information Security</w:t>
            </w:r>
          </w:p>
        </w:tc>
      </w:tr>
      <w:tr>
        <w:tc>
          <w:tcPr>
            <w:tcW w:type="dxa" w:w="4320"/>
          </w:tcPr>
          <w:p>
            <w:r>
              <w:t>Effective Date</w:t>
            </w:r>
          </w:p>
        </w:tc>
        <w:tc>
          <w:tcPr>
            <w:tcW w:type="dxa" w:w="4320"/>
          </w:tcPr>
          <w:p>
            <w:r>
              <w:t>[YYYY-MM-DD]</w:t>
            </w:r>
          </w:p>
        </w:tc>
      </w:tr>
      <w:tr>
        <w:tc>
          <w:tcPr>
            <w:tcW w:type="dxa" w:w="4320"/>
          </w:tcPr>
          <w:p>
            <w:r>
              <w:t>Next Review Date</w:t>
            </w:r>
          </w:p>
        </w:tc>
        <w:tc>
          <w:tcPr>
            <w:tcW w:type="dxa" w:w="4320"/>
          </w:tcPr>
          <w:p>
            <w:r>
              <w:t>[YYYY-MM-DD]</w:t>
            </w:r>
          </w:p>
        </w:tc>
      </w:tr>
    </w:tbl>
    <w:p/>
    <w:p>
      <w:r>
        <w:rPr>
          <w:b/>
        </w:rPr>
        <w:t>Classification: Internal</w:t>
      </w:r>
    </w:p>
    <w:p/>
    <w:p>
      <w:pPr>
        <w:pStyle w:val="Heading1"/>
      </w:pPr>
      <w:r>
        <w:t>1. Purpose</w:t>
      </w:r>
    </w:p>
    <w:p>
      <w:r>
        <w:t>This policy establishes minimum requirements for creating, storing, accessing, rotating, detecting, and responding to the exposure of secrets used by applications, infrastructure, and people. The goal is to reduce the risk of unauthorized access, data compromise, service disruption, and operational delay.</w:t>
      </w:r>
    </w:p>
    <w:p>
      <w:pPr>
        <w:pStyle w:val="Heading1"/>
      </w:pPr>
      <w:r>
        <w:t>2. Scope</w:t>
      </w:r>
    </w:p>
    <w:p>
      <w:r>
        <w:t>This policy applies to:</w:t>
      </w:r>
    </w:p>
    <w:p>
      <w:pPr>
        <w:pStyle w:val="ListBullet"/>
      </w:pPr>
      <w:r>
        <w:t>All employees, contractors, and third parties who create, use, manage, or have access to secrets.</w:t>
      </w:r>
    </w:p>
    <w:p>
      <w:pPr>
        <w:pStyle w:val="ListBullet"/>
      </w:pPr>
      <w:r>
        <w:t>All systems and environments (development, test, staging, production).</w:t>
      </w:r>
    </w:p>
    <w:p>
      <w:pPr>
        <w:pStyle w:val="ListBullet"/>
      </w:pPr>
      <w:r>
        <w:t>All delivery mechanisms (source control, CI/CD systems, configuration management, containers, serverless, and endpoints).</w:t>
      </w:r>
    </w:p>
    <w:p>
      <w:pPr>
        <w:pStyle w:val="Heading1"/>
      </w:pPr>
      <w:r>
        <w:t>3. Definitions</w:t>
      </w:r>
    </w:p>
    <w:p>
      <w:pPr>
        <w:pStyle w:val="ListBullet"/>
      </w:pPr>
      <w:r>
        <w:t>Secret: Any sensitive value used for authentication, authorization, encryption, or integrity (e.g., passwords, API keys, tokens, private keys, certificates, SSH keys, database credentials).</w:t>
      </w:r>
    </w:p>
    <w:p>
      <w:pPr>
        <w:pStyle w:val="ListBullet"/>
      </w:pPr>
      <w:r>
        <w:t>Secrets Management System (SMS): A centralized service used to store, audit, distribute, and rotate secrets (e.g., cloud secret managers, Vault-like systems, enterprise password managers).</w:t>
      </w:r>
    </w:p>
    <w:p>
      <w:pPr>
        <w:pStyle w:val="ListBullet"/>
      </w:pPr>
      <w:r>
        <w:t>Least Privilege: Access is limited to only what is needed, for the shortest feasible time, and scoped to the smallest set of resources.</w:t>
      </w:r>
    </w:p>
    <w:p>
      <w:pPr>
        <w:pStyle w:val="ListBullet"/>
      </w:pPr>
      <w:r>
        <w:t>Break-glass access: An emergency procedure for restoring access during outages or incidents using tightly controlled, audited credentials.</w:t>
      </w:r>
    </w:p>
    <w:p>
      <w:pPr>
        <w:pStyle w:val="Heading1"/>
      </w:pPr>
      <w:r>
        <w:t>4. Policy Principles (Non‑Negotiables)</w:t>
      </w:r>
    </w:p>
    <w:p>
      <w:pPr>
        <w:pStyle w:val="ListBullet"/>
      </w:pPr>
      <w:r>
        <w:t>Do not hardcode secrets in source code, templates, container images, or documentation.</w:t>
      </w:r>
    </w:p>
    <w:p>
      <w:pPr>
        <w:pStyle w:val="ListBullet"/>
      </w:pPr>
      <w:r>
        <w:t>Centralize and standardize secrets storage, access, and rotation using approved systems and patterns.</w:t>
      </w:r>
    </w:p>
    <w:p>
      <w:pPr>
        <w:pStyle w:val="ListBullet"/>
      </w:pPr>
      <w:r>
        <w:t>Restrict access using least privilege and fine-grained authorization at the secret/object level.</w:t>
      </w:r>
    </w:p>
    <w:p>
      <w:pPr>
        <w:pStyle w:val="ListBullet"/>
      </w:pPr>
      <w:r>
        <w:t>Prefer automated and/or dynamic secret generation and rotation over manual processes.</w:t>
      </w:r>
    </w:p>
    <w:p>
      <w:pPr>
        <w:pStyle w:val="ListBullet"/>
      </w:pPr>
      <w:r>
        <w:t>Audit all secret access and administrative actions with tamper-resistant logging.</w:t>
      </w:r>
    </w:p>
    <w:p>
      <w:pPr>
        <w:pStyle w:val="ListBullet"/>
      </w:pPr>
      <w:r>
        <w:t>Use TLS for all secret transport, and avoid logging plaintext secrets.</w:t>
      </w:r>
    </w:p>
    <w:p>
      <w:pPr>
        <w:pStyle w:val="Heading1"/>
      </w:pPr>
      <w:r>
        <w:t>5. Roles and Responsibilities</w:t>
      </w:r>
    </w:p>
    <w:p>
      <w:pPr>
        <w:pStyle w:val="Heading2"/>
      </w:pPr>
      <w:r>
        <w:t>5.1 Information Security</w:t>
      </w:r>
    </w:p>
    <w:p>
      <w:pPr>
        <w:pStyle w:val="ListBullet"/>
      </w:pPr>
      <w:r>
        <w:t>Owns this policy and approves exceptions.</w:t>
      </w:r>
    </w:p>
    <w:p>
      <w:pPr>
        <w:pStyle w:val="ListBullet"/>
      </w:pPr>
      <w:r>
        <w:t>Defines minimum requirements for secret types, rotation frequencies, monitoring, and incident response.</w:t>
      </w:r>
    </w:p>
    <w:p>
      <w:pPr>
        <w:pStyle w:val="ListBullet"/>
      </w:pPr>
      <w:r>
        <w:t>Conducts audits and coordinates response to secret exposure incidents.</w:t>
      </w:r>
    </w:p>
    <w:p>
      <w:pPr>
        <w:pStyle w:val="Heading2"/>
      </w:pPr>
      <w:r>
        <w:t>5.2 Platform / Infrastructure Owners (KMS/SMS Owners)</w:t>
      </w:r>
    </w:p>
    <w:p>
      <w:pPr>
        <w:pStyle w:val="ListBullet"/>
      </w:pPr>
      <w:r>
        <w:t>Operate the approved secrets management platforms and enforce access controls.</w:t>
      </w:r>
    </w:p>
    <w:p>
      <w:pPr>
        <w:pStyle w:val="ListBullet"/>
      </w:pPr>
      <w:r>
        <w:t>Provide standardized patterns for workloads (e.g., Kubernetes sidecar, IAM-based retrieval, workload identity).</w:t>
      </w:r>
    </w:p>
    <w:p>
      <w:pPr>
        <w:pStyle w:val="ListBullet"/>
      </w:pPr>
      <w:r>
        <w:t>Maintain availability, backup/restore, and break-glass processes.</w:t>
      </w:r>
    </w:p>
    <w:p>
      <w:pPr>
        <w:pStyle w:val="Heading2"/>
      </w:pPr>
      <w:r>
        <w:t>5.3 Application and Service Owners</w:t>
      </w:r>
    </w:p>
    <w:p>
      <w:pPr>
        <w:pStyle w:val="ListBullet"/>
      </w:pPr>
      <w:r>
        <w:t>Ensure systems comply with this policy across SDLC and runtime.</w:t>
      </w:r>
    </w:p>
    <w:p>
      <w:pPr>
        <w:pStyle w:val="ListBullet"/>
      </w:pPr>
      <w:r>
        <w:t>Maintain secret inventories/metadata and rotation dependencies for their services.</w:t>
      </w:r>
    </w:p>
    <w:p>
      <w:pPr>
        <w:pStyle w:val="ListBullet"/>
      </w:pPr>
      <w:r>
        <w:t>Participate in incident response and remediation when exposures occur.</w:t>
      </w:r>
    </w:p>
    <w:p>
      <w:pPr>
        <w:pStyle w:val="Heading2"/>
      </w:pPr>
      <w:r>
        <w:t>5.4 Developers and Engineers</w:t>
      </w:r>
    </w:p>
    <w:p>
      <w:pPr>
        <w:pStyle w:val="ListBullet"/>
      </w:pPr>
      <w:r>
        <w:t>Must not store secrets in code or unapproved locations.</w:t>
      </w:r>
    </w:p>
    <w:p>
      <w:pPr>
        <w:pStyle w:val="ListBullet"/>
      </w:pPr>
      <w:r>
        <w:t>Must use approved retrieval/injection patterns and avoid leaking secrets via logs, traces, and error messages.</w:t>
      </w:r>
    </w:p>
    <w:p>
      <w:pPr>
        <w:pStyle w:val="ListBullet"/>
      </w:pPr>
      <w:r>
        <w:t>Must remediate detected secrets immediately following this policy’s incident response procedures.</w:t>
      </w:r>
    </w:p>
    <w:p>
      <w:pPr>
        <w:pStyle w:val="Heading1"/>
      </w:pPr>
      <w:r>
        <w:t>6. Approved Secrets Storage and Access Patterns</w:t>
      </w:r>
    </w:p>
    <w:p>
      <w:pPr>
        <w:pStyle w:val="Heading2"/>
      </w:pPr>
      <w:r>
        <w:t>6.1 Approved Systems</w:t>
      </w:r>
    </w:p>
    <w:p>
      <w:r>
        <w:t>Secrets MUST be stored in an approved Secrets Management System (SMS) unless an exception is documented and approved. Approved systems may include a cloud provider secret manager, an enterprise vault service, and/or an enterprise password manager.</w:t>
      </w:r>
    </w:p>
    <w:p>
      <w:pPr>
        <w:pStyle w:val="Heading2"/>
      </w:pPr>
      <w:r>
        <w:t>6.2 Where a Secret Should Live</w:t>
      </w:r>
    </w:p>
    <w:p>
      <w:r>
        <w:t>Secrets SHOULD be placed using one of the following models (prefer higher security):</w:t>
      </w:r>
    </w:p>
    <w:p>
      <w:pPr>
        <w:pStyle w:val="ListNumber"/>
      </w:pPr>
      <w:r>
        <w:t>Runtime retrieval by the consuming service using workload identity (preferred).</w:t>
      </w:r>
    </w:p>
    <w:p>
      <w:pPr>
        <w:pStyle w:val="ListNumber"/>
      </w:pPr>
      <w:r>
        <w:t>Stored in an SMS and retrieved by the application at startup or runtime via approved SDK/agent.</w:t>
      </w:r>
    </w:p>
    <w:p>
      <w:pPr>
        <w:pStyle w:val="ListNumber"/>
      </w:pPr>
      <w:r>
        <w:t>Stored as CI/CD pipeline secrets ONLY when necessary and with limited blast radius and restricted access.</w:t>
      </w:r>
    </w:p>
    <w:p>
      <w:pPr>
        <w:pStyle w:val="ListNumber"/>
      </w:pPr>
      <w:r>
        <w:t>Not touched by CI/CD at all (e.g., injected by orchestrator at runtime using service accounts).</w:t>
      </w:r>
    </w:p>
    <w:p>
      <w:pPr>
        <w:pStyle w:val="Heading2"/>
      </w:pPr>
      <w:r>
        <w:t>6.3 Prohibited Locations</w:t>
      </w:r>
    </w:p>
    <w:p>
      <w:pPr>
        <w:pStyle w:val="ListBullet"/>
      </w:pPr>
      <w:r>
        <w:t>Source code repositories (including history), config files committed to SCM, and infrastructure templates with plaintext values.</w:t>
      </w:r>
    </w:p>
    <w:p>
      <w:pPr>
        <w:pStyle w:val="ListBullet"/>
      </w:pPr>
      <w:r>
        <w:t>Container images, baked AMIs/VM images, or artifacts that may be distributed broadly.</w:t>
      </w:r>
    </w:p>
    <w:p>
      <w:pPr>
        <w:pStyle w:val="ListBullet"/>
      </w:pPr>
      <w:r>
        <w:t>Issue trackers, chat logs, runbooks, or tickets.</w:t>
      </w:r>
    </w:p>
    <w:p>
      <w:pPr>
        <w:pStyle w:val="ListBullet"/>
      </w:pPr>
      <w:r>
        <w:t>Client-side browser storage (e.g., localStorage) for tokens or secrets unless explicitly approved and secured by design.</w:t>
      </w:r>
    </w:p>
    <w:p>
      <w:pPr>
        <w:pStyle w:val="Heading1"/>
      </w:pPr>
      <w:r>
        <w:t>7. Access Control Requirements</w:t>
      </w:r>
    </w:p>
    <w:p>
      <w:pPr>
        <w:pStyle w:val="ListBullet"/>
      </w:pPr>
      <w:r>
        <w:t>Access to secrets MUST follow least privilege and be limited by role, system, environment, and secret/object.</w:t>
      </w:r>
    </w:p>
    <w:p>
      <w:pPr>
        <w:pStyle w:val="ListBullet"/>
      </w:pPr>
      <w:r>
        <w:t>Engineers MUST NOT have blanket access to all secrets; access MUST be granted only to the subset required for their duties.</w:t>
      </w:r>
    </w:p>
    <w:p>
      <w:pPr>
        <w:pStyle w:val="ListBullet"/>
      </w:pPr>
      <w:r>
        <w:t>Administrative actions (create/update/delete/policy changes) MUST be restricted and require strong authentication.</w:t>
      </w:r>
    </w:p>
    <w:p>
      <w:pPr>
        <w:pStyle w:val="ListBullet"/>
      </w:pPr>
      <w:r>
        <w:t>Human-readable access to production secrets SHOULD be avoided; prefer service identities and automated workflows.</w:t>
      </w:r>
    </w:p>
    <w:p>
      <w:pPr>
        <w:pStyle w:val="Heading1"/>
      </w:pPr>
      <w:r>
        <w:t>8. Secret Lifecycle Requirements</w:t>
      </w:r>
    </w:p>
    <w:p>
      <w:pPr>
        <w:pStyle w:val="Heading2"/>
      </w:pPr>
      <w:r>
        <w:t>8.1 Creation</w:t>
      </w:r>
    </w:p>
    <w:p>
      <w:pPr>
        <w:pStyle w:val="ListBullet"/>
      </w:pPr>
      <w:r>
        <w:t>Secrets MUST be created using approved tooling/workflows (SMS UI/API, privileged automation, or secrets pipeline).</w:t>
      </w:r>
    </w:p>
    <w:p>
      <w:pPr>
        <w:pStyle w:val="ListBullet"/>
      </w:pPr>
      <w:r>
        <w:t>Generated secrets SHOULD be unique per application/service and per environment.</w:t>
      </w:r>
    </w:p>
    <w:p>
      <w:pPr>
        <w:pStyle w:val="ListBullet"/>
      </w:pPr>
      <w:r>
        <w:t>Prefer dynamic secrets when feasible (e.g., per-session/per-deployment database credentials).</w:t>
      </w:r>
    </w:p>
    <w:p>
      <w:pPr>
        <w:pStyle w:val="Heading2"/>
      </w:pPr>
      <w:r>
        <w:t>8.2 Rotation</w:t>
      </w:r>
    </w:p>
    <w:p>
      <w:pPr>
        <w:pStyle w:val="ListBullet"/>
      </w:pPr>
      <w:r>
        <w:t>Secrets MUST be rotated on a defined schedule based on risk and secret type.</w:t>
      </w:r>
    </w:p>
    <w:p>
      <w:pPr>
        <w:pStyle w:val="ListBullet"/>
      </w:pPr>
      <w:r>
        <w:t>Rotation SHOULD be automated to reduce human error and to support repeatability.</w:t>
      </w:r>
    </w:p>
    <w:p>
      <w:pPr>
        <w:pStyle w:val="ListBullet"/>
      </w:pPr>
      <w:r>
        <w:t>Rotation plans MUST account for dependencies and safe transition (e.g., dual-read / staged rollout where applicable).</w:t>
      </w:r>
    </w:p>
    <w:p>
      <w:pPr>
        <w:pStyle w:val="Heading2"/>
      </w:pPr>
      <w:r>
        <w:t>8.3 Revocation</w:t>
      </w:r>
    </w:p>
    <w:p>
      <w:pPr>
        <w:pStyle w:val="ListBullet"/>
      </w:pPr>
      <w:r>
        <w:t>Secrets MUST be revocable quickly. Systems MUST be able to deny the use of a revoked secret.</w:t>
      </w:r>
    </w:p>
    <w:p>
      <w:pPr>
        <w:pStyle w:val="ListBullet"/>
      </w:pPr>
      <w:r>
        <w:t>Attempts to use revoked secrets MUST be logged and alerted.</w:t>
      </w:r>
    </w:p>
    <w:p>
      <w:pPr>
        <w:pStyle w:val="Heading2"/>
      </w:pPr>
      <w:r>
        <w:t>8.4 Expiration</w:t>
      </w:r>
    </w:p>
    <w:p>
      <w:pPr>
        <w:pStyle w:val="ListBullet"/>
      </w:pPr>
      <w:r>
        <w:t>Secrets SHOULD be short-lived where feasible (tokens, session credentials, dynamic database users).</w:t>
      </w:r>
    </w:p>
    <w:p>
      <w:pPr>
        <w:pStyle w:val="ListBullet"/>
      </w:pPr>
      <w:r>
        <w:t>Expired secret usage SHOULD be blocked and logged.</w:t>
      </w:r>
    </w:p>
    <w:p>
      <w:pPr>
        <w:pStyle w:val="Heading1"/>
      </w:pPr>
      <w:r>
        <w:t>9. Transport Layer Security (TLS)</w:t>
      </w:r>
    </w:p>
    <w:p>
      <w:pPr>
        <w:pStyle w:val="ListBullet"/>
      </w:pPr>
      <w:r>
        <w:t>All transmission of secrets and tokens MUST occur over TLS.</w:t>
      </w:r>
    </w:p>
    <w:p>
      <w:pPr>
        <w:pStyle w:val="ListBullet"/>
      </w:pPr>
      <w:r>
        <w:t>Mutual TLS (mTLS) SHOULD be used for service-to-service secret retrieval where supported.</w:t>
      </w:r>
    </w:p>
    <w:p>
      <w:pPr>
        <w:pStyle w:val="Heading1"/>
      </w:pPr>
      <w:r>
        <w:t>10. Handling Secrets in Memory</w:t>
      </w:r>
    </w:p>
    <w:p>
      <w:r>
        <w:t>Where the threat model warrants it (and for sensitive environments), minimize the time secrets are present in plaintext in memory.</w:t>
      </w:r>
    </w:p>
    <w:p>
      <w:pPr>
        <w:pStyle w:val="ListBullet"/>
      </w:pPr>
      <w:r>
        <w:t>Avoid storing secrets in immutable strings in garbage-collected languages when practical; prefer byte/char arrays that can be overwritten.</w:t>
      </w:r>
    </w:p>
    <w:p>
      <w:pPr>
        <w:pStyle w:val="ListBullet"/>
      </w:pPr>
      <w:r>
        <w:t>Zero/overwrite memory buffers after use when feasible.</w:t>
      </w:r>
    </w:p>
    <w:p>
      <w:pPr>
        <w:pStyle w:val="ListBullet"/>
      </w:pPr>
      <w:r>
        <w:t>Limit the exposure window by retrieving secrets as late as possible and keeping them only as long as needed.</w:t>
      </w:r>
    </w:p>
    <w:p>
      <w:pPr>
        <w:pStyle w:val="Heading1"/>
      </w:pPr>
      <w:r>
        <w:t>11. CI/CD Requirements</w:t>
      </w:r>
    </w:p>
    <w:p>
      <w:pPr>
        <w:pStyle w:val="Heading2"/>
      </w:pPr>
      <w:r>
        <w:t>11.1 Pipeline Hardening and Secret Exposure Control</w:t>
      </w:r>
    </w:p>
    <w:p>
      <w:pPr>
        <w:pStyle w:val="ListBullet"/>
      </w:pPr>
      <w:r>
        <w:t>CI/CD tooling MUST use dedicated service accounts with scoped permissions.</w:t>
      </w:r>
    </w:p>
    <w:p>
      <w:pPr>
        <w:pStyle w:val="ListBullet"/>
      </w:pPr>
      <w:r>
        <w:t>Secrets stored in CI/CD systems MUST have limited blast radius and MUST be rotated regularly.</w:t>
      </w:r>
    </w:p>
    <w:p>
      <w:pPr>
        <w:pStyle w:val="ListBullet"/>
      </w:pPr>
      <w:r>
        <w:t>Reduce the number of users who can view or modify CI/CD secrets and job definitions.</w:t>
      </w:r>
    </w:p>
    <w:p>
      <w:pPr>
        <w:pStyle w:val="ListBullet"/>
      </w:pPr>
      <w:r>
        <w:t>Implement logging and alerting to detect secret extraction/misuse within CI/CD systems.</w:t>
      </w:r>
    </w:p>
    <w:p>
      <w:pPr>
        <w:pStyle w:val="ListBullet"/>
      </w:pPr>
      <w:r>
        <w:t>Validate that repository forks/copies do not leak secrets (e.g., ensure secrets are not exposed to untrusted forks).</w:t>
      </w:r>
    </w:p>
    <w:p>
      <w:pPr>
        <w:pStyle w:val="Heading2"/>
      </w:pPr>
      <w:r>
        <w:t>11.2 Preferred Delivery Model</w:t>
      </w:r>
    </w:p>
    <w:p>
      <w:pPr>
        <w:pStyle w:val="ListBullet"/>
      </w:pPr>
      <w:r>
        <w:t>Prefer orchestrator/runtime retrieval (e.g., Kubernetes service account + agent/sidecar) over injecting long-lived secrets during build.</w:t>
      </w:r>
    </w:p>
    <w:p>
      <w:pPr>
        <w:pStyle w:val="ListBullet"/>
      </w:pPr>
      <w:r>
        <w:t>If secrets must be injected, use short-lived credentials and in-memory/file mounts with restrictive permissions.</w:t>
      </w:r>
    </w:p>
    <w:p>
      <w:pPr>
        <w:pStyle w:val="Heading1"/>
      </w:pPr>
      <w:r>
        <w:t>12. Containers, Orchestrators, and Serverless</w:t>
      </w:r>
    </w:p>
    <w:p>
      <w:pPr>
        <w:pStyle w:val="ListBullet"/>
      </w:pPr>
      <w:r>
        <w:t>Use approved injection mechanisms (e.g., sidecar/agent writing to in-memory volumes, workload identity, or native secret manager integrations).</w:t>
      </w:r>
    </w:p>
    <w:p>
      <w:pPr>
        <w:pStyle w:val="ListBullet"/>
      </w:pPr>
      <w:r>
        <w:t>Avoid writing secrets to persistent disks unless explicitly required and approved; prefer tmpfs/in-memory mounts where feasible.</w:t>
      </w:r>
    </w:p>
    <w:p>
      <w:pPr>
        <w:pStyle w:val="ListBullet"/>
      </w:pPr>
      <w:r>
        <w:t>Ensure runtime identities (service accounts / workload identities) are the primary control plane for secret retrieval.</w:t>
      </w:r>
    </w:p>
    <w:p>
      <w:pPr>
        <w:pStyle w:val="Heading1"/>
      </w:pPr>
      <w:r>
        <w:t>13. Logging, Monitoring, and Auditing</w:t>
      </w:r>
    </w:p>
    <w:p>
      <w:pPr>
        <w:pStyle w:val="Heading2"/>
      </w:pPr>
      <w:r>
        <w:t>13.1 Minimum Audit Events</w:t>
      </w:r>
    </w:p>
    <w:p>
      <w:r>
        <w:t>At minimum, the secrets platform and/or consuming services MUST log:</w:t>
      </w:r>
    </w:p>
    <w:p>
      <w:pPr>
        <w:pStyle w:val="ListBullet"/>
      </w:pPr>
      <w:r>
        <w:t>Who requested a secret, for what system and role.</w:t>
      </w:r>
    </w:p>
    <w:p>
      <w:pPr>
        <w:pStyle w:val="ListBullet"/>
      </w:pPr>
      <w:r>
        <w:t>Whether the request was approved or rejected.</w:t>
      </w:r>
    </w:p>
    <w:p>
      <w:pPr>
        <w:pStyle w:val="ListBullet"/>
      </w:pPr>
      <w:r>
        <w:t>When the secret was used and by whom/what identity.</w:t>
      </w:r>
    </w:p>
    <w:p>
      <w:pPr>
        <w:pStyle w:val="ListBullet"/>
      </w:pPr>
      <w:r>
        <w:t>When the secret was updated/rotated and by whom/what.</w:t>
      </w:r>
    </w:p>
    <w:p>
      <w:pPr>
        <w:pStyle w:val="ListBullet"/>
      </w:pPr>
      <w:r>
        <w:t>Authentication/authorization errors related to secret access.</w:t>
      </w:r>
    </w:p>
    <w:p>
      <w:pPr>
        <w:pStyle w:val="ListBullet"/>
      </w:pPr>
      <w:r>
        <w:t>Administrative actions and infrastructure-level activity supporting the secrets platform.</w:t>
      </w:r>
    </w:p>
    <w:p>
      <w:pPr>
        <w:pStyle w:val="ListBullet"/>
      </w:pPr>
      <w:r>
        <w:t>Correct timestamps with reliable time synchronization.</w:t>
      </w:r>
    </w:p>
    <w:p>
      <w:pPr>
        <w:pStyle w:val="Heading2"/>
      </w:pPr>
      <w:r>
        <w:t>13.2 Never Log Plaintext Secrets</w:t>
      </w:r>
    </w:p>
    <w:p>
      <w:pPr>
        <w:pStyle w:val="ListBullet"/>
      </w:pPr>
      <w:r>
        <w:t>Plaintext secrets MUST NOT appear in logs, traces, crash dumps, metrics labels, or error messages.</w:t>
      </w:r>
    </w:p>
    <w:p>
      <w:pPr>
        <w:pStyle w:val="ListBullet"/>
      </w:pPr>
      <w:r>
        <w:t>Implement masking/redaction and prevent debug logging that could expose secrets.</w:t>
      </w:r>
    </w:p>
    <w:p>
      <w:pPr>
        <w:pStyle w:val="Heading1"/>
      </w:pPr>
      <w:r>
        <w:t>14. Detection and Prevention of Secret Leakage</w:t>
      </w:r>
    </w:p>
    <w:p>
      <w:pPr>
        <w:pStyle w:val="ListBullet"/>
      </w:pPr>
      <w:r>
        <w:t>Enable secrets scanning for code repositories (pre-commit hooks, CI checks, and continuous scanning).</w:t>
      </w:r>
    </w:p>
    <w:p>
      <w:pPr>
        <w:pStyle w:val="ListBullet"/>
      </w:pPr>
      <w:r>
        <w:t>Use standard test secrets (non-production) where needed to reduce false positives and make detection easier.</w:t>
      </w:r>
    </w:p>
    <w:p>
      <w:pPr>
        <w:pStyle w:val="ListBullet"/>
      </w:pPr>
      <w:r>
        <w:t>Create detection rules aligned to the secret lifecycle (creation, rotation, revocation, expiration).</w:t>
      </w:r>
    </w:p>
    <w:p>
      <w:pPr>
        <w:pStyle w:val="ListBullet"/>
      </w:pPr>
      <w:r>
        <w:t>Maintain internal documentation on how detection works and how to respond to findings.</w:t>
      </w:r>
    </w:p>
    <w:p>
      <w:pPr>
        <w:pStyle w:val="Heading1"/>
      </w:pPr>
      <w:r>
        <w:t>15. Downtime, Backup/Restore, and Break‑glass</w:t>
      </w:r>
    </w:p>
    <w:p>
      <w:pPr>
        <w:pStyle w:val="ListBullet"/>
      </w:pPr>
      <w:r>
        <w:t>Secrets platforms MUST be designed for high availability and operational reliability.</w:t>
      </w:r>
    </w:p>
    <w:p>
      <w:pPr>
        <w:pStyle w:val="ListBullet"/>
      </w:pPr>
      <w:r>
        <w:t>Plan maintenance windows using usage metrics and audit logs to reduce operational impact.</w:t>
      </w:r>
    </w:p>
    <w:p>
      <w:pPr>
        <w:pStyle w:val="ListBullet"/>
      </w:pPr>
      <w:r>
        <w:t>Implement emergency break-glass procedures for restoring access when the secrets platform is unavailable.</w:t>
      </w:r>
    </w:p>
    <w:p>
      <w:pPr>
        <w:pStyle w:val="ListBullet"/>
      </w:pPr>
      <w:r>
        <w:t>Break-glass credentials MUST be backed up securely in a secondary secrets management system and tested routinely.</w:t>
      </w:r>
    </w:p>
    <w:p>
      <w:pPr>
        <w:pStyle w:val="Heading1"/>
      </w:pPr>
      <w:r>
        <w:t>16. Incident Response for Secret Exposure</w:t>
      </w:r>
    </w:p>
    <w:p>
      <w:r>
        <w:t>The primary goal is rapid containment and remediation when a secret is exposed.</w:t>
      </w:r>
    </w:p>
    <w:p>
      <w:pPr>
        <w:pStyle w:val="Heading2"/>
      </w:pPr>
      <w:r>
        <w:t>16.1 Required Containment Steps</w:t>
      </w:r>
    </w:p>
    <w:p>
      <w:pPr>
        <w:pStyle w:val="ListNumber"/>
      </w:pPr>
      <w:r>
        <w:t>Revocation: Immediately revoke exposed secrets and ensure revocation status can be checked/enforced.</w:t>
      </w:r>
    </w:p>
    <w:p>
      <w:pPr>
        <w:pStyle w:val="ListNumber"/>
      </w:pPr>
      <w:r>
        <w:t>Rotation: Create and deploy a replacement secret quickly (prefer automated rotation and non-human-readable values).</w:t>
      </w:r>
    </w:p>
    <w:p>
      <w:pPr>
        <w:pStyle w:val="ListNumber"/>
      </w:pPr>
      <w:r>
        <w:t>Deletion: Remove secrets from exposed systems immediately (code, configs, hosts, containers, tickets, and logs).</w:t>
      </w:r>
    </w:p>
    <w:p>
      <w:pPr>
        <w:pStyle w:val="ListNumber"/>
      </w:pPr>
      <w:r>
        <w:t>Logging: Ensure IR teams can access lifecycle and access history (who had access, when used, last rotated).</w:t>
      </w:r>
    </w:p>
    <w:p>
      <w:pPr>
        <w:pStyle w:val="Heading2"/>
      </w:pPr>
      <w:r>
        <w:t>16.2 Code and Log Remediation Notes</w:t>
      </w:r>
    </w:p>
    <w:p>
      <w:pPr>
        <w:pStyle w:val="ListBullet"/>
      </w:pPr>
      <w:r>
        <w:t>If a secret was committed to source control, treat it as compromised even if removed; rotate/revoke immediately.</w:t>
      </w:r>
    </w:p>
    <w:p>
      <w:pPr>
        <w:pStyle w:val="ListBullet"/>
      </w:pPr>
      <w:r>
        <w:t>History rewriting (e.g., squashing secrets out of git history) may be required but must be planned due to impact on downstream consumers and references.</w:t>
      </w:r>
    </w:p>
    <w:p>
      <w:pPr>
        <w:pStyle w:val="ListBullet"/>
      </w:pPr>
      <w:r>
        <w:t>If secrets appear in logs, remove/replace them while maintaining log integrity and chain-of-custody controls.</w:t>
      </w:r>
    </w:p>
    <w:p>
      <w:pPr>
        <w:pStyle w:val="Heading2"/>
      </w:pPr>
      <w:r>
        <w:t>16.3 Notification</w:t>
      </w:r>
    </w:p>
    <w:p>
      <w:pPr>
        <w:pStyle w:val="ListBullet"/>
      </w:pPr>
      <w:r>
        <w:t>Notify: [Security Contact / IR Hotline], [Platform Owner], and [Service Owner] immediately upon detection.</w:t>
      </w:r>
    </w:p>
    <w:p>
      <w:pPr>
        <w:pStyle w:val="Heading1"/>
      </w:pPr>
      <w:r>
        <w:t>17. Multi‑Cloud and Third‑Party Considerations</w:t>
      </w:r>
    </w:p>
    <w:p>
      <w:pPr>
        <w:pStyle w:val="ListBullet"/>
      </w:pPr>
      <w:r>
        <w:t>Standardize security policies across environments and providers (rotation, access control, auditing).</w:t>
      </w:r>
    </w:p>
    <w:p>
      <w:pPr>
        <w:pStyle w:val="ListBullet"/>
      </w:pPr>
      <w:r>
        <w:t>Prefer a centralized secrets strategy that can integrate across providers when operating multi-cloud.</w:t>
      </w:r>
    </w:p>
    <w:p>
      <w:pPr>
        <w:pStyle w:val="ListBullet"/>
      </w:pPr>
      <w:r>
        <w:t>Ensure consistent monitoring and centralized logging across all providers.</w:t>
      </w:r>
    </w:p>
    <w:p>
      <w:pPr>
        <w:pStyle w:val="Heading1"/>
      </w:pPr>
      <w:r>
        <w:t>18. Exceptions</w:t>
      </w:r>
    </w:p>
    <w:p>
      <w:r>
        <w:t>Any exception to this policy MUST be documented with: business justification, compensating controls, scope, expiration date, and Security approval.</w:t>
      </w:r>
    </w:p>
    <w:p>
      <w:pPr>
        <w:pStyle w:val="Heading1"/>
      </w:pPr>
      <w:r>
        <w:t>19. Compliance and Review</w:t>
      </w:r>
    </w:p>
    <w:p>
      <w:pPr>
        <w:pStyle w:val="ListBullet"/>
      </w:pPr>
      <w:r>
        <w:t>Teams MUST be able to demonstrate compliance during security reviews and audits.</w:t>
      </w:r>
    </w:p>
    <w:p>
      <w:pPr>
        <w:pStyle w:val="ListBullet"/>
      </w:pPr>
      <w:r>
        <w:t>This policy MUST be reviewed at least annually or after any significant incident or architectural 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