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66C7C" w14:textId="72AB7120" w:rsidR="00CB0521" w:rsidRDefault="00BF29E4" w:rsidP="00BF29E4">
      <w:pPr>
        <w:bidi w:val="0"/>
      </w:pPr>
      <w:r>
        <w:t>KPIs SCREEN</w:t>
      </w:r>
      <w:r>
        <w:br/>
      </w:r>
    </w:p>
    <w:p w14:paraId="4CC823B7"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The KPIs section provides a comprehensive risk assessment dashboard for commodity supply chain management, displaying real-time performance indicators across five critical dimensions.</w:t>
      </w:r>
    </w:p>
    <w:p w14:paraId="350F0483"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p>
    <w:p w14:paraId="1C2CF80C"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u w:val="single"/>
        </w:rPr>
        <w:t>News Score:</w:t>
      </w:r>
    </w:p>
    <w:p w14:paraId="0434B1C4"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Measures commodity sentiment risk by analyzing news article sentiment trends and coverage frequency over rolling 30-day periods.</w:t>
      </w:r>
    </w:p>
    <w:p w14:paraId="749451AA"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Formula:</w:t>
      </w:r>
      <w:r>
        <w:rPr>
          <w:rFonts w:ascii="Arial" w:hAnsi="Arial" w:cs="Arial"/>
          <w:color w:val="212121"/>
          <w:sz w:val="21"/>
          <w:szCs w:val="21"/>
        </w:rPr>
        <w:t xml:space="preserve"> (Last 30 Days Bad News % × 0.6) + (Bad News % Change × 0.2) + (News Frequency Factor × 100 × 0.2)</w:t>
      </w:r>
    </w:p>
    <w:p w14:paraId="790DE010"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Thresholds:</w:t>
      </w:r>
      <w:r>
        <w:rPr>
          <w:rFonts w:ascii="Arial" w:hAnsi="Arial" w:cs="Arial"/>
          <w:color w:val="212121"/>
          <w:sz w:val="21"/>
          <w:szCs w:val="21"/>
        </w:rPr>
        <w:t xml:space="preserve"> </w:t>
      </w:r>
      <w:r>
        <w:rPr>
          <w:rFonts w:ascii="Segoe UI Emoji" w:hAnsi="Segoe UI Emoji" w:cs="Segoe UI Emoji"/>
          <w:color w:val="212121"/>
          <w:sz w:val="21"/>
          <w:szCs w:val="21"/>
        </w:rPr>
        <w:t>🟢</w:t>
      </w:r>
      <w:r>
        <w:rPr>
          <w:rFonts w:ascii="Arial" w:hAnsi="Arial" w:cs="Arial"/>
          <w:color w:val="212121"/>
          <w:sz w:val="21"/>
          <w:szCs w:val="21"/>
        </w:rPr>
        <w:t xml:space="preserve"> Green &lt; 30 | 30 ≤ </w:t>
      </w:r>
      <w:r>
        <w:rPr>
          <w:rFonts w:ascii="Segoe UI Emoji" w:hAnsi="Segoe UI Emoji" w:cs="Segoe UI Emoji"/>
          <w:color w:val="212121"/>
          <w:sz w:val="21"/>
          <w:szCs w:val="21"/>
        </w:rPr>
        <w:t>🟡</w:t>
      </w:r>
      <w:r>
        <w:rPr>
          <w:rFonts w:ascii="Arial" w:hAnsi="Arial" w:cs="Arial"/>
          <w:color w:val="212121"/>
          <w:sz w:val="21"/>
          <w:szCs w:val="21"/>
        </w:rPr>
        <w:t xml:space="preserve"> Yellow &lt; 60 | </w:t>
      </w:r>
      <w:r>
        <w:rPr>
          <w:rFonts w:ascii="Segoe UI Emoji" w:hAnsi="Segoe UI Emoji" w:cs="Segoe UI Emoji"/>
          <w:color w:val="212121"/>
          <w:sz w:val="21"/>
          <w:szCs w:val="21"/>
        </w:rPr>
        <w:t>🔴</w:t>
      </w:r>
      <w:r>
        <w:rPr>
          <w:rFonts w:ascii="Arial" w:hAnsi="Arial" w:cs="Arial"/>
          <w:color w:val="212121"/>
          <w:sz w:val="21"/>
          <w:szCs w:val="21"/>
        </w:rPr>
        <w:t xml:space="preserve"> Red ≥ 60 | </w:t>
      </w:r>
      <w:r>
        <w:rPr>
          <w:rFonts w:ascii="Segoe UI Emoji" w:hAnsi="Segoe UI Emoji" w:cs="Segoe UI Emoji"/>
          <w:color w:val="212121"/>
          <w:sz w:val="21"/>
          <w:szCs w:val="21"/>
        </w:rPr>
        <w:t>🟥</w:t>
      </w:r>
      <w:r>
        <w:rPr>
          <w:rFonts w:ascii="Arial" w:hAnsi="Arial" w:cs="Arial"/>
          <w:color w:val="212121"/>
          <w:sz w:val="21"/>
          <w:szCs w:val="21"/>
        </w:rPr>
        <w:t>Red Node &gt; 80</w:t>
      </w:r>
    </w:p>
    <w:p w14:paraId="2459C904"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Data updates:</w:t>
      </w:r>
      <w:r>
        <w:rPr>
          <w:rFonts w:ascii="Arial" w:hAnsi="Arial" w:cs="Arial"/>
          <w:color w:val="212121"/>
          <w:sz w:val="21"/>
          <w:szCs w:val="21"/>
        </w:rPr>
        <w:t xml:space="preserve"> Daily</w:t>
      </w:r>
    </w:p>
    <w:p w14:paraId="23815407"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p>
    <w:p w14:paraId="33816583"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u w:val="single"/>
        </w:rPr>
        <w:t>Commodity Price Score:</w:t>
      </w:r>
    </w:p>
    <w:p w14:paraId="06202BAF"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Measures week over week commodity price performance changes by tracking futures price movements across global markets.</w:t>
      </w:r>
    </w:p>
    <w:p w14:paraId="1B388AEE"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Formula:</w:t>
      </w:r>
      <w:r>
        <w:rPr>
          <w:rFonts w:ascii="Arial" w:hAnsi="Arial" w:cs="Arial"/>
          <w:color w:val="212121"/>
          <w:sz w:val="21"/>
          <w:szCs w:val="21"/>
        </w:rPr>
        <w:t xml:space="preserve"> WoW Price Change % = ((Current Week Close - Previous Week Close) / Previous Week Close) × 100</w:t>
      </w:r>
    </w:p>
    <w:p w14:paraId="63368255"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Thresholds:</w:t>
      </w:r>
      <w:r>
        <w:rPr>
          <w:rFonts w:ascii="Arial" w:hAnsi="Arial" w:cs="Arial"/>
          <w:color w:val="212121"/>
          <w:sz w:val="21"/>
          <w:szCs w:val="21"/>
        </w:rPr>
        <w:t xml:space="preserve"> </w:t>
      </w:r>
      <w:r>
        <w:rPr>
          <w:rFonts w:ascii="Segoe UI Emoji" w:hAnsi="Segoe UI Emoji" w:cs="Segoe UI Emoji"/>
          <w:color w:val="212121"/>
          <w:sz w:val="21"/>
          <w:szCs w:val="21"/>
        </w:rPr>
        <w:t>🟢</w:t>
      </w:r>
      <w:r>
        <w:rPr>
          <w:rFonts w:ascii="Arial" w:hAnsi="Arial" w:cs="Arial"/>
          <w:color w:val="212121"/>
          <w:sz w:val="21"/>
          <w:szCs w:val="21"/>
        </w:rPr>
        <w:t xml:space="preserve"> Green &lt; 0 | 0 ≤ </w:t>
      </w:r>
      <w:r>
        <w:rPr>
          <w:rFonts w:ascii="Segoe UI Emoji" w:hAnsi="Segoe UI Emoji" w:cs="Segoe UI Emoji"/>
          <w:color w:val="212121"/>
          <w:sz w:val="21"/>
          <w:szCs w:val="21"/>
        </w:rPr>
        <w:t>🟡</w:t>
      </w:r>
      <w:r>
        <w:rPr>
          <w:rFonts w:ascii="Arial" w:hAnsi="Arial" w:cs="Arial"/>
          <w:color w:val="212121"/>
          <w:sz w:val="21"/>
          <w:szCs w:val="21"/>
        </w:rPr>
        <w:t xml:space="preserve"> Yellow &lt; 5 | </w:t>
      </w:r>
      <w:r>
        <w:rPr>
          <w:rFonts w:ascii="Segoe UI Emoji" w:hAnsi="Segoe UI Emoji" w:cs="Segoe UI Emoji"/>
          <w:color w:val="212121"/>
          <w:sz w:val="21"/>
          <w:szCs w:val="21"/>
        </w:rPr>
        <w:t>🔴</w:t>
      </w:r>
      <w:r>
        <w:rPr>
          <w:rFonts w:ascii="Arial" w:hAnsi="Arial" w:cs="Arial"/>
          <w:color w:val="212121"/>
          <w:sz w:val="21"/>
          <w:szCs w:val="21"/>
        </w:rPr>
        <w:t xml:space="preserve"> Red ≥ 5 | </w:t>
      </w:r>
      <w:r>
        <w:rPr>
          <w:rFonts w:ascii="Segoe UI Emoji" w:hAnsi="Segoe UI Emoji" w:cs="Segoe UI Emoji"/>
          <w:color w:val="212121"/>
          <w:sz w:val="21"/>
          <w:szCs w:val="21"/>
        </w:rPr>
        <w:t>🟥</w:t>
      </w:r>
      <w:r>
        <w:rPr>
          <w:rFonts w:ascii="Arial" w:hAnsi="Arial" w:cs="Arial"/>
          <w:color w:val="212121"/>
          <w:sz w:val="21"/>
          <w:szCs w:val="21"/>
        </w:rPr>
        <w:t>Red Node &gt; 10</w:t>
      </w:r>
    </w:p>
    <w:p w14:paraId="3D32E7B9"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Data updates:</w:t>
      </w:r>
      <w:r>
        <w:rPr>
          <w:rFonts w:ascii="Arial" w:hAnsi="Arial" w:cs="Arial"/>
          <w:color w:val="212121"/>
          <w:sz w:val="21"/>
          <w:szCs w:val="21"/>
        </w:rPr>
        <w:t xml:space="preserve"> Daily</w:t>
      </w:r>
    </w:p>
    <w:p w14:paraId="64F06CD0"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p>
    <w:p w14:paraId="768B41C6"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u w:val="single"/>
        </w:rPr>
        <w:t>Transport Price Score:</w:t>
      </w:r>
    </w:p>
    <w:p w14:paraId="57673D71"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Measures transport cost momentum using a weighted average of week-over-week price changes across key shipping indices.</w:t>
      </w:r>
    </w:p>
    <w:p w14:paraId="2EAD0346"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Formula</w:t>
      </w:r>
      <w:r>
        <w:rPr>
          <w:rFonts w:ascii="Arial" w:hAnsi="Arial" w:cs="Arial"/>
          <w:color w:val="212121"/>
          <w:sz w:val="21"/>
          <w:szCs w:val="21"/>
        </w:rPr>
        <w:t>: Weighted Momentum % = (Index A WoW Change % × Weight) + (Index B WoW Change % × Weight) + ...</w:t>
      </w:r>
    </w:p>
    <w:p w14:paraId="3E636B7F"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 xml:space="preserve">Weights can be found </w:t>
      </w:r>
      <w:r>
        <w:rPr>
          <w:rStyle w:val="Strong"/>
          <w:rFonts w:ascii="Arial" w:hAnsi="Arial" w:cs="Arial"/>
          <w:color w:val="212121"/>
          <w:sz w:val="21"/>
          <w:szCs w:val="21"/>
        </w:rPr>
        <w:t>here</w:t>
      </w:r>
    </w:p>
    <w:p w14:paraId="071FC387"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Thresholds</w:t>
      </w:r>
      <w:r>
        <w:rPr>
          <w:rFonts w:ascii="Arial" w:hAnsi="Arial" w:cs="Arial"/>
          <w:color w:val="212121"/>
          <w:sz w:val="21"/>
          <w:szCs w:val="21"/>
        </w:rPr>
        <w:t xml:space="preserve">: </w:t>
      </w:r>
      <w:r>
        <w:rPr>
          <w:rFonts w:ascii="Segoe UI Emoji" w:hAnsi="Segoe UI Emoji" w:cs="Segoe UI Emoji"/>
          <w:color w:val="212121"/>
          <w:sz w:val="21"/>
          <w:szCs w:val="21"/>
        </w:rPr>
        <w:t>🟢</w:t>
      </w:r>
      <w:r>
        <w:rPr>
          <w:rFonts w:ascii="Arial" w:hAnsi="Arial" w:cs="Arial"/>
          <w:color w:val="212121"/>
          <w:sz w:val="21"/>
          <w:szCs w:val="21"/>
        </w:rPr>
        <w:t xml:space="preserve"> Green &gt; 0 | -8 &lt; </w:t>
      </w:r>
      <w:r>
        <w:rPr>
          <w:rFonts w:ascii="Segoe UI Emoji" w:hAnsi="Segoe UI Emoji" w:cs="Segoe UI Emoji"/>
          <w:color w:val="212121"/>
          <w:sz w:val="21"/>
          <w:szCs w:val="21"/>
        </w:rPr>
        <w:t>🟡</w:t>
      </w:r>
      <w:r>
        <w:rPr>
          <w:rFonts w:ascii="Arial" w:hAnsi="Arial" w:cs="Arial"/>
          <w:color w:val="212121"/>
          <w:sz w:val="21"/>
          <w:szCs w:val="21"/>
        </w:rPr>
        <w:t xml:space="preserve"> Yellow ≤ 0 | </w:t>
      </w:r>
      <w:r>
        <w:rPr>
          <w:rFonts w:ascii="Segoe UI Emoji" w:hAnsi="Segoe UI Emoji" w:cs="Segoe UI Emoji"/>
          <w:color w:val="212121"/>
          <w:sz w:val="21"/>
          <w:szCs w:val="21"/>
        </w:rPr>
        <w:t>🔴</w:t>
      </w:r>
      <w:r>
        <w:rPr>
          <w:rFonts w:ascii="Arial" w:hAnsi="Arial" w:cs="Arial"/>
          <w:color w:val="212121"/>
          <w:sz w:val="21"/>
          <w:szCs w:val="21"/>
        </w:rPr>
        <w:t xml:space="preserve"> Red &lt; -8 | </w:t>
      </w:r>
      <w:r>
        <w:rPr>
          <w:rFonts w:ascii="Segoe UI Emoji" w:hAnsi="Segoe UI Emoji" w:cs="Segoe UI Emoji"/>
          <w:color w:val="212121"/>
          <w:sz w:val="21"/>
          <w:szCs w:val="21"/>
        </w:rPr>
        <w:t>🟥</w:t>
      </w:r>
      <w:r>
        <w:rPr>
          <w:rFonts w:ascii="Arial" w:hAnsi="Arial" w:cs="Arial"/>
          <w:color w:val="212121"/>
          <w:sz w:val="21"/>
          <w:szCs w:val="21"/>
        </w:rPr>
        <w:t>Red Node &lt; -20</w:t>
      </w:r>
    </w:p>
    <w:p w14:paraId="689CC418"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Data updates</w:t>
      </w:r>
      <w:r>
        <w:rPr>
          <w:rFonts w:ascii="Arial" w:hAnsi="Arial" w:cs="Arial"/>
          <w:color w:val="212121"/>
          <w:sz w:val="21"/>
          <w:szCs w:val="21"/>
        </w:rPr>
        <w:t>: Daily</w:t>
      </w:r>
    </w:p>
    <w:p w14:paraId="611BB372"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p>
    <w:p w14:paraId="7EBFF760"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u w:val="single"/>
        </w:rPr>
        <w:t>Supply &amp; Demand Score:</w:t>
      </w:r>
    </w:p>
    <w:p w14:paraId="25820B59"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Measures commodity supply chain stability by analyzing recent changes in total supply relative to current supply levels using Total Supply data.</w:t>
      </w:r>
    </w:p>
    <w:p w14:paraId="08FA1759"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Formula:</w:t>
      </w:r>
      <w:r>
        <w:rPr>
          <w:rFonts w:ascii="Arial" w:hAnsi="Arial" w:cs="Arial"/>
          <w:color w:val="212121"/>
          <w:sz w:val="21"/>
          <w:szCs w:val="21"/>
        </w:rPr>
        <w:t xml:space="preserve"> Total Supply Change % = ((Last Month Total Supply / Average Previous 3 Months Total Supply) -1) × 100</w:t>
      </w:r>
    </w:p>
    <w:p w14:paraId="7D5E65C7"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Thresholds:</w:t>
      </w:r>
      <w:r>
        <w:rPr>
          <w:rFonts w:ascii="Arial" w:hAnsi="Arial" w:cs="Arial"/>
          <w:color w:val="212121"/>
          <w:sz w:val="21"/>
          <w:szCs w:val="21"/>
        </w:rPr>
        <w:t xml:space="preserve"> </w:t>
      </w:r>
      <w:r>
        <w:rPr>
          <w:rFonts w:ascii="Segoe UI Emoji" w:hAnsi="Segoe UI Emoji" w:cs="Segoe UI Emoji"/>
          <w:color w:val="212121"/>
          <w:sz w:val="21"/>
          <w:szCs w:val="21"/>
        </w:rPr>
        <w:t>🟢</w:t>
      </w:r>
      <w:r>
        <w:rPr>
          <w:rFonts w:ascii="Arial" w:hAnsi="Arial" w:cs="Arial"/>
          <w:color w:val="212121"/>
          <w:sz w:val="21"/>
          <w:szCs w:val="21"/>
        </w:rPr>
        <w:t xml:space="preserve"> Green &gt; 0 | -5 &lt; </w:t>
      </w:r>
      <w:r>
        <w:rPr>
          <w:rFonts w:ascii="Segoe UI Emoji" w:hAnsi="Segoe UI Emoji" w:cs="Segoe UI Emoji"/>
          <w:color w:val="212121"/>
          <w:sz w:val="21"/>
          <w:szCs w:val="21"/>
        </w:rPr>
        <w:t>🟡</w:t>
      </w:r>
      <w:r>
        <w:rPr>
          <w:rFonts w:ascii="Arial" w:hAnsi="Arial" w:cs="Arial"/>
          <w:color w:val="212121"/>
          <w:sz w:val="21"/>
          <w:szCs w:val="21"/>
        </w:rPr>
        <w:t xml:space="preserve"> Yellow ≤ 0 | </w:t>
      </w:r>
      <w:r>
        <w:rPr>
          <w:rFonts w:ascii="Segoe UI Emoji" w:hAnsi="Segoe UI Emoji" w:cs="Segoe UI Emoji"/>
          <w:color w:val="212121"/>
          <w:sz w:val="21"/>
          <w:szCs w:val="21"/>
        </w:rPr>
        <w:t>🔴</w:t>
      </w:r>
      <w:r>
        <w:rPr>
          <w:rFonts w:ascii="Arial" w:hAnsi="Arial" w:cs="Arial"/>
          <w:color w:val="212121"/>
          <w:sz w:val="21"/>
          <w:szCs w:val="21"/>
        </w:rPr>
        <w:t xml:space="preserve"> Red ≤ -5 | </w:t>
      </w:r>
      <w:r>
        <w:rPr>
          <w:rFonts w:ascii="Segoe UI Emoji" w:hAnsi="Segoe UI Emoji" w:cs="Segoe UI Emoji"/>
          <w:color w:val="212121"/>
          <w:sz w:val="21"/>
          <w:szCs w:val="21"/>
        </w:rPr>
        <w:t>🟥</w:t>
      </w:r>
      <w:r>
        <w:rPr>
          <w:rFonts w:ascii="Arial" w:hAnsi="Arial" w:cs="Arial"/>
          <w:color w:val="212121"/>
          <w:sz w:val="21"/>
          <w:szCs w:val="21"/>
        </w:rPr>
        <w:t>Red Node &lt; -80</w:t>
      </w:r>
    </w:p>
    <w:p w14:paraId="29738931"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Data updates:</w:t>
      </w:r>
      <w:r>
        <w:rPr>
          <w:rFonts w:ascii="Arial" w:hAnsi="Arial" w:cs="Arial"/>
          <w:color w:val="212121"/>
          <w:sz w:val="21"/>
          <w:szCs w:val="21"/>
        </w:rPr>
        <w:t xml:space="preserve"> Monthly</w:t>
      </w:r>
    </w:p>
    <w:p w14:paraId="5062E70E"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p>
    <w:p w14:paraId="7D46DE25"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u w:val="single"/>
        </w:rPr>
        <w:t>Worldwide Exports Score</w:t>
      </w:r>
      <w:r>
        <w:rPr>
          <w:rStyle w:val="Strong"/>
          <w:rFonts w:ascii="Arial" w:hAnsi="Arial" w:cs="Arial"/>
          <w:color w:val="212121"/>
          <w:sz w:val="21"/>
          <w:szCs w:val="21"/>
        </w:rPr>
        <w:t>:</w:t>
      </w:r>
    </w:p>
    <w:p w14:paraId="22C53E62"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Measures quarter over quarter export performance changes by commodity, adjusted for changes in data reporting coverage.</w:t>
      </w:r>
    </w:p>
    <w:p w14:paraId="03F702B5"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Formula:</w:t>
      </w:r>
      <w:r>
        <w:rPr>
          <w:rFonts w:ascii="Arial" w:hAnsi="Arial" w:cs="Arial"/>
          <w:color w:val="212121"/>
          <w:sz w:val="21"/>
          <w:szCs w:val="21"/>
        </w:rPr>
        <w:t xml:space="preserve"> </w:t>
      </w:r>
      <w:proofErr w:type="spellStart"/>
      <w:r>
        <w:rPr>
          <w:rFonts w:ascii="Arial" w:hAnsi="Arial" w:cs="Arial"/>
          <w:color w:val="212121"/>
          <w:sz w:val="21"/>
          <w:szCs w:val="21"/>
        </w:rPr>
        <w:t>QoQ</w:t>
      </w:r>
      <w:proofErr w:type="spellEnd"/>
      <w:r>
        <w:rPr>
          <w:rStyle w:val="Strong"/>
          <w:rFonts w:ascii="Arial" w:hAnsi="Arial" w:cs="Arial"/>
          <w:color w:val="212121"/>
          <w:sz w:val="21"/>
          <w:szCs w:val="21"/>
        </w:rPr>
        <w:t xml:space="preserve"> </w:t>
      </w:r>
      <w:r>
        <w:rPr>
          <w:rFonts w:ascii="Arial" w:hAnsi="Arial" w:cs="Arial"/>
          <w:color w:val="212121"/>
          <w:sz w:val="21"/>
          <w:szCs w:val="21"/>
        </w:rPr>
        <w:t xml:space="preserve">Export Change % - </w:t>
      </w:r>
      <w:proofErr w:type="spellStart"/>
      <w:r>
        <w:rPr>
          <w:rFonts w:ascii="Arial" w:hAnsi="Arial" w:cs="Arial"/>
          <w:color w:val="212121"/>
          <w:sz w:val="21"/>
          <w:szCs w:val="21"/>
        </w:rPr>
        <w:t>QoQ</w:t>
      </w:r>
      <w:proofErr w:type="spellEnd"/>
      <w:r>
        <w:rPr>
          <w:rStyle w:val="Strong"/>
          <w:rFonts w:ascii="Arial" w:hAnsi="Arial" w:cs="Arial"/>
          <w:color w:val="212121"/>
          <w:sz w:val="21"/>
          <w:szCs w:val="21"/>
        </w:rPr>
        <w:t xml:space="preserve"> </w:t>
      </w:r>
      <w:r>
        <w:rPr>
          <w:rFonts w:ascii="Arial" w:hAnsi="Arial" w:cs="Arial"/>
          <w:color w:val="212121"/>
          <w:sz w:val="21"/>
          <w:szCs w:val="21"/>
        </w:rPr>
        <w:t>Data Availability Change % + Average Data Availability Trend%</w:t>
      </w:r>
    </w:p>
    <w:p w14:paraId="362F89B5"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Thresholds:</w:t>
      </w:r>
      <w:r>
        <w:rPr>
          <w:rFonts w:ascii="Arial" w:hAnsi="Arial" w:cs="Arial"/>
          <w:color w:val="212121"/>
          <w:sz w:val="21"/>
          <w:szCs w:val="21"/>
        </w:rPr>
        <w:t xml:space="preserve"> </w:t>
      </w:r>
      <w:r>
        <w:rPr>
          <w:rFonts w:ascii="Segoe UI Emoji" w:hAnsi="Segoe UI Emoji" w:cs="Segoe UI Emoji"/>
          <w:color w:val="212121"/>
          <w:sz w:val="21"/>
          <w:szCs w:val="21"/>
        </w:rPr>
        <w:t>🟢</w:t>
      </w:r>
      <w:r>
        <w:rPr>
          <w:rFonts w:ascii="Arial" w:hAnsi="Arial" w:cs="Arial"/>
          <w:color w:val="212121"/>
          <w:sz w:val="21"/>
          <w:szCs w:val="21"/>
        </w:rPr>
        <w:t xml:space="preserve"> Green &gt; 0 | -10 ≤ </w:t>
      </w:r>
      <w:r>
        <w:rPr>
          <w:rFonts w:ascii="Segoe UI Emoji" w:hAnsi="Segoe UI Emoji" w:cs="Segoe UI Emoji"/>
          <w:color w:val="212121"/>
          <w:sz w:val="21"/>
          <w:szCs w:val="21"/>
        </w:rPr>
        <w:t>🟡</w:t>
      </w:r>
      <w:r>
        <w:rPr>
          <w:rFonts w:ascii="Arial" w:hAnsi="Arial" w:cs="Arial"/>
          <w:color w:val="212121"/>
          <w:sz w:val="21"/>
          <w:szCs w:val="21"/>
        </w:rPr>
        <w:t xml:space="preserve"> Yellow &lt; 0 | </w:t>
      </w:r>
      <w:r>
        <w:rPr>
          <w:rFonts w:ascii="Segoe UI Emoji" w:hAnsi="Segoe UI Emoji" w:cs="Segoe UI Emoji"/>
          <w:color w:val="212121"/>
          <w:sz w:val="21"/>
          <w:szCs w:val="21"/>
        </w:rPr>
        <w:t>🔴</w:t>
      </w:r>
      <w:r>
        <w:rPr>
          <w:rFonts w:ascii="Arial" w:hAnsi="Arial" w:cs="Arial"/>
          <w:color w:val="212121"/>
          <w:sz w:val="21"/>
          <w:szCs w:val="21"/>
        </w:rPr>
        <w:t xml:space="preserve"> Red ≤ -10 | </w:t>
      </w:r>
      <w:r>
        <w:rPr>
          <w:rFonts w:ascii="Segoe UI Emoji" w:hAnsi="Segoe UI Emoji" w:cs="Segoe UI Emoji"/>
          <w:color w:val="212121"/>
          <w:sz w:val="21"/>
          <w:szCs w:val="21"/>
        </w:rPr>
        <w:t>🟥</w:t>
      </w:r>
      <w:r>
        <w:rPr>
          <w:rFonts w:ascii="Arial" w:hAnsi="Arial" w:cs="Arial"/>
          <w:color w:val="212121"/>
          <w:sz w:val="21"/>
          <w:szCs w:val="21"/>
        </w:rPr>
        <w:t>Red Node ≤ -40</w:t>
      </w:r>
    </w:p>
    <w:p w14:paraId="58C2C82F"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Data updates:</w:t>
      </w:r>
      <w:r>
        <w:rPr>
          <w:rFonts w:ascii="Arial" w:hAnsi="Arial" w:cs="Arial"/>
          <w:color w:val="212121"/>
          <w:sz w:val="21"/>
          <w:szCs w:val="21"/>
        </w:rPr>
        <w:t xml:space="preserve"> Monthly</w:t>
      </w:r>
    </w:p>
    <w:p w14:paraId="43868E56"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p>
    <w:p w14:paraId="1C0F5C3A"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u w:val="single"/>
        </w:rPr>
        <w:t>Israel Imports Score:</w:t>
      </w:r>
    </w:p>
    <w:p w14:paraId="1451CE87"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Fonts w:ascii="Arial" w:hAnsi="Arial" w:cs="Arial"/>
          <w:color w:val="212121"/>
          <w:sz w:val="21"/>
          <w:szCs w:val="21"/>
        </w:rPr>
        <w:t>Measures MoM import performance changes by commodity, comparing last month imports to the previous one. Provides seasonal-adjusted insight into Israel's export trends for critical commodities.</w:t>
      </w:r>
    </w:p>
    <w:p w14:paraId="216CC006"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Formula:</w:t>
      </w:r>
      <w:r>
        <w:rPr>
          <w:rFonts w:ascii="Arial" w:hAnsi="Arial" w:cs="Arial"/>
          <w:color w:val="212121"/>
          <w:sz w:val="21"/>
          <w:szCs w:val="21"/>
        </w:rPr>
        <w:t xml:space="preserve"> MoM Import Change % = ((Last Month Imports </w:t>
      </w:r>
      <w:proofErr w:type="gramStart"/>
      <w:r>
        <w:rPr>
          <w:rFonts w:ascii="Arial" w:hAnsi="Arial" w:cs="Arial"/>
          <w:color w:val="212121"/>
          <w:sz w:val="21"/>
          <w:szCs w:val="21"/>
        </w:rPr>
        <w:t>- )</w:t>
      </w:r>
      <w:proofErr w:type="gramEnd"/>
      <w:r>
        <w:rPr>
          <w:rFonts w:ascii="Arial" w:hAnsi="Arial" w:cs="Arial"/>
          <w:color w:val="212121"/>
          <w:sz w:val="21"/>
          <w:szCs w:val="21"/>
        </w:rPr>
        <w:t xml:space="preserve"> / Previous Month) × 100</w:t>
      </w:r>
    </w:p>
    <w:p w14:paraId="640F7BBF"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Thresholds:</w:t>
      </w:r>
      <w:r>
        <w:rPr>
          <w:rFonts w:ascii="Arial" w:hAnsi="Arial" w:cs="Arial"/>
          <w:color w:val="212121"/>
          <w:sz w:val="21"/>
          <w:szCs w:val="21"/>
        </w:rPr>
        <w:t xml:space="preserve"> </w:t>
      </w:r>
      <w:r>
        <w:rPr>
          <w:rFonts w:ascii="Segoe UI Emoji" w:hAnsi="Segoe UI Emoji" w:cs="Segoe UI Emoji"/>
          <w:color w:val="212121"/>
          <w:sz w:val="21"/>
          <w:szCs w:val="21"/>
        </w:rPr>
        <w:t>🟢</w:t>
      </w:r>
      <w:r>
        <w:rPr>
          <w:rFonts w:ascii="Arial" w:hAnsi="Arial" w:cs="Arial"/>
          <w:color w:val="212121"/>
          <w:sz w:val="21"/>
          <w:szCs w:val="21"/>
        </w:rPr>
        <w:t xml:space="preserve"> Green &gt; 0 | -20 ≤ </w:t>
      </w:r>
      <w:r>
        <w:rPr>
          <w:rFonts w:ascii="Segoe UI Emoji" w:hAnsi="Segoe UI Emoji" w:cs="Segoe UI Emoji"/>
          <w:color w:val="212121"/>
          <w:sz w:val="21"/>
          <w:szCs w:val="21"/>
        </w:rPr>
        <w:t>🟡</w:t>
      </w:r>
      <w:r>
        <w:rPr>
          <w:rFonts w:ascii="Arial" w:hAnsi="Arial" w:cs="Arial"/>
          <w:color w:val="212121"/>
          <w:sz w:val="21"/>
          <w:szCs w:val="21"/>
        </w:rPr>
        <w:t xml:space="preserve"> Yellow ≤ 0 | </w:t>
      </w:r>
      <w:r>
        <w:rPr>
          <w:rFonts w:ascii="Segoe UI Emoji" w:hAnsi="Segoe UI Emoji" w:cs="Segoe UI Emoji"/>
          <w:color w:val="212121"/>
          <w:sz w:val="21"/>
          <w:szCs w:val="21"/>
        </w:rPr>
        <w:t>🔴</w:t>
      </w:r>
      <w:r>
        <w:rPr>
          <w:rFonts w:ascii="Arial" w:hAnsi="Arial" w:cs="Arial"/>
          <w:color w:val="212121"/>
          <w:sz w:val="21"/>
          <w:szCs w:val="21"/>
        </w:rPr>
        <w:t xml:space="preserve"> Red ≤ -20 | </w:t>
      </w:r>
      <w:r>
        <w:rPr>
          <w:rFonts w:ascii="Segoe UI Emoji" w:hAnsi="Segoe UI Emoji" w:cs="Segoe UI Emoji"/>
          <w:color w:val="212121"/>
          <w:sz w:val="21"/>
          <w:szCs w:val="21"/>
        </w:rPr>
        <w:t>🟥</w:t>
      </w:r>
      <w:r>
        <w:rPr>
          <w:rFonts w:ascii="Arial" w:hAnsi="Arial" w:cs="Arial"/>
          <w:color w:val="212121"/>
          <w:sz w:val="21"/>
          <w:szCs w:val="21"/>
        </w:rPr>
        <w:t>Red Node ≤ -80</w:t>
      </w:r>
    </w:p>
    <w:p w14:paraId="410B38DC" w14:textId="77777777" w:rsidR="00BF29E4" w:rsidRDefault="00BF29E4" w:rsidP="00BF29E4">
      <w:pPr>
        <w:pStyle w:val="NormalWeb"/>
        <w:shd w:val="clear" w:color="auto" w:fill="FFFFFF"/>
        <w:spacing w:before="0" w:beforeAutospacing="0" w:after="0" w:afterAutospacing="0"/>
        <w:rPr>
          <w:rFonts w:ascii="Arial" w:hAnsi="Arial" w:cs="Arial"/>
          <w:color w:val="212121"/>
          <w:sz w:val="21"/>
          <w:szCs w:val="21"/>
        </w:rPr>
      </w:pPr>
      <w:r>
        <w:rPr>
          <w:rStyle w:val="Strong"/>
          <w:rFonts w:ascii="Arial" w:hAnsi="Arial" w:cs="Arial"/>
          <w:color w:val="212121"/>
          <w:sz w:val="21"/>
          <w:szCs w:val="21"/>
        </w:rPr>
        <w:t>Data updates:</w:t>
      </w:r>
      <w:r>
        <w:rPr>
          <w:rFonts w:ascii="Arial" w:hAnsi="Arial" w:cs="Arial"/>
          <w:color w:val="212121"/>
          <w:sz w:val="21"/>
          <w:szCs w:val="21"/>
        </w:rPr>
        <w:t xml:space="preserve"> Monthly</w:t>
      </w:r>
    </w:p>
    <w:p w14:paraId="70ABB253" w14:textId="397DB198" w:rsidR="00BF29E4" w:rsidRDefault="00BF29E4" w:rsidP="00BF29E4">
      <w:pPr>
        <w:bidi w:val="0"/>
      </w:pPr>
    </w:p>
    <w:p w14:paraId="2612F8DA" w14:textId="530E8644" w:rsidR="00BF29E4" w:rsidRDefault="00BF29E4" w:rsidP="00BF29E4">
      <w:pPr>
        <w:bidi w:val="0"/>
      </w:pPr>
      <w:r>
        <w:lastRenderedPageBreak/>
        <w:t>NEWS</w:t>
      </w:r>
    </w:p>
    <w:p w14:paraId="6F41BBFC" w14:textId="47D5B838" w:rsidR="00BF29E4" w:rsidRDefault="00BF29E4" w:rsidP="00BF29E4">
      <w:pPr>
        <w:bidi w:val="0"/>
      </w:pPr>
    </w:p>
    <w:p w14:paraId="0BB992A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20"/>
          <w:szCs w:val="20"/>
        </w:rPr>
        <w:t>The News section provides a detailed view and analysis of recent developments impacting commodity markets, tracking key news categories, market sentiment, and significant events influencing supply chain and trade dynamics.</w:t>
      </w:r>
    </w:p>
    <w:p w14:paraId="693AE26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130BB6C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Shortage Category Definitions:</w:t>
      </w:r>
    </w:p>
    <w:p w14:paraId="436F965B"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TRANSPORT_DISRUPTION: Shipping delays, port congestion, vessel shortages, transportation issues, freight problems, distribution breakdowns</w:t>
      </w:r>
    </w:p>
    <w:p w14:paraId="2AE80564"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PRODUCTION_DROP: Reduced crop yield, labor issues, processing challenges</w:t>
      </w:r>
    </w:p>
    <w:p w14:paraId="22238920"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EXPORT_DROP: Declining exports</w:t>
      </w:r>
    </w:p>
    <w:p w14:paraId="48504227"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IMPORT_DROP: Falling imports or demand</w:t>
      </w:r>
    </w:p>
    <w:p w14:paraId="4A06AE7B"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SUPPLY_SHORTAGE: Low inventories, depleting stocks, supply constraints</w:t>
      </w:r>
    </w:p>
    <w:p w14:paraId="7D607621"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TRADE_BARRIER: New tariffs, regulations, policy changes impeding trade, import/export restrictions, bans, quotas</w:t>
      </w:r>
    </w:p>
    <w:p w14:paraId="78A0BAD5"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NEUTRAL: No significant shipping or trade flow issues mentioned</w:t>
      </w:r>
    </w:p>
    <w:p w14:paraId="492C7E7B" w14:textId="77777777" w:rsidR="00BF29E4" w:rsidRPr="00BF29E4" w:rsidRDefault="00BF29E4" w:rsidP="00BF29E4">
      <w:pPr>
        <w:numPr>
          <w:ilvl w:val="0"/>
          <w:numId w:val="1"/>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COMMODITY_SUBSTITUTES: Supply and demand of alternative commodities</w:t>
      </w:r>
    </w:p>
    <w:p w14:paraId="4AFD0D5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8F4FE6B"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News Stories Chart (Left Panel)</w:t>
      </w:r>
    </w:p>
    <w:p w14:paraId="19D143D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combined bar and line chart showing news story frequency by shortage category over time. The x-axis displays dates from January to March 2025, while the y-axis shows the count of stories (0-10). Different colored bars represent different shortage categories, and the black line represents the total news story count across all categories.</w:t>
      </w:r>
    </w:p>
    <w:p w14:paraId="0C2430F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3779E3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News Negativity Panel (Right Panel)</w:t>
      </w:r>
    </w:p>
    <w:p w14:paraId="7EFCA08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metric display showing the month-over-month change in news negativity. The risk-news percentage for the last 30 days, compared to the prior 30 days, resulting in a % increase, indicating growing negative sentiment in agricultural commodity news.</w:t>
      </w:r>
    </w:p>
    <w:p w14:paraId="3CA850D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Risk-news are defined as news stories that fall into any shortage category except "NEUTRAL" - meaning they represent some form of supply chain risk.</w:t>
      </w:r>
    </w:p>
    <w:p w14:paraId="2032E9B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C3C79C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Top News Section</w:t>
      </w:r>
    </w:p>
    <w:p w14:paraId="17199E6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A ranked list showing the three most important news stories from the past 30 days, complete with importance point ratings. In this context, importance refers to the potential level of impact that economic events have on financial markets. </w:t>
      </w:r>
    </w:p>
    <w:p w14:paraId="4CDE31E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032D410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Top Shortage Categories Section</w:t>
      </w:r>
    </w:p>
    <w:p w14:paraId="7A23DE9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ranked list showing the three most frequent shortage categories by Frequency &amp; Importance score over the past 30 days. The Frequency &amp; Importance metric is calculated as a percentage of the grand total of [count(</w:t>
      </w:r>
      <w:proofErr w:type="spellStart"/>
      <w:r w:rsidRPr="00BF29E4">
        <w:rPr>
          <w:rFonts w:ascii="Arial" w:eastAsia="Times New Roman" w:hAnsi="Arial" w:cs="Arial"/>
          <w:color w:val="212121"/>
          <w:sz w:val="18"/>
          <w:szCs w:val="18"/>
        </w:rPr>
        <w:t>news_</w:t>
      </w:r>
      <w:proofErr w:type="gramStart"/>
      <w:r w:rsidRPr="00BF29E4">
        <w:rPr>
          <w:rFonts w:ascii="Arial" w:eastAsia="Times New Roman" w:hAnsi="Arial" w:cs="Arial"/>
          <w:color w:val="212121"/>
          <w:sz w:val="18"/>
          <w:szCs w:val="18"/>
        </w:rPr>
        <w:t>id</w:t>
      </w:r>
      <w:proofErr w:type="spellEnd"/>
      <w:r w:rsidRPr="00BF29E4">
        <w:rPr>
          <w:rFonts w:ascii="Arial" w:eastAsia="Times New Roman" w:hAnsi="Arial" w:cs="Arial"/>
          <w:color w:val="212121"/>
          <w:sz w:val="18"/>
          <w:szCs w:val="18"/>
        </w:rPr>
        <w:t>)+</w:t>
      </w:r>
      <w:proofErr w:type="gramEnd"/>
      <w:r w:rsidRPr="00BF29E4">
        <w:rPr>
          <w:rFonts w:ascii="Arial" w:eastAsia="Times New Roman" w:hAnsi="Arial" w:cs="Arial"/>
          <w:color w:val="212121"/>
          <w:sz w:val="18"/>
          <w:szCs w:val="18"/>
        </w:rPr>
        <w:t xml:space="preserve">sum(importance)]. </w:t>
      </w:r>
    </w:p>
    <w:p w14:paraId="4D2014A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2C5904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News Feed Table</w:t>
      </w:r>
    </w:p>
    <w:p w14:paraId="503BE6E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detailed data table displaying recent news items. The table shows specific events affecting various commodities with detailed descriptions of market conditions and factors influencing prices.</w:t>
      </w:r>
    </w:p>
    <w:p w14:paraId="2516FFB8"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Importance values differ from 0 to 2 where 2 are the highest importance news stories.</w:t>
      </w:r>
    </w:p>
    <w:p w14:paraId="7E5D05B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1B12F7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updates:</w:t>
      </w:r>
      <w:r w:rsidRPr="00BF29E4">
        <w:rPr>
          <w:rFonts w:ascii="Arial" w:eastAsia="Times New Roman" w:hAnsi="Arial" w:cs="Arial"/>
          <w:color w:val="212121"/>
          <w:sz w:val="18"/>
          <w:szCs w:val="18"/>
        </w:rPr>
        <w:t xml:space="preserve"> Daily</w:t>
      </w:r>
    </w:p>
    <w:p w14:paraId="15760CE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Sources</w:t>
      </w:r>
    </w:p>
    <w:p w14:paraId="6CD976EB"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Trading Economics</w:t>
      </w:r>
    </w:p>
    <w:p w14:paraId="6D0917FB" w14:textId="4DF5342E" w:rsidR="00BF29E4" w:rsidRDefault="00BF29E4" w:rsidP="00BF29E4">
      <w:pPr>
        <w:bidi w:val="0"/>
      </w:pPr>
    </w:p>
    <w:p w14:paraId="52DFA792" w14:textId="692C643A" w:rsidR="00BF29E4" w:rsidRDefault="00BF29E4" w:rsidP="00BF29E4">
      <w:pPr>
        <w:bidi w:val="0"/>
      </w:pPr>
    </w:p>
    <w:p w14:paraId="670DFD41" w14:textId="1EB98DF1" w:rsidR="00BF29E4" w:rsidRDefault="00BF29E4" w:rsidP="00BF29E4">
      <w:pPr>
        <w:bidi w:val="0"/>
      </w:pPr>
    </w:p>
    <w:p w14:paraId="4F871C88" w14:textId="688C3334" w:rsidR="00BF29E4" w:rsidRDefault="00BF29E4" w:rsidP="00BF29E4">
      <w:pPr>
        <w:bidi w:val="0"/>
      </w:pPr>
      <w:r>
        <w:t>COMMODITY PRICES</w:t>
      </w:r>
    </w:p>
    <w:p w14:paraId="65953086" w14:textId="27736E55" w:rsidR="00BF29E4" w:rsidRDefault="00BF29E4" w:rsidP="00BF29E4">
      <w:pPr>
        <w:bidi w:val="0"/>
      </w:pPr>
    </w:p>
    <w:p w14:paraId="1758BDD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lastRenderedPageBreak/>
        <w:t>The Commodity Prices section provides comprehensive insights into the trends and forecasts of key commodities globally, aiding stakeholders in making informed decisions.</w:t>
      </w:r>
    </w:p>
    <w:p w14:paraId="4278CCC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2F55EEE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Futures Prices</w:t>
      </w:r>
    </w:p>
    <w:p w14:paraId="0EBAD54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Futures Prices graph displays price trends over time for essential commodities. Each commodity is represented with a distinct color line, allowing for easy comparison and trend analysis.</w:t>
      </w:r>
    </w:p>
    <w:p w14:paraId="30940770"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Jet Fuel prices are </w:t>
      </w:r>
      <w:r w:rsidRPr="00BF29E4">
        <w:rPr>
          <w:rFonts w:ascii="Arial" w:eastAsia="Times New Roman" w:hAnsi="Arial" w:cs="Arial"/>
          <w:color w:val="333333"/>
          <w:sz w:val="18"/>
          <w:szCs w:val="18"/>
        </w:rPr>
        <w:t>U.S. Gulf Coast per gallon prices.</w:t>
      </w:r>
    </w:p>
    <w:p w14:paraId="39EE31F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roofErr w:type="spellStart"/>
      <w:r w:rsidRPr="00BF29E4">
        <w:rPr>
          <w:rFonts w:ascii="Arial" w:eastAsia="Times New Roman" w:hAnsi="Arial" w:cs="Arial"/>
          <w:color w:val="333333"/>
          <w:sz w:val="18"/>
          <w:szCs w:val="18"/>
        </w:rPr>
        <w:t>Deisel</w:t>
      </w:r>
      <w:proofErr w:type="spellEnd"/>
      <w:r w:rsidRPr="00BF29E4">
        <w:rPr>
          <w:rFonts w:ascii="Arial" w:eastAsia="Times New Roman" w:hAnsi="Arial" w:cs="Arial"/>
          <w:color w:val="333333"/>
          <w:sz w:val="18"/>
          <w:szCs w:val="18"/>
        </w:rPr>
        <w:t xml:space="preserve"> prices are a combination of "</w:t>
      </w:r>
      <w:r w:rsidRPr="00BF29E4">
        <w:rPr>
          <w:rFonts w:ascii="Arial" w:eastAsia="Times New Roman" w:hAnsi="Arial" w:cs="Arial"/>
          <w:color w:val="212121"/>
          <w:sz w:val="18"/>
          <w:szCs w:val="18"/>
        </w:rPr>
        <w:t xml:space="preserve">US Diesel Sales Price" and "Euro Area </w:t>
      </w:r>
      <w:proofErr w:type="spellStart"/>
      <w:r w:rsidRPr="00BF29E4">
        <w:rPr>
          <w:rFonts w:ascii="Arial" w:eastAsia="Times New Roman" w:hAnsi="Arial" w:cs="Arial"/>
          <w:color w:val="212121"/>
          <w:sz w:val="18"/>
          <w:szCs w:val="18"/>
        </w:rPr>
        <w:t>Harmonised</w:t>
      </w:r>
      <w:proofErr w:type="spellEnd"/>
      <w:r w:rsidRPr="00BF29E4">
        <w:rPr>
          <w:rFonts w:ascii="Arial" w:eastAsia="Times New Roman" w:hAnsi="Arial" w:cs="Arial"/>
          <w:color w:val="212121"/>
          <w:sz w:val="18"/>
          <w:szCs w:val="18"/>
        </w:rPr>
        <w:t xml:space="preserve"> index of consumer prices: Diesel", updated on a weekly basis.</w:t>
      </w:r>
    </w:p>
    <w:p w14:paraId="01FEFE1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shd w:val="clear" w:color="auto" w:fill="FFFFFF"/>
        </w:rPr>
        <w:t xml:space="preserve">Some prices </w:t>
      </w:r>
      <w:proofErr w:type="gramStart"/>
      <w:r w:rsidRPr="00BF29E4">
        <w:rPr>
          <w:rFonts w:ascii="Arial" w:eastAsia="Times New Roman" w:hAnsi="Arial" w:cs="Arial"/>
          <w:color w:val="212121"/>
          <w:sz w:val="18"/>
          <w:szCs w:val="18"/>
          <w:shd w:val="clear" w:color="auto" w:fill="FFFFFF"/>
        </w:rPr>
        <w:t>has</w:t>
      </w:r>
      <w:proofErr w:type="gramEnd"/>
      <w:r w:rsidRPr="00BF29E4">
        <w:rPr>
          <w:rFonts w:ascii="Arial" w:eastAsia="Times New Roman" w:hAnsi="Arial" w:cs="Arial"/>
          <w:color w:val="212121"/>
          <w:sz w:val="18"/>
          <w:szCs w:val="18"/>
          <w:shd w:val="clear" w:color="auto" w:fill="FFFFFF"/>
        </w:rPr>
        <w:t xml:space="preserve"> been rescaled for </w:t>
      </w:r>
      <w:proofErr w:type="spellStart"/>
      <w:r w:rsidRPr="00BF29E4">
        <w:rPr>
          <w:rFonts w:ascii="Arial" w:eastAsia="Times New Roman" w:hAnsi="Arial" w:cs="Arial"/>
          <w:color w:val="212121"/>
          <w:sz w:val="18"/>
          <w:szCs w:val="18"/>
          <w:shd w:val="clear" w:color="auto" w:fill="FFFFFF"/>
        </w:rPr>
        <w:t>for</w:t>
      </w:r>
      <w:proofErr w:type="spellEnd"/>
      <w:r w:rsidRPr="00BF29E4">
        <w:rPr>
          <w:rFonts w:ascii="Arial" w:eastAsia="Times New Roman" w:hAnsi="Arial" w:cs="Arial"/>
          <w:color w:val="212121"/>
          <w:sz w:val="18"/>
          <w:szCs w:val="18"/>
          <w:shd w:val="clear" w:color="auto" w:fill="FFFFFF"/>
        </w:rPr>
        <w:t xml:space="preserve"> visual purposes:</w:t>
      </w:r>
    </w:p>
    <w:p w14:paraId="2E665E6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(INR/10 kg)/2 Sunflower Oil</w:t>
      </w:r>
    </w:p>
    <w:p w14:paraId="2841133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(bushel/kg)/2.1772 Soybeans,</w:t>
      </w:r>
    </w:p>
    <w:p w14:paraId="638A84A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(EUR/T) Rapeseed,</w:t>
      </w:r>
    </w:p>
    <w:p w14:paraId="541122C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(CAD/T) Canola,</w:t>
      </w:r>
    </w:p>
    <w:p w14:paraId="306F6FF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(bushel/kg) Wheat,</w:t>
      </w:r>
    </w:p>
    <w:p w14:paraId="3E279B3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(USD/</w:t>
      </w:r>
      <w:proofErr w:type="gramStart"/>
      <w:r w:rsidRPr="00BF29E4">
        <w:rPr>
          <w:rFonts w:ascii="Arial" w:eastAsia="Times New Roman" w:hAnsi="Arial" w:cs="Arial"/>
          <w:color w:val="1D1C1D"/>
          <w:sz w:val="18"/>
          <w:szCs w:val="18"/>
          <w:shd w:val="clear" w:color="auto" w:fill="FFFFFF"/>
        </w:rPr>
        <w:t>cwt)*</w:t>
      </w:r>
      <w:proofErr w:type="gramEnd"/>
      <w:r w:rsidRPr="00BF29E4">
        <w:rPr>
          <w:rFonts w:ascii="Arial" w:eastAsia="Times New Roman" w:hAnsi="Arial" w:cs="Arial"/>
          <w:color w:val="1D1C1D"/>
          <w:sz w:val="18"/>
          <w:szCs w:val="18"/>
          <w:shd w:val="clear" w:color="auto" w:fill="FFFFFF"/>
        </w:rPr>
        <w:t>10 Rice,</w:t>
      </w:r>
    </w:p>
    <w:p w14:paraId="10798AA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(SB1:</w:t>
      </w:r>
      <w:proofErr w:type="gramStart"/>
      <w:r w:rsidRPr="00BF29E4">
        <w:rPr>
          <w:rFonts w:ascii="Arial" w:eastAsia="Times New Roman" w:hAnsi="Arial" w:cs="Arial"/>
          <w:color w:val="1D1C1D"/>
          <w:sz w:val="18"/>
          <w:szCs w:val="18"/>
          <w:shd w:val="clear" w:color="auto" w:fill="FFFFFF"/>
        </w:rPr>
        <w:t>COM)*</w:t>
      </w:r>
      <w:proofErr w:type="gramEnd"/>
      <w:r w:rsidRPr="00BF29E4">
        <w:rPr>
          <w:rFonts w:ascii="Arial" w:eastAsia="Times New Roman" w:hAnsi="Arial" w:cs="Arial"/>
          <w:color w:val="1D1C1D"/>
          <w:sz w:val="18"/>
          <w:szCs w:val="18"/>
          <w:shd w:val="clear" w:color="auto" w:fill="FFFFFF"/>
        </w:rPr>
        <w:t xml:space="preserve">10 Sugar, </w:t>
      </w:r>
    </w:p>
    <w:p w14:paraId="21CA13E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(O 1:</w:t>
      </w:r>
      <w:proofErr w:type="gramStart"/>
      <w:r w:rsidRPr="00BF29E4">
        <w:rPr>
          <w:rFonts w:ascii="Arial" w:eastAsia="Times New Roman" w:hAnsi="Arial" w:cs="Arial"/>
          <w:color w:val="1D1C1D"/>
          <w:sz w:val="18"/>
          <w:szCs w:val="18"/>
          <w:shd w:val="clear" w:color="auto" w:fill="FFFFFF"/>
        </w:rPr>
        <w:t>COM)*</w:t>
      </w:r>
      <w:proofErr w:type="gramEnd"/>
      <w:r w:rsidRPr="00BF29E4">
        <w:rPr>
          <w:rFonts w:ascii="Arial" w:eastAsia="Times New Roman" w:hAnsi="Arial" w:cs="Arial"/>
          <w:color w:val="1D1C1D"/>
          <w:sz w:val="18"/>
          <w:szCs w:val="18"/>
          <w:shd w:val="clear" w:color="auto" w:fill="FFFFFF"/>
        </w:rPr>
        <w:t xml:space="preserve">1 Oat, </w:t>
      </w:r>
    </w:p>
    <w:p w14:paraId="606B0EF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 xml:space="preserve">(INR/T)/10 Barley, </w:t>
      </w:r>
    </w:p>
    <w:p w14:paraId="062AD9F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(bushel/kg) Corn,</w:t>
      </w:r>
    </w:p>
    <w:p w14:paraId="34F90C0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index points CRB Commodity Index,</w:t>
      </w:r>
    </w:p>
    <w:p w14:paraId="514F824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(USD/</w:t>
      </w:r>
      <w:proofErr w:type="spellStart"/>
      <w:proofErr w:type="gramStart"/>
      <w:r w:rsidRPr="00BF29E4">
        <w:rPr>
          <w:rFonts w:ascii="Arial" w:eastAsia="Times New Roman" w:hAnsi="Arial" w:cs="Arial"/>
          <w:color w:val="1D1C1D"/>
          <w:sz w:val="18"/>
          <w:szCs w:val="18"/>
          <w:shd w:val="clear" w:color="auto" w:fill="FFFFFF"/>
        </w:rPr>
        <w:t>Bbl</w:t>
      </w:r>
      <w:proofErr w:type="spellEnd"/>
      <w:r w:rsidRPr="00BF29E4">
        <w:rPr>
          <w:rFonts w:ascii="Arial" w:eastAsia="Times New Roman" w:hAnsi="Arial" w:cs="Arial"/>
          <w:color w:val="1D1C1D"/>
          <w:sz w:val="18"/>
          <w:szCs w:val="18"/>
          <w:shd w:val="clear" w:color="auto" w:fill="FFFFFF"/>
        </w:rPr>
        <w:t>)*</w:t>
      </w:r>
      <w:proofErr w:type="gramEnd"/>
      <w:r w:rsidRPr="00BF29E4">
        <w:rPr>
          <w:rFonts w:ascii="Arial" w:eastAsia="Times New Roman" w:hAnsi="Arial" w:cs="Arial"/>
          <w:color w:val="1D1C1D"/>
          <w:sz w:val="18"/>
          <w:szCs w:val="18"/>
          <w:shd w:val="clear" w:color="auto" w:fill="FFFFFF"/>
        </w:rPr>
        <w:t>2 Crude Oil,</w:t>
      </w:r>
    </w:p>
    <w:p w14:paraId="72466CF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(USD/</w:t>
      </w:r>
      <w:proofErr w:type="spellStart"/>
      <w:proofErr w:type="gramStart"/>
      <w:r w:rsidRPr="00BF29E4">
        <w:rPr>
          <w:rFonts w:ascii="Arial" w:eastAsia="Times New Roman" w:hAnsi="Arial" w:cs="Arial"/>
          <w:color w:val="1D1C1D"/>
          <w:sz w:val="18"/>
          <w:szCs w:val="18"/>
          <w:shd w:val="clear" w:color="auto" w:fill="FFFFFF"/>
        </w:rPr>
        <w:t>Bbl</w:t>
      </w:r>
      <w:proofErr w:type="spellEnd"/>
      <w:r w:rsidRPr="00BF29E4">
        <w:rPr>
          <w:rFonts w:ascii="Arial" w:eastAsia="Times New Roman" w:hAnsi="Arial" w:cs="Arial"/>
          <w:color w:val="1D1C1D"/>
          <w:sz w:val="18"/>
          <w:szCs w:val="18"/>
          <w:shd w:val="clear" w:color="auto" w:fill="FFFFFF"/>
        </w:rPr>
        <w:t>)*</w:t>
      </w:r>
      <w:proofErr w:type="gramEnd"/>
      <w:r w:rsidRPr="00BF29E4">
        <w:rPr>
          <w:rFonts w:ascii="Arial" w:eastAsia="Times New Roman" w:hAnsi="Arial" w:cs="Arial"/>
          <w:color w:val="1D1C1D"/>
          <w:sz w:val="18"/>
          <w:szCs w:val="18"/>
          <w:shd w:val="clear" w:color="auto" w:fill="FFFFFF"/>
        </w:rPr>
        <w:t>2 Brent crude oil,</w:t>
      </w:r>
    </w:p>
    <w:p w14:paraId="12CEDA8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(USD/</w:t>
      </w:r>
      <w:proofErr w:type="gramStart"/>
      <w:r w:rsidRPr="00BF29E4">
        <w:rPr>
          <w:rFonts w:ascii="Arial" w:eastAsia="Times New Roman" w:hAnsi="Arial" w:cs="Arial"/>
          <w:color w:val="1D1C1D"/>
          <w:sz w:val="18"/>
          <w:szCs w:val="18"/>
          <w:shd w:val="clear" w:color="auto" w:fill="FFFFFF"/>
        </w:rPr>
        <w:t>Gal)*</w:t>
      </w:r>
      <w:proofErr w:type="gramEnd"/>
      <w:r w:rsidRPr="00BF29E4">
        <w:rPr>
          <w:rFonts w:ascii="Arial" w:eastAsia="Times New Roman" w:hAnsi="Arial" w:cs="Arial"/>
          <w:color w:val="1D1C1D"/>
          <w:sz w:val="18"/>
          <w:szCs w:val="18"/>
          <w:shd w:val="clear" w:color="auto" w:fill="FFFFFF"/>
        </w:rPr>
        <w:t>50 Gasoline,</w:t>
      </w:r>
    </w:p>
    <w:p w14:paraId="24A354A0"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(USD/</w:t>
      </w:r>
      <w:proofErr w:type="gramStart"/>
      <w:r w:rsidRPr="00BF29E4">
        <w:rPr>
          <w:rFonts w:ascii="Arial" w:eastAsia="Times New Roman" w:hAnsi="Arial" w:cs="Arial"/>
          <w:color w:val="1D1C1D"/>
          <w:sz w:val="18"/>
          <w:szCs w:val="18"/>
          <w:shd w:val="clear" w:color="auto" w:fill="FFFFFF"/>
        </w:rPr>
        <w:t>Gal)*</w:t>
      </w:r>
      <w:proofErr w:type="gramEnd"/>
      <w:r w:rsidRPr="00BF29E4">
        <w:rPr>
          <w:rFonts w:ascii="Arial" w:eastAsia="Times New Roman" w:hAnsi="Arial" w:cs="Arial"/>
          <w:color w:val="1D1C1D"/>
          <w:sz w:val="18"/>
          <w:szCs w:val="18"/>
          <w:shd w:val="clear" w:color="auto" w:fill="FFFFFF"/>
        </w:rPr>
        <w:t>100 Propane,</w:t>
      </w:r>
    </w:p>
    <w:p w14:paraId="28F24C3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1D1C1D"/>
          <w:sz w:val="18"/>
          <w:szCs w:val="18"/>
          <w:shd w:val="clear" w:color="auto" w:fill="FFFFFF"/>
        </w:rPr>
        <w:t xml:space="preserve">(scaled with two </w:t>
      </w:r>
      <w:proofErr w:type="gramStart"/>
      <w:r w:rsidRPr="00BF29E4">
        <w:rPr>
          <w:rFonts w:ascii="Arial" w:eastAsia="Times New Roman" w:hAnsi="Arial" w:cs="Arial"/>
          <w:color w:val="1D1C1D"/>
          <w:sz w:val="18"/>
          <w:szCs w:val="18"/>
          <w:shd w:val="clear" w:color="auto" w:fill="FFFFFF"/>
        </w:rPr>
        <w:t>indexes)*</w:t>
      </w:r>
      <w:proofErr w:type="gramEnd"/>
      <w:r w:rsidRPr="00BF29E4">
        <w:rPr>
          <w:rFonts w:ascii="Arial" w:eastAsia="Times New Roman" w:hAnsi="Arial" w:cs="Arial"/>
          <w:color w:val="1D1C1D"/>
          <w:sz w:val="18"/>
          <w:szCs w:val="18"/>
          <w:shd w:val="clear" w:color="auto" w:fill="FFFFFF"/>
        </w:rPr>
        <w:t>100 jet fuel</w:t>
      </w:r>
    </w:p>
    <w:p w14:paraId="726224B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3A2707F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Futures Prices Forecast</w:t>
      </w:r>
    </w:p>
    <w:p w14:paraId="0669BB98"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table provides forecasted percentage changes for commodities across the next 4 end of quarter dates, enabling proactive planning and risk management</w:t>
      </w:r>
    </w:p>
    <w:p w14:paraId="214E6B6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Arrows indicate upward or downward forecasted trends, facilitating rapid interpretation of future price movements.</w:t>
      </w:r>
    </w:p>
    <w:p w14:paraId="587BC05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Trading Economics forecasts are built using a proprietary global macro model that takes into account their analysts’ expectations, correlations between countries, and a set of logical relationships between different indicators.</w:t>
      </w:r>
    </w:p>
    <w:p w14:paraId="1E8F771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00D990B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Happening Now (Week-over-Week)</w:t>
      </w:r>
    </w:p>
    <w:p w14:paraId="3592908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segment highlights immediate price changes occurring within the current week versus the previous week, pinpointing commodities with notable increases or decreases.</w:t>
      </w:r>
    </w:p>
    <w:p w14:paraId="52BE89A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metric is calculated as the average price this week divided by the average price last week.</w:t>
      </w:r>
    </w:p>
    <w:p w14:paraId="72B349A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31D1C7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Expert Price Analysis</w:t>
      </w:r>
    </w:p>
    <w:p w14:paraId="6ED95BF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Expert analysis by the Trading Economics analysts, deliver detailed commentary and insights for each commodity, discussing underlying reasons for recent price fluctuations and historical context. This qualitative assessment complements the quantitative data, enabling deeper understanding and better-informed decision-making.</w:t>
      </w:r>
    </w:p>
    <w:p w14:paraId="23AAEE8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F8E519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Definitions</w:t>
      </w:r>
    </w:p>
    <w:p w14:paraId="41DCFAC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529"/>
          <w:sz w:val="18"/>
          <w:szCs w:val="18"/>
        </w:rPr>
        <w:t>CRB Index</w:t>
      </w:r>
      <w:r w:rsidRPr="00BF29E4">
        <w:rPr>
          <w:rFonts w:ascii="Arial" w:eastAsia="Times New Roman" w:hAnsi="Arial" w:cs="Arial"/>
          <w:color w:val="212529"/>
          <w:sz w:val="18"/>
          <w:szCs w:val="18"/>
        </w:rPr>
        <w:t xml:space="preserve"> is calculated using arithmetic average of commodity futures prices with monthly rebalancing. The index consists of 19 commodities: Aluminum, Cocoa, Coffee, Copper, Corn, Cotton, Crude Oil, Gold, Heating Oil, Lean Hogs, Live Cattle, Natural Gas, Nickel, Orange Juice, RBOB Gasoline, Silver, Soybeans, Sugar and Wheat. Those commodities are sorted into 4 groups, with different weightings: Energy: 39%, Agriculture: 41%, Precious Metals: 7%, Base/Industrial Metals: 13%.</w:t>
      </w:r>
    </w:p>
    <w:p w14:paraId="558E688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34C1B7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updates:</w:t>
      </w:r>
      <w:r w:rsidRPr="00BF29E4">
        <w:rPr>
          <w:rFonts w:ascii="Arial" w:eastAsia="Times New Roman" w:hAnsi="Arial" w:cs="Arial"/>
          <w:color w:val="212121"/>
          <w:sz w:val="18"/>
          <w:szCs w:val="18"/>
        </w:rPr>
        <w:t xml:space="preserve"> Daily</w:t>
      </w:r>
    </w:p>
    <w:p w14:paraId="29C7899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6F53C8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Sources</w:t>
      </w:r>
    </w:p>
    <w:p w14:paraId="691F80A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Trading Economics</w:t>
      </w:r>
    </w:p>
    <w:p w14:paraId="125C6AB4" w14:textId="789835D3" w:rsidR="00BF29E4" w:rsidRDefault="00BF29E4" w:rsidP="00BF29E4">
      <w:pPr>
        <w:bidi w:val="0"/>
      </w:pPr>
    </w:p>
    <w:p w14:paraId="0255DCB6" w14:textId="3300EBBD" w:rsidR="00BF29E4" w:rsidRDefault="00BF29E4" w:rsidP="00BF29E4">
      <w:pPr>
        <w:bidi w:val="0"/>
      </w:pPr>
    </w:p>
    <w:p w14:paraId="45607F4A" w14:textId="22000B42" w:rsidR="00BF29E4" w:rsidRDefault="00BF29E4" w:rsidP="00BF29E4">
      <w:pPr>
        <w:bidi w:val="0"/>
      </w:pPr>
    </w:p>
    <w:p w14:paraId="76BCA07D" w14:textId="77925F1B" w:rsidR="00BF29E4" w:rsidRDefault="00BF29E4" w:rsidP="00BF29E4">
      <w:pPr>
        <w:bidi w:val="0"/>
      </w:pPr>
      <w:r>
        <w:t>TRANSPOT PRICES</w:t>
      </w:r>
    </w:p>
    <w:p w14:paraId="455777DC" w14:textId="479DFFE0" w:rsidR="00BF29E4" w:rsidRDefault="00BF29E4" w:rsidP="00BF29E4">
      <w:pPr>
        <w:bidi w:val="0"/>
      </w:pPr>
    </w:p>
    <w:p w14:paraId="6D80FA1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Transport Prices section provides valuable insights into transportation cost trends and their forecasts. crucial for logistics, supply chain management, and strategic planning.</w:t>
      </w:r>
    </w:p>
    <w:p w14:paraId="0806E3D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0B5EFA9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Futures Prices</w:t>
      </w:r>
    </w:p>
    <w:p w14:paraId="55BFF34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Futures Prices graph illustrates historical trends and price fluctuations for key freight indices:</w:t>
      </w:r>
    </w:p>
    <w:p w14:paraId="3FE5D49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Baltic Dry Index</w:t>
      </w:r>
      <w:r w:rsidRPr="00BF29E4">
        <w:rPr>
          <w:rFonts w:ascii="Arial" w:eastAsia="Times New Roman" w:hAnsi="Arial" w:cs="Arial"/>
          <w:color w:val="212121"/>
          <w:sz w:val="18"/>
          <w:szCs w:val="18"/>
        </w:rPr>
        <w:t>: Represents rates for transporting dry bulk commodities such as coal and grain.</w:t>
      </w:r>
    </w:p>
    <w:p w14:paraId="6F1AB71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Containerized Freight Index</w:t>
      </w:r>
      <w:r w:rsidRPr="00BF29E4">
        <w:rPr>
          <w:rFonts w:ascii="Arial" w:eastAsia="Times New Roman" w:hAnsi="Arial" w:cs="Arial"/>
          <w:color w:val="212121"/>
          <w:sz w:val="18"/>
          <w:szCs w:val="18"/>
        </w:rPr>
        <w:t>: Indicates the cost of shipping goods using container freight.</w:t>
      </w:r>
    </w:p>
    <w:p w14:paraId="6EEE092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graph enables users to visualize price trends, spot volatility, and understand freight market dynamics clearly.</w:t>
      </w:r>
    </w:p>
    <w:p w14:paraId="3CE2E2E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726C25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Commodity Transit Type</w:t>
      </w:r>
    </w:p>
    <w:p w14:paraId="54FAF71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table indicates which commodities are typically transported using each type of freight (Baltic Dry or Containerized Freight), helping users optimize logistics decisions:</w:t>
      </w:r>
    </w:p>
    <w:p w14:paraId="3AE746D7" w14:textId="77777777" w:rsidR="00BF29E4" w:rsidRPr="00BF29E4" w:rsidRDefault="00BF29E4" w:rsidP="00BF29E4">
      <w:pPr>
        <w:numPr>
          <w:ilvl w:val="0"/>
          <w:numId w:val="2"/>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green check indicates the typical transit method.</w:t>
      </w:r>
    </w:p>
    <w:p w14:paraId="55957321" w14:textId="77777777" w:rsidR="00BF29E4" w:rsidRPr="00BF29E4" w:rsidRDefault="00BF29E4" w:rsidP="00BF29E4">
      <w:pPr>
        <w:numPr>
          <w:ilvl w:val="0"/>
          <w:numId w:val="2"/>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red cross denotes the commodity is not commonly shipped via that method.</w:t>
      </w:r>
    </w:p>
    <w:p w14:paraId="616EAEB3" w14:textId="77777777" w:rsidR="00BF29E4" w:rsidRPr="00BF29E4" w:rsidRDefault="00BF29E4" w:rsidP="00BF29E4">
      <w:pPr>
        <w:numPr>
          <w:ilvl w:val="0"/>
          <w:numId w:val="2"/>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A yellow line indicates in some cases it is the used transit method. </w:t>
      </w:r>
    </w:p>
    <w:p w14:paraId="6E30F09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68A38A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Indices Forecast</w:t>
      </w:r>
    </w:p>
    <w:p w14:paraId="5FAC453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forecast table presents predicted percentage changes for transportation indices across specified future dates.</w:t>
      </w:r>
    </w:p>
    <w:p w14:paraId="6EE94EE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Arrows indicate upward or downward forecasted trends, facilitating rapid interpretation of future price movements.</w:t>
      </w:r>
    </w:p>
    <w:p w14:paraId="0785365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Trading Economics forecasts are built using a proprietary global macro model that takes into account their analysts’ expectations, correlations between countries, and a set of logical relationships between different indicators.</w:t>
      </w:r>
    </w:p>
    <w:p w14:paraId="1C8328B0"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EBCA36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Happening Now (Week-over-Week)</w:t>
      </w:r>
    </w:p>
    <w:p w14:paraId="55D6955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segment highlights immediate Index points change occurring within the current week versus the previous week, pinpointing notable increases or decreases.</w:t>
      </w:r>
    </w:p>
    <w:p w14:paraId="242C177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metric is calculated as the average points this week divided by the average points last week.</w:t>
      </w:r>
    </w:p>
    <w:p w14:paraId="4A8D7A3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3097449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Expert Index Analysis</w:t>
      </w:r>
    </w:p>
    <w:p w14:paraId="362FF55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Offers expert-driven summaries and analyses explaining recent price movements and underlying market factors for each freight index. These insights enrich the quantitative data, guiding comprehensive decision-making processes.</w:t>
      </w:r>
    </w:p>
    <w:p w14:paraId="68E37D7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7A522CC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updates:</w:t>
      </w:r>
      <w:r w:rsidRPr="00BF29E4">
        <w:rPr>
          <w:rFonts w:ascii="Arial" w:eastAsia="Times New Roman" w:hAnsi="Arial" w:cs="Arial"/>
          <w:color w:val="212121"/>
          <w:sz w:val="18"/>
          <w:szCs w:val="18"/>
        </w:rPr>
        <w:t xml:space="preserve"> Daily</w:t>
      </w:r>
    </w:p>
    <w:p w14:paraId="3D8CBE9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B794B4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Sources</w:t>
      </w:r>
    </w:p>
    <w:p w14:paraId="574AA0A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Trading Economics</w:t>
      </w:r>
    </w:p>
    <w:p w14:paraId="136DFCC2" w14:textId="1B0A9398" w:rsidR="00BF29E4" w:rsidRDefault="00BF29E4" w:rsidP="00BF29E4">
      <w:pPr>
        <w:bidi w:val="0"/>
      </w:pPr>
      <w:r>
        <w:t>Reuters</w:t>
      </w:r>
    </w:p>
    <w:p w14:paraId="7FCCEBF5" w14:textId="7385099E" w:rsidR="00BF29E4" w:rsidRDefault="00BF29E4" w:rsidP="00BF29E4">
      <w:pPr>
        <w:bidi w:val="0"/>
      </w:pPr>
    </w:p>
    <w:p w14:paraId="51CED6BA" w14:textId="07107FCE" w:rsidR="00BF29E4" w:rsidRDefault="00BF29E4" w:rsidP="00BF29E4">
      <w:pPr>
        <w:bidi w:val="0"/>
      </w:pPr>
    </w:p>
    <w:p w14:paraId="1F03BA56" w14:textId="0882BB65" w:rsidR="00BF29E4" w:rsidRDefault="00BF29E4" w:rsidP="00BF29E4">
      <w:pPr>
        <w:bidi w:val="0"/>
      </w:pPr>
      <w:r>
        <w:t xml:space="preserve">SUPPLY AND DEMAND </w:t>
      </w:r>
    </w:p>
    <w:p w14:paraId="1A5BD9C6" w14:textId="50BE50BA" w:rsidR="00BF29E4" w:rsidRDefault="00BF29E4" w:rsidP="00BF29E4">
      <w:pPr>
        <w:bidi w:val="0"/>
      </w:pPr>
    </w:p>
    <w:p w14:paraId="6E772BF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Supply vs Demand section provides a detailed overview and analysis of global commodity production and consumption, helping stakeholders balance resources, anticipate market fluctuations, and strategically plan.</w:t>
      </w:r>
    </w:p>
    <w:p w14:paraId="6CDFA86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B4D793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Production by Country</w:t>
      </w:r>
    </w:p>
    <w:p w14:paraId="463063E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This interactive map visualizes global commodity production volumes by country in 1000 Metric Ton. </w:t>
      </w:r>
    </w:p>
    <w:p w14:paraId="4974CFA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Darker shades indicate higher production, enabling users to quickly identify leading commodity producers and geographical production trends.</w:t>
      </w:r>
    </w:p>
    <w:p w14:paraId="21504CB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lastRenderedPageBreak/>
        <w:t>NOTE: Production volumes for EU member states are not displayed on this map because they are reported in aggregate. For detailed information on EU production, refer to the Supply pane.</w:t>
      </w:r>
    </w:p>
    <w:p w14:paraId="209B975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0C08D6EB"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Commodity Total Supply by Date Heat Map</w:t>
      </w:r>
    </w:p>
    <w:p w14:paraId="4A29BCB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heat map representing the monthly amount of commodity total supply over time. Users can pick a country, observe patterns, trends, and seasonal variations, gaining insights into periods of surplus or deficit in supply of each commodity.</w:t>
      </w:r>
    </w:p>
    <w:p w14:paraId="3E391C3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The metric is calculated as follows: sum of Supply in 1000MT.</w:t>
      </w:r>
    </w:p>
    <w:p w14:paraId="2FFCF148"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15C1159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Outlook Changes</w:t>
      </w:r>
    </w:p>
    <w:p w14:paraId="2B6567A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table captures significant changes and events impacting commodity markets:</w:t>
      </w:r>
    </w:p>
    <w:p w14:paraId="6C45E41B" w14:textId="77777777" w:rsidR="00BF29E4" w:rsidRPr="00BF29E4" w:rsidRDefault="00BF29E4" w:rsidP="00BF29E4">
      <w:pPr>
        <w:numPr>
          <w:ilvl w:val="0"/>
          <w:numId w:val="3"/>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Date: Timeframe for the reported change.</w:t>
      </w:r>
    </w:p>
    <w:p w14:paraId="504CBE5E" w14:textId="77777777" w:rsidR="00BF29E4" w:rsidRPr="00BF29E4" w:rsidRDefault="00BF29E4" w:rsidP="00BF29E4">
      <w:pPr>
        <w:numPr>
          <w:ilvl w:val="0"/>
          <w:numId w:val="3"/>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Commodity: Commodity category affected.</w:t>
      </w:r>
    </w:p>
    <w:p w14:paraId="2B2FFEFB" w14:textId="77777777" w:rsidR="00BF29E4" w:rsidRPr="00BF29E4" w:rsidRDefault="00BF29E4" w:rsidP="00BF29E4">
      <w:pPr>
        <w:numPr>
          <w:ilvl w:val="0"/>
          <w:numId w:val="3"/>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Country: Country impacted by the change.</w:t>
      </w:r>
    </w:p>
    <w:p w14:paraId="6B55AD10" w14:textId="77777777" w:rsidR="00BF29E4" w:rsidRPr="00BF29E4" w:rsidRDefault="00BF29E4" w:rsidP="00BF29E4">
      <w:pPr>
        <w:numPr>
          <w:ilvl w:val="0"/>
          <w:numId w:val="3"/>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Change type: Nature of the event (e.g., production, import, export).</w:t>
      </w:r>
    </w:p>
    <w:p w14:paraId="50DD1C66" w14:textId="77777777" w:rsidR="00BF29E4" w:rsidRPr="00BF29E4" w:rsidRDefault="00BF29E4" w:rsidP="00BF29E4">
      <w:pPr>
        <w:numPr>
          <w:ilvl w:val="0"/>
          <w:numId w:val="3"/>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Outlook: Expert narrative describing the cause and implications of the change, such as environmental impacts, market stability, or policy developments.</w:t>
      </w:r>
    </w:p>
    <w:p w14:paraId="4D9749F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3FFCC16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Supply Changes</w:t>
      </w:r>
    </w:p>
    <w:p w14:paraId="5E9442E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Detailed table of commodity supply changes by country and sub-commodity, including:</w:t>
      </w:r>
    </w:p>
    <w:p w14:paraId="78D700B0" w14:textId="77777777" w:rsidR="00BF29E4" w:rsidRPr="00BF29E4" w:rsidRDefault="00BF29E4" w:rsidP="00BF29E4">
      <w:pPr>
        <w:numPr>
          <w:ilvl w:val="0"/>
          <w:numId w:val="4"/>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Current supply volume</w:t>
      </w:r>
    </w:p>
    <w:p w14:paraId="6B42544C" w14:textId="77777777" w:rsidR="00BF29E4" w:rsidRPr="00BF29E4" w:rsidRDefault="00BF29E4" w:rsidP="00BF29E4">
      <w:pPr>
        <w:numPr>
          <w:ilvl w:val="0"/>
          <w:numId w:val="4"/>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Change in volume</w:t>
      </w:r>
    </w:p>
    <w:p w14:paraId="6AA8EB42" w14:textId="77777777" w:rsidR="00BF29E4" w:rsidRPr="00BF29E4" w:rsidRDefault="00BF29E4" w:rsidP="00BF29E4">
      <w:pPr>
        <w:numPr>
          <w:ilvl w:val="0"/>
          <w:numId w:val="4"/>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Percentage change (change of over 10000% won't be shown)</w:t>
      </w:r>
    </w:p>
    <w:p w14:paraId="6D56225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significant drop in supply volume change column will be presented in red (gradient color: -300 to -1500 1000MT)</w:t>
      </w:r>
    </w:p>
    <w:p w14:paraId="1C710608"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data helps users quickly assess shifts in commodity availability and identify critical adjustments in global supply chains.</w:t>
      </w:r>
    </w:p>
    <w:p w14:paraId="370115E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NOTE: Energy commodities are measured in thousand barrels per day (TBPD) units.</w:t>
      </w:r>
    </w:p>
    <w:p w14:paraId="3FB142B0"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0E582DA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Demand Changes</w:t>
      </w:r>
    </w:p>
    <w:p w14:paraId="67DB759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This table provides an analysis of commodity demand changes by country and sub-commodity, detailing:</w:t>
      </w:r>
    </w:p>
    <w:p w14:paraId="693A3415" w14:textId="77777777" w:rsidR="00BF29E4" w:rsidRPr="00BF29E4" w:rsidRDefault="00BF29E4" w:rsidP="00BF29E4">
      <w:pPr>
        <w:numPr>
          <w:ilvl w:val="0"/>
          <w:numId w:val="5"/>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Current demand levels</w:t>
      </w:r>
    </w:p>
    <w:p w14:paraId="78ED05DB" w14:textId="77777777" w:rsidR="00BF29E4" w:rsidRPr="00BF29E4" w:rsidRDefault="00BF29E4" w:rsidP="00BF29E4">
      <w:pPr>
        <w:numPr>
          <w:ilvl w:val="0"/>
          <w:numId w:val="5"/>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Change in consumption</w:t>
      </w:r>
    </w:p>
    <w:p w14:paraId="3806A8E8" w14:textId="77777777" w:rsidR="00BF29E4" w:rsidRPr="00BF29E4" w:rsidRDefault="00BF29E4" w:rsidP="00BF29E4">
      <w:pPr>
        <w:numPr>
          <w:ilvl w:val="0"/>
          <w:numId w:val="5"/>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Percentage change (change of over 10000% won't be shown)</w:t>
      </w:r>
    </w:p>
    <w:p w14:paraId="728A99FB"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Users can utilize this information to understand market demand dynamics, anticipate future needs, and inform operational or strategic decisions.</w:t>
      </w:r>
    </w:p>
    <w:p w14:paraId="4A4219E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significant growth in demand volume change column will be presented in red (gradient color: 100 to 1000 1000MT)</w:t>
      </w:r>
    </w:p>
    <w:p w14:paraId="64E7DBE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2DECF15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updates:</w:t>
      </w:r>
      <w:r w:rsidRPr="00BF29E4">
        <w:rPr>
          <w:rFonts w:ascii="Arial" w:eastAsia="Times New Roman" w:hAnsi="Arial" w:cs="Arial"/>
          <w:color w:val="212121"/>
          <w:sz w:val="18"/>
          <w:szCs w:val="18"/>
        </w:rPr>
        <w:t xml:space="preserve"> Monthly</w:t>
      </w:r>
    </w:p>
    <w:p w14:paraId="75F41D3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NOTE: Sugar data is updated every 6 months (November and May)</w:t>
      </w:r>
    </w:p>
    <w:p w14:paraId="31122CD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214FD84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Sources</w:t>
      </w:r>
    </w:p>
    <w:p w14:paraId="0F27F16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US Department of Agriculture</w:t>
      </w:r>
    </w:p>
    <w:p w14:paraId="302BDA92" w14:textId="661615CB" w:rsidR="00BF29E4" w:rsidRDefault="00BF29E4" w:rsidP="00BF29E4">
      <w:pPr>
        <w:bidi w:val="0"/>
        <w:rPr>
          <w:rFonts w:ascii="Arial" w:eastAsia="Times New Roman" w:hAnsi="Arial" w:cs="Arial"/>
          <w:color w:val="212121"/>
          <w:sz w:val="18"/>
          <w:szCs w:val="18"/>
        </w:rPr>
      </w:pPr>
      <w:r>
        <w:rPr>
          <w:rFonts w:ascii="Arial" w:eastAsia="Times New Roman" w:hAnsi="Arial" w:cs="Arial"/>
          <w:color w:val="212121"/>
          <w:sz w:val="18"/>
          <w:szCs w:val="18"/>
        </w:rPr>
        <w:t>Jodi Organization Data Initiative</w:t>
      </w:r>
    </w:p>
    <w:p w14:paraId="784EF7BE" w14:textId="08831C8D" w:rsidR="00BF29E4" w:rsidRDefault="00BF29E4" w:rsidP="00BF29E4">
      <w:pPr>
        <w:bidi w:val="0"/>
        <w:rPr>
          <w:rFonts w:ascii="Arial" w:eastAsia="Times New Roman" w:hAnsi="Arial" w:cs="Arial"/>
          <w:color w:val="212121"/>
          <w:sz w:val="18"/>
          <w:szCs w:val="18"/>
        </w:rPr>
      </w:pPr>
    </w:p>
    <w:p w14:paraId="28EB0FB0" w14:textId="5CC58AD5" w:rsidR="00BF29E4" w:rsidRDefault="00BF29E4" w:rsidP="00BF29E4">
      <w:pPr>
        <w:bidi w:val="0"/>
        <w:rPr>
          <w:rFonts w:ascii="Arial" w:eastAsia="Times New Roman" w:hAnsi="Arial" w:cs="Arial"/>
          <w:color w:val="212121"/>
          <w:sz w:val="18"/>
          <w:szCs w:val="18"/>
        </w:rPr>
      </w:pPr>
    </w:p>
    <w:p w14:paraId="216BFA8D" w14:textId="18244B9D" w:rsidR="00BF29E4" w:rsidRDefault="00BF29E4" w:rsidP="00BF29E4">
      <w:pPr>
        <w:bidi w:val="0"/>
        <w:rPr>
          <w:rFonts w:ascii="Arial" w:eastAsia="Times New Roman" w:hAnsi="Arial" w:cs="Arial"/>
          <w:color w:val="212121"/>
          <w:sz w:val="18"/>
          <w:szCs w:val="18"/>
        </w:rPr>
      </w:pPr>
      <w:r>
        <w:rPr>
          <w:rFonts w:ascii="Arial" w:eastAsia="Times New Roman" w:hAnsi="Arial" w:cs="Arial"/>
          <w:color w:val="212121"/>
          <w:sz w:val="18"/>
          <w:szCs w:val="18"/>
        </w:rPr>
        <w:t>WORLDWIDE EXPORTS</w:t>
      </w:r>
    </w:p>
    <w:p w14:paraId="43758A98" w14:textId="0F52CAC7" w:rsidR="00BF29E4" w:rsidRDefault="00BF29E4" w:rsidP="00BF29E4">
      <w:pPr>
        <w:bidi w:val="0"/>
        <w:rPr>
          <w:rFonts w:ascii="Arial" w:eastAsia="Times New Roman" w:hAnsi="Arial" w:cs="Arial"/>
          <w:color w:val="212121"/>
          <w:sz w:val="18"/>
          <w:szCs w:val="18"/>
        </w:rPr>
      </w:pPr>
    </w:p>
    <w:p w14:paraId="4F2723D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The Worldwide Export section provides insights into global commodity export activities, including detailed data on export volumes by country, commodity domains, and trends over time. </w:t>
      </w:r>
    </w:p>
    <w:p w14:paraId="2B97870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lastRenderedPageBreak/>
        <w:t>Net Weight is always measured in</w:t>
      </w:r>
      <w:r w:rsidRPr="00BF29E4">
        <w:rPr>
          <w:rFonts w:ascii="Arial" w:eastAsia="Times New Roman" w:hAnsi="Arial" w:cs="Arial"/>
          <w:color w:val="212121"/>
          <w:sz w:val="21"/>
          <w:szCs w:val="21"/>
        </w:rPr>
        <w:t xml:space="preserve"> </w:t>
      </w:r>
      <w:r w:rsidRPr="00BF29E4">
        <w:rPr>
          <w:rFonts w:ascii="Arial" w:eastAsia="Times New Roman" w:hAnsi="Arial" w:cs="Arial"/>
          <w:color w:val="212121"/>
          <w:sz w:val="18"/>
          <w:szCs w:val="18"/>
        </w:rPr>
        <w:t>Kilograms.</w:t>
      </w:r>
    </w:p>
    <w:p w14:paraId="6F24557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FF0617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Global Export Market</w:t>
      </w:r>
    </w:p>
    <w:p w14:paraId="23D90AE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Displays a pie chart breaking down commodity exports by country, based on Net Weight. Each exporter country is colored, and the chart illustrates their relative share (%) in the global export market.</w:t>
      </w:r>
    </w:p>
    <w:p w14:paraId="5883D12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3FB967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Commodity Net Weight by Month</w:t>
      </w:r>
    </w:p>
    <w:p w14:paraId="75C83023"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line chart illustrating trends in commodity export volumes over time, measured by Net Weight. Each line represents a commodity domain, providing visibility into fluctuations and trends from March 2023 through December 2024.</w:t>
      </w:r>
    </w:p>
    <w:p w14:paraId="1BEBB7E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3CFB2F9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Forecast Metric</w:t>
      </w:r>
    </w:p>
    <w:p w14:paraId="0B5DE52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summarized metric forecasting the Total Net Weight of global commodity exports for a specific future month (e.g., September 2025). This helps anticipate global export market trends.</w:t>
      </w:r>
    </w:p>
    <w:p w14:paraId="2C2C406A"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38AFEE0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Net Weight by Exporter</w:t>
      </w:r>
    </w:p>
    <w:p w14:paraId="504BACB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stacked bar chart illustrating Net Weight exported by country over time. Each segment within the bars is colored to represent individual exporting countries, visually displaying how each country's export volume contributes to global totals monthly.</w:t>
      </w:r>
    </w:p>
    <w:p w14:paraId="022D62A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222DDA9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Net Weight Exports Month-over-Month</w:t>
      </w:r>
    </w:p>
    <w:p w14:paraId="542872E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Displays the percentage increase or decrease in total Net Weight exports month-over-month. Clearly identifies export growth or contraction, providing total Net Weight values for the two most recent months.</w:t>
      </w:r>
    </w:p>
    <w:p w14:paraId="2ECC1B4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73F17BB"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Top &amp; Bottom Net Weight Changes</w:t>
      </w:r>
    </w:p>
    <w:p w14:paraId="7A7E4FD3" w14:textId="77777777" w:rsidR="00BF29E4" w:rsidRPr="00BF29E4" w:rsidRDefault="00BF29E4" w:rsidP="00BF29E4">
      <w:pPr>
        <w:numPr>
          <w:ilvl w:val="0"/>
          <w:numId w:val="6"/>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Top total net weight increases: Lists countries with the most significant month-over-month increases in exported Net Weight, detailing percentage change and absolute changes in export volume.</w:t>
      </w:r>
    </w:p>
    <w:p w14:paraId="5AC94B42" w14:textId="77777777" w:rsidR="00BF29E4" w:rsidRPr="00BF29E4" w:rsidRDefault="00BF29E4" w:rsidP="00BF29E4">
      <w:pPr>
        <w:numPr>
          <w:ilvl w:val="0"/>
          <w:numId w:val="6"/>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Bottom total net weight decreases: Highlights countries experiencing the largest decreases in export Net Weight, similarly indicating percentage and absolute reductions.</w:t>
      </w:r>
    </w:p>
    <w:p w14:paraId="77591BA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3087FA5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 xml:space="preserve">UN </w:t>
      </w:r>
      <w:proofErr w:type="spellStart"/>
      <w:r w:rsidRPr="00BF29E4">
        <w:rPr>
          <w:rFonts w:ascii="Arial" w:eastAsia="Times New Roman" w:hAnsi="Arial" w:cs="Arial"/>
          <w:b/>
          <w:bCs/>
          <w:color w:val="212121"/>
          <w:sz w:val="18"/>
          <w:szCs w:val="18"/>
        </w:rPr>
        <w:t>Comtrade</w:t>
      </w:r>
      <w:proofErr w:type="spellEnd"/>
      <w:r w:rsidRPr="00BF29E4">
        <w:rPr>
          <w:rFonts w:ascii="Arial" w:eastAsia="Times New Roman" w:hAnsi="Arial" w:cs="Arial"/>
          <w:b/>
          <w:bCs/>
          <w:color w:val="212121"/>
          <w:sz w:val="18"/>
          <w:szCs w:val="18"/>
        </w:rPr>
        <w:t xml:space="preserve"> Data Availability by Country</w:t>
      </w:r>
    </w:p>
    <w:p w14:paraId="6B9AC51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This table shows UN </w:t>
      </w:r>
      <w:proofErr w:type="spellStart"/>
      <w:r w:rsidRPr="00BF29E4">
        <w:rPr>
          <w:rFonts w:ascii="Arial" w:eastAsia="Times New Roman" w:hAnsi="Arial" w:cs="Arial"/>
          <w:color w:val="212121"/>
          <w:sz w:val="18"/>
          <w:szCs w:val="18"/>
        </w:rPr>
        <w:t>Comtrade</w:t>
      </w:r>
      <w:proofErr w:type="spellEnd"/>
      <w:r w:rsidRPr="00BF29E4">
        <w:rPr>
          <w:rFonts w:ascii="Arial" w:eastAsia="Times New Roman" w:hAnsi="Arial" w:cs="Arial"/>
          <w:color w:val="212121"/>
          <w:sz w:val="18"/>
          <w:szCs w:val="18"/>
        </w:rPr>
        <w:t xml:space="preserve"> data availability by country across in the last 8 months. The table contains the following elements:</w:t>
      </w:r>
    </w:p>
    <w:p w14:paraId="2B8746F7" w14:textId="77777777" w:rsidR="00BF29E4" w:rsidRPr="00BF29E4" w:rsidRDefault="00BF29E4" w:rsidP="00BF29E4">
      <w:pPr>
        <w:numPr>
          <w:ilvl w:val="0"/>
          <w:numId w:val="7"/>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Year over Year: Ratio comparing current month's data to same month last year</w:t>
      </w:r>
    </w:p>
    <w:p w14:paraId="7FBA3C48" w14:textId="77777777" w:rsidR="00BF29E4" w:rsidRPr="00BF29E4" w:rsidRDefault="00BF29E4" w:rsidP="00BF29E4">
      <w:pPr>
        <w:numPr>
          <w:ilvl w:val="0"/>
          <w:numId w:val="7"/>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Total Records last year: Total number of reported trade records for the same month last year</w:t>
      </w:r>
    </w:p>
    <w:p w14:paraId="26A78C18"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04B64AF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updates:</w:t>
      </w:r>
      <w:r w:rsidRPr="00BF29E4">
        <w:rPr>
          <w:rFonts w:ascii="Arial" w:eastAsia="Times New Roman" w:hAnsi="Arial" w:cs="Arial"/>
          <w:color w:val="212121"/>
          <w:sz w:val="18"/>
          <w:szCs w:val="18"/>
        </w:rPr>
        <w:t xml:space="preserve"> Monthly</w:t>
      </w:r>
    </w:p>
    <w:p w14:paraId="60669BD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B74F36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Sources</w:t>
      </w:r>
    </w:p>
    <w:p w14:paraId="30AA72A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UN </w:t>
      </w:r>
      <w:proofErr w:type="spellStart"/>
      <w:r w:rsidRPr="00BF29E4">
        <w:rPr>
          <w:rFonts w:ascii="Arial" w:eastAsia="Times New Roman" w:hAnsi="Arial" w:cs="Arial"/>
          <w:color w:val="212121"/>
          <w:sz w:val="18"/>
          <w:szCs w:val="18"/>
        </w:rPr>
        <w:t>Comtrade</w:t>
      </w:r>
      <w:proofErr w:type="spellEnd"/>
    </w:p>
    <w:p w14:paraId="7639FACC" w14:textId="3BEAABBD" w:rsidR="00BF29E4" w:rsidRDefault="00BF29E4" w:rsidP="00BF29E4">
      <w:pPr>
        <w:bidi w:val="0"/>
      </w:pPr>
    </w:p>
    <w:p w14:paraId="34CB37A5" w14:textId="73228171" w:rsidR="00BF29E4" w:rsidRDefault="00BF29E4" w:rsidP="00BF29E4">
      <w:pPr>
        <w:bidi w:val="0"/>
      </w:pPr>
    </w:p>
    <w:p w14:paraId="0DCCB75A" w14:textId="01A2AF5F" w:rsidR="00BF29E4" w:rsidRDefault="00BF29E4" w:rsidP="00BF29E4">
      <w:pPr>
        <w:bidi w:val="0"/>
      </w:pPr>
    </w:p>
    <w:p w14:paraId="592E816A" w14:textId="23013F73" w:rsidR="00BF29E4" w:rsidRDefault="00BF29E4" w:rsidP="00BF29E4">
      <w:pPr>
        <w:bidi w:val="0"/>
      </w:pPr>
      <w:r>
        <w:t>ISRAEL IMPORTS</w:t>
      </w:r>
    </w:p>
    <w:p w14:paraId="01EBD3D5" w14:textId="4F2A4D92" w:rsidR="00BF29E4" w:rsidRDefault="00BF29E4" w:rsidP="00BF29E4">
      <w:pPr>
        <w:bidi w:val="0"/>
      </w:pPr>
    </w:p>
    <w:p w14:paraId="6568504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The Israel Imports section provides insights into global commodity export to Israel, including detailed data on export volumes by country, commodity domains, and trends over time. </w:t>
      </w:r>
    </w:p>
    <w:p w14:paraId="6DDC3EE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Net Weight is measured in</w:t>
      </w:r>
      <w:r w:rsidRPr="00BF29E4">
        <w:rPr>
          <w:rFonts w:ascii="Arial" w:eastAsia="Times New Roman" w:hAnsi="Arial" w:cs="Arial"/>
          <w:color w:val="212121"/>
          <w:sz w:val="21"/>
          <w:szCs w:val="21"/>
        </w:rPr>
        <w:t xml:space="preserve"> </w:t>
      </w:r>
      <w:r w:rsidRPr="00BF29E4">
        <w:rPr>
          <w:rFonts w:ascii="Arial" w:eastAsia="Times New Roman" w:hAnsi="Arial" w:cs="Arial"/>
          <w:color w:val="212121"/>
          <w:sz w:val="18"/>
          <w:szCs w:val="18"/>
        </w:rPr>
        <w:t>Kilograms except:</w:t>
      </w:r>
    </w:p>
    <w:p w14:paraId="3565397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Urea and LPG - Metric ton</w:t>
      </w:r>
    </w:p>
    <w:p w14:paraId="0759A010"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Gasoline and Diesel - 1000 Liters / Cubic Meter</w:t>
      </w:r>
    </w:p>
    <w:p w14:paraId="145E2A88"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7B92570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Global Export Market</w:t>
      </w:r>
    </w:p>
    <w:p w14:paraId="3821AD84"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lastRenderedPageBreak/>
        <w:t>Displays a pie chart breaking down commodity exports by country, based on Net Weight. Each exporter country is colored, and the chart illustrates their relative share (%) in the global export market.</w:t>
      </w:r>
    </w:p>
    <w:p w14:paraId="7F0A721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4EC81E6B"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Commodity Net Weight by Month</w:t>
      </w:r>
    </w:p>
    <w:p w14:paraId="6E43DA1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line chart illustrating trends in commodity export volumes over time, measured by Net Weight. Each line represents a commodity domain.</w:t>
      </w:r>
    </w:p>
    <w:p w14:paraId="3C12A1C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31D5788F"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Forecast Metric</w:t>
      </w:r>
    </w:p>
    <w:p w14:paraId="657EC5F0"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summarized metric forecasting the Total Net Weight of global commodity exports for a specific future month (e.g., September 2025). This helps anticipate global export market trends.</w:t>
      </w:r>
    </w:p>
    <w:p w14:paraId="4B7C66AC"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7E7BB031"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Net Weight by Exporter</w:t>
      </w:r>
    </w:p>
    <w:p w14:paraId="6A235497"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A stacked bar chart illustrating Net Weight exported by country over time. Each segment within the bars is colored to represent individual exporting countries, visually displaying how each country's export volume contributes to global totals monthly.</w:t>
      </w:r>
    </w:p>
    <w:p w14:paraId="68710A6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53A83029"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Net Weight Exports Month-over-Month</w:t>
      </w:r>
    </w:p>
    <w:p w14:paraId="764C7792"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Displays the percentage increase or decrease in total Net Weight exports month-over-month. Clearly identifies export growth or contraction, providing total Net Weight values for the two most recent months.</w:t>
      </w:r>
    </w:p>
    <w:p w14:paraId="6E9424B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44511995"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Top &amp; Bottom Import Changes</w:t>
      </w:r>
    </w:p>
    <w:p w14:paraId="764F3D45" w14:textId="77777777" w:rsidR="00BF29E4" w:rsidRPr="00BF29E4" w:rsidRDefault="00BF29E4" w:rsidP="00BF29E4">
      <w:pPr>
        <w:numPr>
          <w:ilvl w:val="0"/>
          <w:numId w:val="8"/>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Top total import increases: Lists countries with the most significant quarter-over-quarter increases in exported Net Weight, detailing percentage change and absolute changes in export volume.</w:t>
      </w:r>
    </w:p>
    <w:p w14:paraId="58EE7F98" w14:textId="77777777" w:rsidR="00BF29E4" w:rsidRPr="00BF29E4" w:rsidRDefault="00BF29E4" w:rsidP="00BF29E4">
      <w:pPr>
        <w:numPr>
          <w:ilvl w:val="0"/>
          <w:numId w:val="8"/>
        </w:numPr>
        <w:shd w:val="clear" w:color="auto" w:fill="FFFFFF"/>
        <w:bidi w:val="0"/>
        <w:spacing w:before="100" w:beforeAutospacing="1" w:after="100" w:afterAutospacing="1"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Bottom total import decreases: Highlights countries experiencing the largest decreases in export Net Weight, similarly indicating percentage and absolute reductions.</w:t>
      </w:r>
    </w:p>
    <w:p w14:paraId="50A1CA0D"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p>
    <w:p w14:paraId="69D13AC6"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updates:</w:t>
      </w:r>
      <w:r w:rsidRPr="00BF29E4">
        <w:rPr>
          <w:rFonts w:ascii="Arial" w:eastAsia="Times New Roman" w:hAnsi="Arial" w:cs="Arial"/>
          <w:color w:val="212121"/>
          <w:sz w:val="18"/>
          <w:szCs w:val="18"/>
        </w:rPr>
        <w:t xml:space="preserve"> Monthly</w:t>
      </w:r>
    </w:p>
    <w:p w14:paraId="1AC8A6E8"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b/>
          <w:bCs/>
          <w:color w:val="212121"/>
          <w:sz w:val="18"/>
          <w:szCs w:val="18"/>
        </w:rPr>
        <w:t>Data Sources</w:t>
      </w:r>
    </w:p>
    <w:p w14:paraId="1EB7D81E" w14:textId="77777777" w:rsidR="00BF29E4" w:rsidRPr="00BF29E4" w:rsidRDefault="00BF29E4" w:rsidP="00BF29E4">
      <w:pPr>
        <w:shd w:val="clear" w:color="auto" w:fill="FFFFFF"/>
        <w:bidi w:val="0"/>
        <w:spacing w:after="0" w:line="240" w:lineRule="auto"/>
        <w:rPr>
          <w:rFonts w:ascii="Arial" w:eastAsia="Times New Roman" w:hAnsi="Arial" w:cs="Arial"/>
          <w:color w:val="212121"/>
          <w:sz w:val="21"/>
          <w:szCs w:val="21"/>
        </w:rPr>
      </w:pPr>
      <w:r w:rsidRPr="00BF29E4">
        <w:rPr>
          <w:rFonts w:ascii="Arial" w:eastAsia="Times New Roman" w:hAnsi="Arial" w:cs="Arial"/>
          <w:color w:val="212121"/>
          <w:sz w:val="18"/>
          <w:szCs w:val="18"/>
        </w:rPr>
        <w:t xml:space="preserve">Israel Customs </w:t>
      </w:r>
      <w:proofErr w:type="spellStart"/>
      <w:r w:rsidRPr="00BF29E4">
        <w:rPr>
          <w:rFonts w:ascii="Arial" w:eastAsia="Times New Roman" w:hAnsi="Arial" w:cs="Arial"/>
          <w:color w:val="212121"/>
          <w:sz w:val="18"/>
          <w:szCs w:val="18"/>
        </w:rPr>
        <w:t>DataGov</w:t>
      </w:r>
      <w:proofErr w:type="spellEnd"/>
    </w:p>
    <w:p w14:paraId="24EEC6EA" w14:textId="7867E70F" w:rsidR="00BF29E4" w:rsidRDefault="00BF29E4" w:rsidP="00BF29E4">
      <w:pPr>
        <w:bidi w:val="0"/>
      </w:pPr>
    </w:p>
    <w:p w14:paraId="45182ED9" w14:textId="4BCA132C" w:rsidR="00BF29E4" w:rsidRDefault="00BF29E4" w:rsidP="00BF29E4">
      <w:pPr>
        <w:bidi w:val="0"/>
      </w:pPr>
    </w:p>
    <w:p w14:paraId="224E5EBF" w14:textId="77777777" w:rsidR="00BF29E4" w:rsidRDefault="00BF29E4" w:rsidP="00BF29E4">
      <w:pPr>
        <w:bidi w:val="0"/>
      </w:pPr>
    </w:p>
    <w:sectPr w:rsidR="00BF29E4" w:rsidSect="0058365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D274D"/>
    <w:multiLevelType w:val="multilevel"/>
    <w:tmpl w:val="F51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941F8"/>
    <w:multiLevelType w:val="multilevel"/>
    <w:tmpl w:val="15D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80DAD"/>
    <w:multiLevelType w:val="multilevel"/>
    <w:tmpl w:val="9C6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0399D"/>
    <w:multiLevelType w:val="multilevel"/>
    <w:tmpl w:val="DF5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95E53"/>
    <w:multiLevelType w:val="multilevel"/>
    <w:tmpl w:val="C68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6588F"/>
    <w:multiLevelType w:val="multilevel"/>
    <w:tmpl w:val="731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D46E1"/>
    <w:multiLevelType w:val="multilevel"/>
    <w:tmpl w:val="CFF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039C2"/>
    <w:multiLevelType w:val="multilevel"/>
    <w:tmpl w:val="2946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7"/>
  </w:num>
  <w:num w:numId="5">
    <w:abstractNumId w:val="0"/>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E4"/>
    <w:rsid w:val="0058365E"/>
    <w:rsid w:val="00BF29E4"/>
    <w:rsid w:val="00CB0521"/>
    <w:rsid w:val="00D670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E6E1"/>
  <w15:chartTrackingRefBased/>
  <w15:docId w15:val="{5E8BEC0B-B69F-4971-A56A-ABD2B0C2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29E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29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25688">
      <w:bodyDiv w:val="1"/>
      <w:marLeft w:val="0"/>
      <w:marRight w:val="0"/>
      <w:marTop w:val="0"/>
      <w:marBottom w:val="0"/>
      <w:divBdr>
        <w:top w:val="none" w:sz="0" w:space="0" w:color="auto"/>
        <w:left w:val="none" w:sz="0" w:space="0" w:color="auto"/>
        <w:bottom w:val="none" w:sz="0" w:space="0" w:color="auto"/>
        <w:right w:val="none" w:sz="0" w:space="0" w:color="auto"/>
      </w:divBdr>
    </w:div>
    <w:div w:id="496968923">
      <w:bodyDiv w:val="1"/>
      <w:marLeft w:val="0"/>
      <w:marRight w:val="0"/>
      <w:marTop w:val="0"/>
      <w:marBottom w:val="0"/>
      <w:divBdr>
        <w:top w:val="none" w:sz="0" w:space="0" w:color="auto"/>
        <w:left w:val="none" w:sz="0" w:space="0" w:color="auto"/>
        <w:bottom w:val="none" w:sz="0" w:space="0" w:color="auto"/>
        <w:right w:val="none" w:sz="0" w:space="0" w:color="auto"/>
      </w:divBdr>
    </w:div>
    <w:div w:id="528495176">
      <w:bodyDiv w:val="1"/>
      <w:marLeft w:val="0"/>
      <w:marRight w:val="0"/>
      <w:marTop w:val="0"/>
      <w:marBottom w:val="0"/>
      <w:divBdr>
        <w:top w:val="none" w:sz="0" w:space="0" w:color="auto"/>
        <w:left w:val="none" w:sz="0" w:space="0" w:color="auto"/>
        <w:bottom w:val="none" w:sz="0" w:space="0" w:color="auto"/>
        <w:right w:val="none" w:sz="0" w:space="0" w:color="auto"/>
      </w:divBdr>
    </w:div>
    <w:div w:id="624433390">
      <w:bodyDiv w:val="1"/>
      <w:marLeft w:val="0"/>
      <w:marRight w:val="0"/>
      <w:marTop w:val="0"/>
      <w:marBottom w:val="0"/>
      <w:divBdr>
        <w:top w:val="none" w:sz="0" w:space="0" w:color="auto"/>
        <w:left w:val="none" w:sz="0" w:space="0" w:color="auto"/>
        <w:bottom w:val="none" w:sz="0" w:space="0" w:color="auto"/>
        <w:right w:val="none" w:sz="0" w:space="0" w:color="auto"/>
      </w:divBdr>
    </w:div>
    <w:div w:id="1111247942">
      <w:bodyDiv w:val="1"/>
      <w:marLeft w:val="0"/>
      <w:marRight w:val="0"/>
      <w:marTop w:val="0"/>
      <w:marBottom w:val="0"/>
      <w:divBdr>
        <w:top w:val="none" w:sz="0" w:space="0" w:color="auto"/>
        <w:left w:val="none" w:sz="0" w:space="0" w:color="auto"/>
        <w:bottom w:val="none" w:sz="0" w:space="0" w:color="auto"/>
        <w:right w:val="none" w:sz="0" w:space="0" w:color="auto"/>
      </w:divBdr>
    </w:div>
    <w:div w:id="1491361521">
      <w:bodyDiv w:val="1"/>
      <w:marLeft w:val="0"/>
      <w:marRight w:val="0"/>
      <w:marTop w:val="0"/>
      <w:marBottom w:val="0"/>
      <w:divBdr>
        <w:top w:val="none" w:sz="0" w:space="0" w:color="auto"/>
        <w:left w:val="none" w:sz="0" w:space="0" w:color="auto"/>
        <w:bottom w:val="none" w:sz="0" w:space="0" w:color="auto"/>
        <w:right w:val="none" w:sz="0" w:space="0" w:color="auto"/>
      </w:divBdr>
    </w:div>
    <w:div w:id="157931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2751</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Alma</dc:creator>
  <cp:keywords/>
  <dc:description/>
  <cp:lastModifiedBy>Tomer Alma</cp:lastModifiedBy>
  <cp:revision>1</cp:revision>
  <dcterms:created xsi:type="dcterms:W3CDTF">2025-12-10T14:28:00Z</dcterms:created>
  <dcterms:modified xsi:type="dcterms:W3CDTF">2025-12-10T14:41:00Z</dcterms:modified>
</cp:coreProperties>
</file>