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0E9" w:rsidRDefault="00DA1380" w:rsidP="00951AB5">
      <w:pPr>
        <w:pStyle w:val="Heading1"/>
      </w:pPr>
      <w:r>
        <w:t>IRIS Document Migration</w:t>
      </w:r>
    </w:p>
    <w:p w:rsidR="00DA1380" w:rsidRDefault="00DA1380"/>
    <w:p w:rsidR="00DA1380" w:rsidRDefault="00DA1380" w:rsidP="00951AB5">
      <w:pPr>
        <w:pStyle w:val="Heading2"/>
      </w:pPr>
      <w:r>
        <w:t>Background</w:t>
      </w:r>
    </w:p>
    <w:p w:rsidR="00DA1380" w:rsidRDefault="00DA1380" w:rsidP="0091056F">
      <w:pPr>
        <w:jc w:val="both"/>
      </w:pPr>
      <w:r>
        <w:t xml:space="preserve">The documents associated with R2D2 consent applications and compliance inspections are currently stored in the Herman </w:t>
      </w:r>
      <w:r w:rsidR="00925A8F">
        <w:t>document repository</w:t>
      </w:r>
      <w:r>
        <w:t xml:space="preserve"> in </w:t>
      </w:r>
      <w:hyperlink r:id="rId5" w:history="1">
        <w:r w:rsidRPr="007557E4">
          <w:rPr>
            <w:rStyle w:val="Hyperlink"/>
          </w:rPr>
          <w:t>\\file\herman\E\RM\04\00</w:t>
        </w:r>
      </w:hyperlink>
      <w:r w:rsidR="00421679">
        <w:t xml:space="preserve">, with a second repository created after the initial IRIS go-live at </w:t>
      </w:r>
      <w:hyperlink r:id="rId6" w:history="1">
        <w:r w:rsidR="00660B01" w:rsidRPr="00C468F0">
          <w:rPr>
            <w:rStyle w:val="Hyperlink"/>
          </w:rPr>
          <w:t>\\file\herman\E\RM\08\02\Consent Monitoring IRIS</w:t>
        </w:r>
      </w:hyperlink>
      <w:r w:rsidR="00660B01">
        <w:t>.</w:t>
      </w:r>
      <w:r w:rsidR="00925A8F">
        <w:t xml:space="preserve"> These files </w:t>
      </w:r>
      <w:r>
        <w:t xml:space="preserve">need to be migrated into the document repository associated with IRIS </w:t>
      </w:r>
      <w:r w:rsidR="00421679">
        <w:t>Authorisations or Regimes</w:t>
      </w:r>
      <w:r>
        <w:t>.</w:t>
      </w:r>
    </w:p>
    <w:p w:rsidR="00DA1380" w:rsidRDefault="00DA1380" w:rsidP="0091056F">
      <w:pPr>
        <w:jc w:val="both"/>
      </w:pPr>
      <w:r>
        <w:t>In the R2D2 system</w:t>
      </w:r>
      <w:r w:rsidR="00660B01">
        <w:t>,</w:t>
      </w:r>
      <w:r>
        <w:t xml:space="preserve"> files are stored in a folder named as per t</w:t>
      </w:r>
      <w:r w:rsidR="00925A8F">
        <w:t>he consent authorisation number including categorised sub</w:t>
      </w:r>
      <w:r>
        <w:t>-folders.</w:t>
      </w:r>
      <w:r w:rsidR="00421679">
        <w:t xml:space="preserve"> </w:t>
      </w:r>
      <w:r w:rsidR="00660B01">
        <w:t>T</w:t>
      </w:r>
      <w:r w:rsidR="00421679">
        <w:t>he newer Compliance</w:t>
      </w:r>
      <w:r w:rsidR="00660B01">
        <w:t xml:space="preserve"> Monitoring folder n</w:t>
      </w:r>
      <w:r w:rsidR="00421679">
        <w:t xml:space="preserve">ame is the authorisation business identifier. </w:t>
      </w:r>
    </w:p>
    <w:p w:rsidR="00925A8F" w:rsidRDefault="00DA1380" w:rsidP="0091056F">
      <w:pPr>
        <w:jc w:val="both"/>
      </w:pPr>
      <w:r>
        <w:t>In IRIS, files save</w:t>
      </w:r>
      <w:r w:rsidR="00660B01">
        <w:t xml:space="preserve"> to</w:t>
      </w:r>
      <w:r>
        <w:t xml:space="preserve"> a folder named as per the business identifier for the application</w:t>
      </w:r>
      <w:r w:rsidR="00660B01">
        <w:t>,</w:t>
      </w:r>
      <w:r>
        <w:t xml:space="preserve"> authorisation</w:t>
      </w:r>
      <w:r w:rsidR="00660B01">
        <w:t xml:space="preserve"> or regime</w:t>
      </w:r>
      <w:r>
        <w:t>. In the case of contacts and other IRIS objects that do not have a business identifier, the folder is named as per the IRIS ID for the contact (as displayed in the URL when viewing the contact details).</w:t>
      </w:r>
    </w:p>
    <w:p w:rsidR="00DA1380" w:rsidRDefault="00925A8F" w:rsidP="0091056F">
      <w:pPr>
        <w:jc w:val="both"/>
      </w:pPr>
      <w:r>
        <w:t xml:space="preserve">There are no categorised sub-folders in our IRIS document system. </w:t>
      </w:r>
      <w:r w:rsidR="00DA1380">
        <w:t xml:space="preserve">The document migration process needs to add metadata to the filename, generally as a prefix. So the name of the copied file will not exactly match the source file. The </w:t>
      </w:r>
      <w:r w:rsidR="00BB7CBC">
        <w:t xml:space="preserve">migration process is a </w:t>
      </w:r>
      <w:r w:rsidR="00BB7CBC">
        <w:rPr>
          <w:i/>
        </w:rPr>
        <w:t>copy, not a move</w:t>
      </w:r>
      <w:r w:rsidR="00BB7CBC">
        <w:t>.</w:t>
      </w:r>
    </w:p>
    <w:p w:rsidR="00951AB5" w:rsidRDefault="00951AB5" w:rsidP="00951AB5">
      <w:pPr>
        <w:pStyle w:val="Heading2"/>
      </w:pPr>
      <w:r>
        <w:t>Process</w:t>
      </w:r>
    </w:p>
    <w:p w:rsidR="001621BA" w:rsidRPr="001621BA" w:rsidRDefault="001621BA" w:rsidP="0091056F">
      <w:pPr>
        <w:pStyle w:val="Heading3"/>
        <w:jc w:val="both"/>
      </w:pPr>
      <w:r>
        <w:t>Configuration</w:t>
      </w:r>
    </w:p>
    <w:p w:rsidR="00951AB5" w:rsidRDefault="00951AB5" w:rsidP="0091056F">
      <w:pPr>
        <w:jc w:val="both"/>
      </w:pPr>
      <w:r>
        <w:t xml:space="preserve">The migration requires an initial configuration in which </w:t>
      </w:r>
      <w:r w:rsidR="0059283C">
        <w:t>four</w:t>
      </w:r>
      <w:r>
        <w:t xml:space="preserve"> parameters </w:t>
      </w:r>
      <w:r w:rsidR="0059283C">
        <w:t>are</w:t>
      </w:r>
      <w:r>
        <w:t xml:space="preserve"> set:</w:t>
      </w:r>
    </w:p>
    <w:p w:rsidR="00951AB5" w:rsidRDefault="001621BA" w:rsidP="0091056F">
      <w:pPr>
        <w:pStyle w:val="Heading4"/>
        <w:ind w:left="720"/>
        <w:jc w:val="both"/>
      </w:pPr>
      <w:r>
        <w:t xml:space="preserve">IRIS Database </w:t>
      </w:r>
      <w:r w:rsidR="00951AB5">
        <w:t>Server</w:t>
      </w:r>
    </w:p>
    <w:p w:rsidR="00951AB5" w:rsidRDefault="00951AB5" w:rsidP="0091056F">
      <w:pPr>
        <w:ind w:left="720"/>
        <w:jc w:val="both"/>
      </w:pPr>
      <w:r>
        <w:t>The name of the server where the IRIS database resides. This will be one of:</w:t>
      </w:r>
    </w:p>
    <w:p w:rsidR="00951AB5" w:rsidRDefault="00951AB5" w:rsidP="0091056F">
      <w:pPr>
        <w:pStyle w:val="ListParagraph"/>
        <w:numPr>
          <w:ilvl w:val="0"/>
          <w:numId w:val="1"/>
        </w:numPr>
        <w:ind w:left="1440"/>
        <w:jc w:val="both"/>
      </w:pPr>
      <w:proofErr w:type="spellStart"/>
      <w:r w:rsidRPr="00951AB5">
        <w:rPr>
          <w:b/>
        </w:rPr>
        <w:t>dbserver</w:t>
      </w:r>
      <w:proofErr w:type="spellEnd"/>
      <w:r>
        <w:t xml:space="preserve"> for the final document migration</w:t>
      </w:r>
    </w:p>
    <w:p w:rsidR="00951AB5" w:rsidRDefault="00951AB5" w:rsidP="0091056F">
      <w:pPr>
        <w:pStyle w:val="ListParagraph"/>
        <w:numPr>
          <w:ilvl w:val="0"/>
          <w:numId w:val="1"/>
        </w:numPr>
        <w:ind w:left="1440"/>
        <w:jc w:val="both"/>
      </w:pPr>
      <w:proofErr w:type="spellStart"/>
      <w:r w:rsidRPr="00951AB5">
        <w:rPr>
          <w:b/>
        </w:rPr>
        <w:t>iristestdb</w:t>
      </w:r>
      <w:proofErr w:type="spellEnd"/>
      <w:r>
        <w:t xml:space="preserve"> or </w:t>
      </w:r>
      <w:proofErr w:type="spellStart"/>
      <w:r w:rsidRPr="00951AB5">
        <w:rPr>
          <w:b/>
        </w:rPr>
        <w:t>iris</w:t>
      </w:r>
      <w:r w:rsidR="00421679">
        <w:rPr>
          <w:b/>
        </w:rPr>
        <w:t>dev</w:t>
      </w:r>
      <w:r w:rsidRPr="00951AB5">
        <w:rPr>
          <w:b/>
        </w:rPr>
        <w:t>db</w:t>
      </w:r>
      <w:proofErr w:type="spellEnd"/>
      <w:r>
        <w:t xml:space="preserve"> for any test migrations</w:t>
      </w:r>
    </w:p>
    <w:p w:rsidR="00951AB5" w:rsidRDefault="00951AB5" w:rsidP="0091056F">
      <w:pPr>
        <w:ind w:left="720"/>
        <w:jc w:val="both"/>
      </w:pPr>
      <w:r>
        <w:t xml:space="preserve">Enter a value into the </w:t>
      </w:r>
      <w:r>
        <w:rPr>
          <w:b/>
        </w:rPr>
        <w:t>SERVER</w:t>
      </w:r>
      <w:r>
        <w:t xml:space="preserve"> textbox and press </w:t>
      </w:r>
      <w:r w:rsidR="00925A8F" w:rsidRPr="00925A8F">
        <w:rPr>
          <w:b/>
        </w:rPr>
        <w:t>E</w:t>
      </w:r>
      <w:r w:rsidRPr="00925A8F">
        <w:rPr>
          <w:b/>
        </w:rPr>
        <w:t>nter</w:t>
      </w:r>
      <w:r>
        <w:t xml:space="preserve"> to activate a validation process. This will populate both </w:t>
      </w:r>
      <w:r>
        <w:rPr>
          <w:b/>
        </w:rPr>
        <w:t>DATABASE</w:t>
      </w:r>
      <w:r>
        <w:t xml:space="preserve"> </w:t>
      </w:r>
      <w:r w:rsidR="00925A8F">
        <w:t>dropdown lists</w:t>
      </w:r>
      <w:r>
        <w:t xml:space="preserve"> with the </w:t>
      </w:r>
      <w:r w:rsidR="00925A8F">
        <w:t>collection of</w:t>
      </w:r>
      <w:r>
        <w:t xml:space="preserve"> database names</w:t>
      </w:r>
      <w:r w:rsidR="00925A8F">
        <w:t xml:space="preserve"> on the identified server and pre-select</w:t>
      </w:r>
      <w:r>
        <w:t xml:space="preserve"> the IRIS database and </w:t>
      </w:r>
      <w:proofErr w:type="spellStart"/>
      <w:r>
        <w:t>mwrcdb</w:t>
      </w:r>
      <w:proofErr w:type="spellEnd"/>
      <w:r>
        <w:t xml:space="preserve"> database (disabled fields as these values are hard-wired to the server name).</w:t>
      </w:r>
    </w:p>
    <w:p w:rsidR="00C80DA5" w:rsidRDefault="00C80DA5" w:rsidP="0091056F">
      <w:pPr>
        <w:ind w:left="720"/>
        <w:jc w:val="both"/>
      </w:pPr>
      <w:r>
        <w:t xml:space="preserve">Click </w:t>
      </w:r>
      <w:r w:rsidRPr="00C80DA5">
        <w:rPr>
          <w:b/>
        </w:rPr>
        <w:t>Step 1: Create Workspace</w:t>
      </w:r>
      <w:r>
        <w:t xml:space="preserve"> in order to prepare the database tables required for holding the following migration parameters. Textboxes and buttons for entering the folder names </w:t>
      </w:r>
      <w:r w:rsidR="0059283C">
        <w:t>become</w:t>
      </w:r>
      <w:r>
        <w:t xml:space="preserve"> disabled until this task is complete.</w:t>
      </w:r>
    </w:p>
    <w:p w:rsidR="00660B01" w:rsidRDefault="00660B01" w:rsidP="0091056F">
      <w:pPr>
        <w:ind w:left="720"/>
        <w:jc w:val="both"/>
      </w:pPr>
    </w:p>
    <w:p w:rsidR="0059283C" w:rsidRDefault="0059283C" w:rsidP="0059283C">
      <w:pPr>
        <w:pStyle w:val="Heading4"/>
        <w:ind w:left="720"/>
        <w:jc w:val="both"/>
      </w:pPr>
      <w:r>
        <w:t>Migration Identifiers</w:t>
      </w:r>
    </w:p>
    <w:p w:rsidR="00C47162" w:rsidRDefault="0059283C" w:rsidP="0091056F">
      <w:pPr>
        <w:ind w:left="720"/>
        <w:jc w:val="both"/>
      </w:pPr>
      <w:r>
        <w:t>This is a combination of numeric and textual identifiers for the particular migration taking place. It should be set in the Document Migration Process table using SQL</w:t>
      </w:r>
      <w:r w:rsidR="00C47162">
        <w:t xml:space="preserve"> (all things going to plan, rows will be created for this during the regime migration process that runs in SQL Management Studio</w:t>
      </w:r>
      <w:r>
        <w:t xml:space="preserve">. </w:t>
      </w:r>
    </w:p>
    <w:p w:rsidR="0059283C" w:rsidRDefault="0059283C" w:rsidP="0091056F">
      <w:pPr>
        <w:ind w:left="720"/>
        <w:jc w:val="both"/>
      </w:pPr>
      <w:r>
        <w:t>The Migration</w:t>
      </w:r>
      <w:r w:rsidR="00660B01">
        <w:t xml:space="preserve"> </w:t>
      </w:r>
      <w:r>
        <w:t xml:space="preserve">ID </w:t>
      </w:r>
      <w:r w:rsidR="00C47162">
        <w:t>is</w:t>
      </w:r>
      <w:r>
        <w:t xml:space="preserve"> an integer representing the main migration event that is occurring</w:t>
      </w:r>
      <w:r w:rsidR="00660B01">
        <w:t xml:space="preserve"> and must match the migration ID used for the main event that creates the objects and relationships in IRIS. T</w:t>
      </w:r>
      <w:r>
        <w:t>he File</w:t>
      </w:r>
      <w:r w:rsidR="00660B01">
        <w:t xml:space="preserve"> </w:t>
      </w:r>
      <w:r>
        <w:t>Migration</w:t>
      </w:r>
      <w:r w:rsidR="00660B01">
        <w:t xml:space="preserve"> </w:t>
      </w:r>
      <w:r>
        <w:t xml:space="preserve">ID refers to a particular source-destination combination for the files </w:t>
      </w:r>
      <w:r w:rsidR="00660B01">
        <w:t>to be</w:t>
      </w:r>
      <w:r>
        <w:t xml:space="preserve"> copied. The File</w:t>
      </w:r>
      <w:r w:rsidR="00660B01">
        <w:t xml:space="preserve"> </w:t>
      </w:r>
      <w:r>
        <w:t>Migration</w:t>
      </w:r>
      <w:r w:rsidR="00660B01">
        <w:t xml:space="preserve"> </w:t>
      </w:r>
      <w:r>
        <w:t>ID must be unique within the column.</w:t>
      </w:r>
    </w:p>
    <w:p w:rsidR="00660B01" w:rsidRDefault="00660B01" w:rsidP="0091056F">
      <w:pPr>
        <w:ind w:left="720"/>
        <w:jc w:val="both"/>
      </w:pPr>
    </w:p>
    <w:p w:rsidR="00951AB5" w:rsidRDefault="001621BA" w:rsidP="0091056F">
      <w:pPr>
        <w:pStyle w:val="Heading4"/>
        <w:ind w:left="720"/>
        <w:jc w:val="both"/>
      </w:pPr>
      <w:r>
        <w:lastRenderedPageBreak/>
        <w:t xml:space="preserve">Source </w:t>
      </w:r>
      <w:r w:rsidR="00951AB5">
        <w:t>Documents Root Folder</w:t>
      </w:r>
    </w:p>
    <w:p w:rsidR="00635DEC" w:rsidRDefault="00951AB5" w:rsidP="0091056F">
      <w:pPr>
        <w:ind w:left="720"/>
        <w:jc w:val="both"/>
      </w:pPr>
      <w:r>
        <w:t>The path to the folder where the source documents are located. For the final migration</w:t>
      </w:r>
      <w:r w:rsidR="00635DEC">
        <w:t>,</w:t>
      </w:r>
      <w:r>
        <w:t xml:space="preserve"> this will </w:t>
      </w:r>
      <w:r w:rsidR="00635DEC">
        <w:t xml:space="preserve">probably be </w:t>
      </w:r>
      <w:hyperlink r:id="rId7" w:history="1">
        <w:r w:rsidRPr="007557E4">
          <w:rPr>
            <w:rStyle w:val="Hyperlink"/>
            <w:b/>
          </w:rPr>
          <w:t>\\file\herman\E\RM\04\00</w:t>
        </w:r>
      </w:hyperlink>
      <w:r>
        <w:t xml:space="preserve"> but for testing it can be any folder where a sample set of R2D2 consent documents are located.</w:t>
      </w:r>
      <w:r w:rsidR="00F257C0">
        <w:t xml:space="preserve"> There is also a</w:t>
      </w:r>
      <w:r w:rsidR="00660B01">
        <w:t xml:space="preserve"> source</w:t>
      </w:r>
      <w:r w:rsidR="00F257C0">
        <w:t xml:space="preserve"> repository </w:t>
      </w:r>
      <w:r w:rsidR="00660B01">
        <w:t>of</w:t>
      </w:r>
      <w:r w:rsidR="00F257C0">
        <w:t xml:space="preserve"> documents saved subsequent to the initial IRIS Go-Live, </w:t>
      </w:r>
      <w:hyperlink r:id="rId8" w:history="1">
        <w:r w:rsidR="00660B01" w:rsidRPr="00C468F0">
          <w:rPr>
            <w:rStyle w:val="Hyperlink"/>
          </w:rPr>
          <w:t>\\file\herman\E\RM\08\02\Consent Monitoring IRIS</w:t>
        </w:r>
      </w:hyperlink>
      <w:r w:rsidR="00F257C0">
        <w:t>.</w:t>
      </w:r>
      <w:r w:rsidR="00635DEC">
        <w:t xml:space="preserve"> </w:t>
      </w:r>
    </w:p>
    <w:p w:rsidR="00F257C0" w:rsidRDefault="00C47162" w:rsidP="0091056F">
      <w:pPr>
        <w:ind w:left="720"/>
        <w:jc w:val="both"/>
      </w:pPr>
      <w:r>
        <w:t>Each folder has a checkbox setting to indicate if the root-level folder names refer to</w:t>
      </w:r>
      <w:r w:rsidR="00635DEC">
        <w:t xml:space="preserve"> R2D2 legacy ID values, or IRIS business.</w:t>
      </w:r>
    </w:p>
    <w:p w:rsidR="00660B01" w:rsidRDefault="00660B01" w:rsidP="0091056F">
      <w:pPr>
        <w:ind w:left="1440"/>
        <w:jc w:val="both"/>
        <w:rPr>
          <w:b/>
        </w:rPr>
      </w:pPr>
    </w:p>
    <w:p w:rsidR="001621BA" w:rsidRDefault="001621BA" w:rsidP="0091056F">
      <w:pPr>
        <w:pStyle w:val="Heading4"/>
        <w:ind w:left="720"/>
        <w:jc w:val="both"/>
      </w:pPr>
      <w:r>
        <w:t>Destination Documents Root Folder</w:t>
      </w:r>
    </w:p>
    <w:p w:rsidR="001621BA" w:rsidRPr="001621BA" w:rsidRDefault="001621BA" w:rsidP="0091056F">
      <w:pPr>
        <w:ind w:left="720"/>
        <w:jc w:val="both"/>
      </w:pPr>
      <w:r w:rsidRPr="001621BA">
        <w:t xml:space="preserve">The path </w:t>
      </w:r>
      <w:r>
        <w:t xml:space="preserve">to the folder </w:t>
      </w:r>
      <w:r w:rsidRPr="001621BA">
        <w:t xml:space="preserve">where the </w:t>
      </w:r>
      <w:r>
        <w:t xml:space="preserve">documents will be migrated. For the final migration this will be </w:t>
      </w:r>
      <w:hyperlink r:id="rId9" w:history="1">
        <w:r w:rsidR="0068344B" w:rsidRPr="007557E4">
          <w:rPr>
            <w:rStyle w:val="Hyperlink"/>
            <w:b/>
          </w:rPr>
          <w:t>\\file\herman\D\IS\01\01\IRISLIVE</w:t>
        </w:r>
      </w:hyperlink>
      <w:r>
        <w:t xml:space="preserve"> but for testing can be any convenient location.</w:t>
      </w:r>
    </w:p>
    <w:p w:rsidR="00951AB5" w:rsidRDefault="001621BA" w:rsidP="0069356B">
      <w:pPr>
        <w:pStyle w:val="Heading3"/>
      </w:pPr>
      <w:r>
        <w:t>Migration</w:t>
      </w:r>
    </w:p>
    <w:p w:rsidR="001621BA" w:rsidRDefault="001621BA" w:rsidP="0091056F">
      <w:pPr>
        <w:keepNext/>
        <w:jc w:val="both"/>
      </w:pPr>
      <w:r>
        <w:t>The actu</w:t>
      </w:r>
      <w:r w:rsidR="00E80253">
        <w:t xml:space="preserve">al migration process is a </w:t>
      </w:r>
      <w:r w:rsidR="00421679">
        <w:t>four</w:t>
      </w:r>
      <w:r w:rsidR="00E80253">
        <w:t>-</w:t>
      </w:r>
      <w:r>
        <w:t>step operation.</w:t>
      </w:r>
      <w:r w:rsidR="00A861BE">
        <w:t xml:space="preserve"> For each configured File Migration.</w:t>
      </w:r>
    </w:p>
    <w:p w:rsidR="001621BA" w:rsidRDefault="001621BA" w:rsidP="0091056F">
      <w:pPr>
        <w:pStyle w:val="Heading4"/>
        <w:ind w:left="720"/>
        <w:jc w:val="both"/>
      </w:pPr>
      <w:r>
        <w:t>Step 1: Create Workspace</w:t>
      </w:r>
    </w:p>
    <w:p w:rsidR="001621BA" w:rsidRDefault="001621BA" w:rsidP="0091056F">
      <w:pPr>
        <w:ind w:left="720"/>
        <w:jc w:val="both"/>
      </w:pPr>
      <w:r>
        <w:t xml:space="preserve">Click this button to </w:t>
      </w:r>
      <w:r w:rsidR="00C47162">
        <w:t>populate</w:t>
      </w:r>
      <w:r>
        <w:t xml:space="preserve"> the required tables in the </w:t>
      </w:r>
      <w:r w:rsidRPr="001621BA">
        <w:rPr>
          <w:b/>
        </w:rPr>
        <w:t>Workspace Database</w:t>
      </w:r>
      <w:r>
        <w:t xml:space="preserve">. There are </w:t>
      </w:r>
      <w:r w:rsidR="00C47162">
        <w:t xml:space="preserve">four workspace tables that have been </w:t>
      </w:r>
      <w:r>
        <w:t xml:space="preserve">created </w:t>
      </w:r>
      <w:r w:rsidR="00C47162">
        <w:t>on</w:t>
      </w:r>
      <w:r>
        <w:t xml:space="preserve"> the </w:t>
      </w:r>
      <w:proofErr w:type="spellStart"/>
      <w:r w:rsidR="00C47162">
        <w:rPr>
          <w:b/>
        </w:rPr>
        <w:t>hrc</w:t>
      </w:r>
      <w:proofErr w:type="spellEnd"/>
      <w:r>
        <w:t xml:space="preserve"> schema in the </w:t>
      </w:r>
      <w:proofErr w:type="spellStart"/>
      <w:r w:rsidR="00C47162">
        <w:rPr>
          <w:b/>
        </w:rPr>
        <w:t>IRIS_Migration</w:t>
      </w:r>
      <w:proofErr w:type="spellEnd"/>
      <w:r>
        <w:t xml:space="preserve"> database on the nominated server.</w:t>
      </w:r>
    </w:p>
    <w:tbl>
      <w:tblPr>
        <w:tblStyle w:val="TableGrid"/>
        <w:tblpPr w:leftFromText="181" w:rightFromText="181" w:vertAnchor="text" w:horzAnchor="margin" w:tblpXSpec="center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9"/>
        <w:gridCol w:w="4651"/>
      </w:tblGrid>
      <w:tr w:rsidR="00C47162" w:rsidRPr="0069356B" w:rsidTr="00C47162">
        <w:tc>
          <w:tcPr>
            <w:tcW w:w="3429" w:type="dxa"/>
          </w:tcPr>
          <w:p w:rsidR="00C47162" w:rsidRPr="0069356B" w:rsidRDefault="00C47162" w:rsidP="00C47162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</w:t>
            </w:r>
            <w:r>
              <w:t>ocumentMigration</w:t>
            </w:r>
            <w:r w:rsidRPr="0069356B">
              <w:t>Process</w:t>
            </w:r>
            <w:proofErr w:type="spellEnd"/>
          </w:p>
        </w:tc>
        <w:tc>
          <w:tcPr>
            <w:tcW w:w="4651" w:type="dxa"/>
          </w:tcPr>
          <w:p w:rsidR="00C47162" w:rsidRPr="0069356B" w:rsidRDefault="00C47162" w:rsidP="00C47162">
            <w:pPr>
              <w:jc w:val="both"/>
            </w:pPr>
            <w:r w:rsidRPr="0069356B">
              <w:t>One record naming a migration ID, source and destination folders</w:t>
            </w:r>
          </w:p>
        </w:tc>
      </w:tr>
      <w:tr w:rsidR="00C47162" w:rsidRPr="0069356B" w:rsidTr="00C47162">
        <w:tc>
          <w:tcPr>
            <w:tcW w:w="3429" w:type="dxa"/>
          </w:tcPr>
          <w:p w:rsidR="00C47162" w:rsidRPr="0069356B" w:rsidRDefault="00C47162" w:rsidP="00C47162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</w:t>
            </w:r>
            <w:r>
              <w:t>ocumentMigration</w:t>
            </w:r>
            <w:r w:rsidRPr="0069356B">
              <w:t>ProcessTask</w:t>
            </w:r>
            <w:proofErr w:type="spellEnd"/>
          </w:p>
        </w:tc>
        <w:tc>
          <w:tcPr>
            <w:tcW w:w="4651" w:type="dxa"/>
          </w:tcPr>
          <w:p w:rsidR="00C47162" w:rsidRPr="0069356B" w:rsidRDefault="00C47162" w:rsidP="00C47162">
            <w:pPr>
              <w:jc w:val="both"/>
            </w:pPr>
            <w:r w:rsidRPr="0069356B">
              <w:t>A logging table indicating which steps have been completed</w:t>
            </w:r>
          </w:p>
        </w:tc>
      </w:tr>
      <w:tr w:rsidR="00C47162" w:rsidRPr="0069356B" w:rsidTr="00C47162">
        <w:tc>
          <w:tcPr>
            <w:tcW w:w="3429" w:type="dxa"/>
          </w:tcPr>
          <w:p w:rsidR="00C47162" w:rsidRPr="0069356B" w:rsidRDefault="00C47162" w:rsidP="00C47162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</w:t>
            </w:r>
            <w:r>
              <w:t>ocumentMigration</w:t>
            </w:r>
            <w:r w:rsidRPr="0069356B">
              <w:t>Folders</w:t>
            </w:r>
            <w:proofErr w:type="spellEnd"/>
          </w:p>
        </w:tc>
        <w:tc>
          <w:tcPr>
            <w:tcW w:w="4651" w:type="dxa"/>
          </w:tcPr>
          <w:p w:rsidR="00C47162" w:rsidRPr="0069356B" w:rsidRDefault="00C47162" w:rsidP="00C47162">
            <w:pPr>
              <w:jc w:val="both"/>
            </w:pPr>
            <w:r w:rsidRPr="0069356B">
              <w:t>A recursive list of sub-folders identified for migration within the source folder</w:t>
            </w:r>
            <w:r>
              <w:t xml:space="preserve"> populated in step 2 below</w:t>
            </w:r>
          </w:p>
        </w:tc>
      </w:tr>
      <w:tr w:rsidR="00C47162" w:rsidRPr="0069356B" w:rsidTr="00C47162">
        <w:tc>
          <w:tcPr>
            <w:tcW w:w="3429" w:type="dxa"/>
          </w:tcPr>
          <w:p w:rsidR="00C47162" w:rsidRPr="0069356B" w:rsidRDefault="00C47162" w:rsidP="00C47162">
            <w:pPr>
              <w:pStyle w:val="ListParagraph"/>
              <w:numPr>
                <w:ilvl w:val="0"/>
                <w:numId w:val="2"/>
              </w:numPr>
              <w:tabs>
                <w:tab w:val="left" w:pos="318"/>
              </w:tabs>
              <w:ind w:left="0" w:firstLine="0"/>
              <w:jc w:val="both"/>
            </w:pPr>
            <w:proofErr w:type="spellStart"/>
            <w:r w:rsidRPr="0069356B">
              <w:t>D</w:t>
            </w:r>
            <w:r>
              <w:t>ocumentMigration</w:t>
            </w:r>
            <w:r w:rsidRPr="0069356B">
              <w:t>Files</w:t>
            </w:r>
            <w:proofErr w:type="spellEnd"/>
          </w:p>
        </w:tc>
        <w:tc>
          <w:tcPr>
            <w:tcW w:w="4651" w:type="dxa"/>
          </w:tcPr>
          <w:p w:rsidR="00C47162" w:rsidRPr="0069356B" w:rsidRDefault="00C47162" w:rsidP="00C47162">
            <w:pPr>
              <w:jc w:val="both"/>
            </w:pPr>
            <w:r>
              <w:t>A list of files</w:t>
            </w:r>
            <w:r w:rsidRPr="0069356B">
              <w:t xml:space="preserve"> </w:t>
            </w:r>
            <w:r>
              <w:t xml:space="preserve">included in the </w:t>
            </w:r>
            <w:r w:rsidRPr="0069356B">
              <w:t xml:space="preserve">migration </w:t>
            </w:r>
            <w:r>
              <w:t>with a result status and (possible) error message, populated on completion of step 3 below</w:t>
            </w:r>
          </w:p>
        </w:tc>
      </w:tr>
    </w:tbl>
    <w:p w:rsidR="003830F3" w:rsidRDefault="003830F3" w:rsidP="0069356B">
      <w:pPr>
        <w:pStyle w:val="Heading4"/>
        <w:ind w:left="720"/>
      </w:pPr>
      <w:r>
        <w:t>Step 2: Compile Mapping Data</w:t>
      </w:r>
    </w:p>
    <w:p w:rsidR="003830F3" w:rsidRDefault="003830F3" w:rsidP="0091056F">
      <w:pPr>
        <w:tabs>
          <w:tab w:val="left" w:pos="1843"/>
        </w:tabs>
        <w:ind w:left="720"/>
        <w:jc w:val="both"/>
      </w:pPr>
      <w:r>
        <w:t xml:space="preserve">This step will recursively scan all the sub-folders of the nominated source directory and populate the </w:t>
      </w:r>
      <w:proofErr w:type="spellStart"/>
      <w:r w:rsidR="00C47162" w:rsidRPr="0069356B">
        <w:t>D</w:t>
      </w:r>
      <w:r w:rsidR="00C47162">
        <w:t>ocumentMigration</w:t>
      </w:r>
      <w:r>
        <w:t>Folders</w:t>
      </w:r>
      <w:proofErr w:type="spellEnd"/>
      <w:r w:rsidR="00C47162">
        <w:t xml:space="preserve"> and </w:t>
      </w:r>
      <w:proofErr w:type="spellStart"/>
      <w:r w:rsidR="00C47162" w:rsidRPr="0069356B">
        <w:t>D</w:t>
      </w:r>
      <w:r w:rsidR="00C47162">
        <w:t>ocumentMigration</w:t>
      </w:r>
      <w:r w:rsidR="00C47162">
        <w:t>Files</w:t>
      </w:r>
      <w:proofErr w:type="spellEnd"/>
      <w:r>
        <w:t xml:space="preserve"> table</w:t>
      </w:r>
      <w:r w:rsidR="00C47162">
        <w:t>s</w:t>
      </w:r>
      <w:r>
        <w:t xml:space="preserve"> with the names of folders</w:t>
      </w:r>
      <w:r w:rsidR="00C47162">
        <w:t xml:space="preserve"> and files</w:t>
      </w:r>
      <w:r>
        <w:t xml:space="preserve"> </w:t>
      </w:r>
      <w:r w:rsidR="002B32E2">
        <w:t>to be included in the migration process.</w:t>
      </w:r>
    </w:p>
    <w:p w:rsidR="003830F3" w:rsidRDefault="003830F3" w:rsidP="0091056F">
      <w:pPr>
        <w:tabs>
          <w:tab w:val="left" w:pos="1843"/>
        </w:tabs>
        <w:ind w:left="720"/>
        <w:jc w:val="both"/>
      </w:pPr>
      <w:r>
        <w:t xml:space="preserve">This step will take several minutes to complete on the final run because it requires scanning </w:t>
      </w:r>
      <w:r w:rsidR="00E80253">
        <w:t>over 116,322</w:t>
      </w:r>
      <w:r w:rsidR="002B32E2">
        <w:t xml:space="preserve"> folders and applying a set of business rules </w:t>
      </w:r>
      <w:r w:rsidR="00F62D50">
        <w:t>to select folders whose contents will be copied to the IRIS folders</w:t>
      </w:r>
      <w:r w:rsidR="002B32E2">
        <w:t>. These folders contain</w:t>
      </w:r>
      <w:r w:rsidR="00E80253">
        <w:t xml:space="preserve"> 275,311 files totalling around 292GB of storage.</w:t>
      </w:r>
    </w:p>
    <w:p w:rsidR="00421679" w:rsidRDefault="00421679" w:rsidP="00421679">
      <w:pPr>
        <w:pStyle w:val="Heading4"/>
        <w:ind w:left="720"/>
        <w:jc w:val="both"/>
      </w:pPr>
      <w:r>
        <w:t>Step 3: Scan for Duplicate Files</w:t>
      </w:r>
    </w:p>
    <w:p w:rsidR="00421679" w:rsidRDefault="00421679" w:rsidP="0091056F">
      <w:pPr>
        <w:tabs>
          <w:tab w:val="left" w:pos="1843"/>
        </w:tabs>
        <w:ind w:left="720"/>
        <w:jc w:val="both"/>
      </w:pPr>
      <w:r>
        <w:t xml:space="preserve">This step scans all the files associated with each regime, comparing file name and size. </w:t>
      </w:r>
      <w:r w:rsidR="0059283C">
        <w:t>The process tags matching files as</w:t>
      </w:r>
      <w:r>
        <w:t xml:space="preserve"> potential duplicates. The process subsequently physically loads each potential duplicate and calculates a CRC (Cyclic Redundancy Check). Any files that have the same name and size, but differ in their CRC </w:t>
      </w:r>
      <w:r w:rsidR="0059283C">
        <w:t>are</w:t>
      </w:r>
      <w:r>
        <w:t xml:space="preserve"> copied and versioned</w:t>
      </w:r>
      <w:r w:rsidR="0059283C">
        <w:t>,</w:t>
      </w:r>
      <w:r>
        <w:t xml:space="preserve"> else only one of the copies will be transferred.</w:t>
      </w:r>
    </w:p>
    <w:p w:rsidR="00E80253" w:rsidRDefault="0069356B" w:rsidP="0091056F">
      <w:pPr>
        <w:pStyle w:val="Heading4"/>
        <w:ind w:left="720"/>
        <w:jc w:val="both"/>
      </w:pPr>
      <w:r>
        <w:t xml:space="preserve">Step </w:t>
      </w:r>
      <w:r w:rsidR="00421679">
        <w:t>4</w:t>
      </w:r>
      <w:r>
        <w:t>: Copy to New Location</w:t>
      </w:r>
    </w:p>
    <w:p w:rsidR="0069356B" w:rsidRDefault="0069356B" w:rsidP="0091056F">
      <w:pPr>
        <w:tabs>
          <w:tab w:val="left" w:pos="1843"/>
        </w:tabs>
        <w:ind w:left="720"/>
        <w:jc w:val="both"/>
      </w:pPr>
      <w:r>
        <w:t xml:space="preserve">This step will use the mapping tables to complete copying </w:t>
      </w:r>
      <w:r w:rsidR="00F62D50">
        <w:t xml:space="preserve">contents </w:t>
      </w:r>
      <w:r>
        <w:t xml:space="preserve">of all identified </w:t>
      </w:r>
      <w:r w:rsidR="00F62D50">
        <w:t>folders</w:t>
      </w:r>
      <w:r>
        <w:t xml:space="preserve"> from the source </w:t>
      </w:r>
      <w:r w:rsidR="00F62D50">
        <w:t>directory</w:t>
      </w:r>
      <w:r>
        <w:t xml:space="preserve"> into the destination folders. </w:t>
      </w:r>
      <w:r w:rsidR="00A27183">
        <w:t xml:space="preserve">On a test run of all documents this took around four hours to complete. Note that the process </w:t>
      </w:r>
      <w:r w:rsidR="00A27183">
        <w:rPr>
          <w:i/>
        </w:rPr>
        <w:t>does not copy all files</w:t>
      </w:r>
      <w:r w:rsidR="00A27183">
        <w:t xml:space="preserve">. The mapping </w:t>
      </w:r>
      <w:r w:rsidR="00A27183">
        <w:lastRenderedPageBreak/>
        <w:t>process identifies files</w:t>
      </w:r>
      <w:r w:rsidR="006D0745">
        <w:t xml:space="preserve"> associated with applications and authorisations </w:t>
      </w:r>
      <w:r w:rsidR="00A27183">
        <w:t>that meet a set of criteria depending on the folder name.</w:t>
      </w:r>
    </w:p>
    <w:p w:rsidR="00F62D50" w:rsidRDefault="00F62D50" w:rsidP="0091056F">
      <w:pPr>
        <w:tabs>
          <w:tab w:val="left" w:pos="1843"/>
        </w:tabs>
        <w:ind w:left="720"/>
        <w:jc w:val="both"/>
      </w:pPr>
      <w:r>
        <w:t xml:space="preserve">As the process proceeds permissions on files in the </w:t>
      </w:r>
      <w:r>
        <w:rPr>
          <w:i/>
        </w:rPr>
        <w:t>source</w:t>
      </w:r>
      <w:r>
        <w:t xml:space="preserve"> folder</w:t>
      </w:r>
      <w:r w:rsidR="00630344">
        <w:t>, and the folder itself,</w:t>
      </w:r>
      <w:r>
        <w:t xml:space="preserve"> are reset to read-only</w:t>
      </w:r>
      <w:r w:rsidR="00630344">
        <w:t xml:space="preserve"> for everyone</w:t>
      </w:r>
      <w:r>
        <w:t>.</w:t>
      </w:r>
      <w:r w:rsidR="00630344">
        <w:t xml:space="preserve"> Permissions on the new copy are set to full control for everyone.</w:t>
      </w:r>
    </w:p>
    <w:p w:rsidR="0088559D" w:rsidRPr="00F62D50" w:rsidRDefault="0088559D" w:rsidP="0091056F">
      <w:pPr>
        <w:tabs>
          <w:tab w:val="left" w:pos="1843"/>
        </w:tabs>
        <w:ind w:left="720"/>
        <w:jc w:val="both"/>
      </w:pPr>
      <w:r>
        <w:t xml:space="preserve">The application also records the results of the copy for each file and </w:t>
      </w:r>
      <w:r w:rsidR="00995BD0">
        <w:t>updates</w:t>
      </w:r>
      <w:r>
        <w:t xml:space="preserve"> the </w:t>
      </w:r>
      <w:proofErr w:type="spellStart"/>
      <w:r w:rsidR="00C47162" w:rsidRPr="0069356B">
        <w:t>D</w:t>
      </w:r>
      <w:r w:rsidR="00C47162">
        <w:t>ocumentMigration</w:t>
      </w:r>
      <w:r>
        <w:t>Files</w:t>
      </w:r>
      <w:proofErr w:type="spellEnd"/>
      <w:r>
        <w:t xml:space="preserve"> table</w:t>
      </w:r>
      <w:r w:rsidR="00995BD0">
        <w:t xml:space="preserve"> during</w:t>
      </w:r>
      <w:r>
        <w:t xml:space="preserve"> the process.</w:t>
      </w:r>
    </w:p>
    <w:p w:rsidR="00DA1380" w:rsidRDefault="00DA1380">
      <w:bookmarkStart w:id="0" w:name="_GoBack"/>
      <w:bookmarkEnd w:id="0"/>
    </w:p>
    <w:sectPr w:rsidR="00DA1380" w:rsidSect="00C80DA5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138"/>
    <w:multiLevelType w:val="hybridMultilevel"/>
    <w:tmpl w:val="C9043B0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F475F1"/>
    <w:multiLevelType w:val="hybridMultilevel"/>
    <w:tmpl w:val="C068F2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380"/>
    <w:rsid w:val="001621BA"/>
    <w:rsid w:val="002B32E2"/>
    <w:rsid w:val="003830F3"/>
    <w:rsid w:val="003C20E9"/>
    <w:rsid w:val="00421679"/>
    <w:rsid w:val="004B12EF"/>
    <w:rsid w:val="0059283C"/>
    <w:rsid w:val="00630344"/>
    <w:rsid w:val="00635DEC"/>
    <w:rsid w:val="00660B01"/>
    <w:rsid w:val="0068344B"/>
    <w:rsid w:val="0069356B"/>
    <w:rsid w:val="006D0745"/>
    <w:rsid w:val="00865DDF"/>
    <w:rsid w:val="0088559D"/>
    <w:rsid w:val="0091056F"/>
    <w:rsid w:val="00925A8F"/>
    <w:rsid w:val="00951AB5"/>
    <w:rsid w:val="00995BD0"/>
    <w:rsid w:val="00A27183"/>
    <w:rsid w:val="00A861BE"/>
    <w:rsid w:val="00BB7CBC"/>
    <w:rsid w:val="00C04FB7"/>
    <w:rsid w:val="00C47162"/>
    <w:rsid w:val="00C80DA5"/>
    <w:rsid w:val="00DA1380"/>
    <w:rsid w:val="00E80253"/>
    <w:rsid w:val="00F257C0"/>
    <w:rsid w:val="00F6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1F285"/>
  <w15:chartTrackingRefBased/>
  <w15:docId w15:val="{D4A0BBBF-8D28-47DE-9A73-724AEFE6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A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1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38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13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51A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A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1A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1A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2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8025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693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ile\herman\E\RM\08\02\Consent%20Monitoring%20IRI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file\herman\E\RM\04\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file\herman\E\RM\08\02\Consent%20Monitoring%20IRIS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file\herman\E\RM\04\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file\herman\D\IS\01\01\IRISL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3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Pawson</dc:creator>
  <cp:keywords/>
  <dc:description/>
  <cp:lastModifiedBy>Brian Pawson</cp:lastModifiedBy>
  <cp:revision>12</cp:revision>
  <dcterms:created xsi:type="dcterms:W3CDTF">2015-02-24T21:59:00Z</dcterms:created>
  <dcterms:modified xsi:type="dcterms:W3CDTF">2023-05-20T02:16:00Z</dcterms:modified>
</cp:coreProperties>
</file>