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A8C3F"/>
          <w:sz w:val="68"/>
        </w:rPr>
        <w:t>AgriTrust</w:t>
      </w:r>
    </w:p>
    <w:p>
      <w:pPr>
        <w:jc w:val="center"/>
      </w:pPr>
      <w:r>
        <w:rPr>
          <w:b/>
          <w:color w:val="14532D"/>
          <w:sz w:val="50"/>
        </w:rPr>
        <w:t>Pages Design Direction</w:t>
      </w:r>
    </w:p>
    <w:p>
      <w:pPr>
        <w:jc w:val="center"/>
      </w:pPr>
      <w:r>
        <w:rPr>
          <w:i/>
          <w:color w:val="4B5563"/>
          <w:sz w:val="24"/>
        </w:rPr>
        <w:t>A practical visual, interaction, and frontend implementation guide</w:t>
      </w:r>
    </w:p>
    <w:p/>
    <w:tbl>
      <w:tblPr>
        <w:tblW w:type="auto" w:w="0"/>
        <w:jc w:val="center"/>
        <w:tblLook w:firstColumn="1" w:firstRow="1" w:lastColumn="0" w:lastRow="0" w:noHBand="0" w:noVBand="1" w:val="04A0"/>
      </w:tblPr>
      <w:tblGrid>
        <w:gridCol w:w="10080"/>
      </w:tblGrid>
      <w:tr>
        <w:tc>
          <w:tcPr>
            <w:tcW w:type="dxa" w:w="10080"/>
            <w:shd w:fill="EAF6EA"/>
            <w:tcBorders>
              <w:top w:val="single" w:sz="10" w:space="0" w:color="84E03D"/>
              <w:left w:val="single" w:sz="10" w:space="0" w:color="84E03D"/>
              <w:bottom w:val="single" w:sz="10" w:space="0" w:color="84E03D"/>
              <w:right w:val="single" w:sz="10" w:space="0" w:color="84E03D"/>
              <w:insideH w:val="single" w:sz="10" w:space="0" w:color="84E03D"/>
              <w:insideV w:val="single" w:sz="10" w:space="0" w:color="84E03D"/>
            </w:tcBorders>
          </w:tcPr>
          <w:p>
            <w:r/>
            <w:r>
              <w:rPr>
                <w:b/>
                <w:color w:val="2F7D32"/>
                <w:sz w:val="20"/>
              </w:rPr>
              <w:t>Design north star</w:t>
              <w:br/>
            </w:r>
            <w:r>
              <w:rPr>
                <w:color w:val="1F2937"/>
                <w:sz w:val="18"/>
              </w:rPr>
              <w:t>AgriTrust should feel like a calm, trustworthy agricultural finance product: warm enough for farmers, precise enough for lenders, and technically credible enough for Stellar-native users. The interface must make complex infrastructure feel simple without hiding important trust, risk, or verification information.</w:t>
            </w:r>
          </w:p>
        </w:tc>
      </w:tr>
    </w:tbl>
    <w:p/>
    <w:p>
      <w:pPr>
        <w:jc w:val="center"/>
      </w:pPr>
      <w:r>
        <w:rPr>
          <w:color w:val="6B7280"/>
          <w:sz w:val="18"/>
        </w:rPr>
        <w:t>Prepared for the frontend design and engineering team • Version 1.0 • August 2026</w:t>
      </w:r>
    </w:p>
    <w:p>
      <w:r>
        <w:br w:type="page"/>
      </w:r>
    </w:p>
    <w:p>
      <w:pPr>
        <w:pStyle w:val="Heading1"/>
      </w:pPr>
      <w:r>
        <w:t>1. Executive recommendation</w:t>
      </w:r>
    </w:p>
    <w:p>
      <w:r>
        <w:t>The recommended direction is a restrained combination of **minimalist information design, soft claymorphism, and selective glass surfaces**, organized through a **bento-style dashboard grid**. Do not use a single style everywhere. AgriTrust has two very different jobs: explaining a new financial primitive to the public and helping users make high-consequence decisions about identity, certificates, risk, and liquidity.</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Style</w:t>
            </w:r>
          </w:p>
        </w:tc>
        <w:tc>
          <w:tcPr>
            <w:tcW w:type="dxa" w:w="2376"/>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Recommendation</w:t>
            </w:r>
          </w:p>
        </w:tc>
        <w:tc>
          <w:tcPr>
            <w:tcW w:type="dxa" w:w="4680"/>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Reason</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Minimalist information design</w:t>
            </w:r>
          </w:p>
        </w:tc>
        <w:tc>
          <w:tcPr>
            <w:tcW w:type="dxa" w:w="237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as the foundation</w:t>
            </w:r>
          </w:p>
        </w:tc>
        <w:tc>
          <w:tcPr>
            <w:tcW w:type="dxa" w:w="468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Keeps scores, certificate states, balances, risk, and actions legible.</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Soft claymorphism</w:t>
            </w:r>
          </w:p>
        </w:tc>
        <w:tc>
          <w:tcPr>
            <w:tcW w:type="dxa" w:w="237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for approved 3D illustrations and selected status objects</w:t>
            </w:r>
          </w:p>
        </w:tc>
        <w:tc>
          <w:tcPr>
            <w:tcW w:type="dxa" w:w="468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Connects the digital system to soil, crops, certificates, and tangible trust.</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Glassmorphism</w:t>
            </w:r>
          </w:p>
        </w:tc>
        <w:tc>
          <w:tcPr>
            <w:tcW w:type="dxa" w:w="237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sparingly for overlays and certificate previews</w:t>
            </w:r>
          </w:p>
        </w:tc>
        <w:tc>
          <w:tcPr>
            <w:tcW w:type="dxa" w:w="468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Adds depth to verification and network moments without making the whole product translucent.</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Bento grid</w:t>
            </w:r>
          </w:p>
        </w:tc>
        <w:tc>
          <w:tcPr>
            <w:tcW w:type="dxa" w:w="237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for dashboard composition</w:t>
            </w:r>
          </w:p>
        </w:tc>
        <w:tc>
          <w:tcPr>
            <w:tcW w:type="dxa" w:w="468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Groups VYC, score, activity, insurance, liquidity, and next actions into scannable modules.</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Neomorphism</w:t>
            </w:r>
          </w:p>
        </w:tc>
        <w:tc>
          <w:tcPr>
            <w:tcW w:type="dxa" w:w="237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Do not use as the primary system</w:t>
            </w:r>
          </w:p>
        </w:tc>
        <w:tc>
          <w:tcPr>
            <w:tcW w:type="dxa" w:w="468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Weak contrast and ambiguous affordances are unsuitable for financial and accessibility-critical screens.</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Maximalism</w:t>
            </w:r>
          </w:p>
        </w:tc>
        <w:tc>
          <w:tcPr>
            <w:tcW w:type="dxa" w:w="237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Avoid</w:t>
            </w:r>
          </w:p>
        </w:tc>
        <w:tc>
          <w:tcPr>
            <w:tcW w:type="dxa" w:w="468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Competes with data, increases cognitive load, and can make trust infrastructure feel promotional rather than credible.</w:t>
            </w:r>
          </w:p>
        </w:tc>
      </w:tr>
    </w:tbl>
    <w:p/>
    <w:tbl>
      <w:tblPr>
        <w:tblW w:type="auto" w:w="0"/>
        <w:jc w:val="center"/>
        <w:tblLook w:firstColumn="1" w:firstRow="1" w:lastColumn="0" w:lastRow="0" w:noHBand="0" w:noVBand="1" w:val="04A0"/>
      </w:tblPr>
      <w:tblGrid>
        <w:gridCol w:w="10080"/>
      </w:tblGrid>
      <w:tr>
        <w:tc>
          <w:tcPr>
            <w:tcW w:type="dxa" w:w="10080"/>
            <w:shd w:fill="EAF6EA"/>
            <w:tcBorders>
              <w:top w:val="single" w:sz="10" w:space="0" w:color="84E03D"/>
              <w:left w:val="single" w:sz="10" w:space="0" w:color="84E03D"/>
              <w:bottom w:val="single" w:sz="10" w:space="0" w:color="84E03D"/>
              <w:right w:val="single" w:sz="10" w:space="0" w:color="84E03D"/>
              <w:insideH w:val="single" w:sz="10" w:space="0" w:color="84E03D"/>
              <w:insideV w:val="single" w:sz="10" w:space="0" w:color="84E03D"/>
            </w:tcBorders>
          </w:tcPr>
          <w:p>
            <w:r/>
            <w:r>
              <w:rPr>
                <w:b/>
                <w:color w:val="2F7D32"/>
                <w:sz w:val="20"/>
              </w:rPr>
              <w:t>Recommended formula</w:t>
              <w:br/>
            </w:r>
            <w:r>
              <w:rPr>
                <w:color w:val="1F2937"/>
                <w:sz w:val="18"/>
              </w:rPr>
              <w:t>Minimalist structure + bento dashboard + soft 3D/clay assets + selective glass certificate surfaces + strong typography and explicit status language.</w:t>
            </w:r>
          </w:p>
        </w:tc>
      </w:tr>
    </w:tbl>
    <w:p/>
    <w:p>
      <w:pPr>
        <w:pStyle w:val="Heading1"/>
      </w:pPr>
      <w:r>
        <w:t>2. Product and UX principles</w:t>
      </w:r>
    </w:p>
    <w:p>
      <w:r>
        <w:t>The onboarding decision is central to the design. Farmers should not experience AgriTrust as a crypto wallet product. They should sign up with Google, phone, or USSD, receive a custodial or embedded smart wallet under the hood, and land in a simple activity-and-trust experience. Lenders, insurers, and investors are the audience that should see Freighter connection, KYC, liquidity, and capital workflows.</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Principle</w:t>
            </w:r>
          </w:p>
        </w:tc>
        <w:tc>
          <w:tcPr>
            <w:tcW w:type="dxa" w:w="6120"/>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Design implication</w:t>
            </w:r>
          </w:p>
        </w:tc>
      </w:tr>
      <w:tr>
        <w:tc>
          <w:tcPr>
            <w:tcW w:type="dxa" w:w="302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Farmers first, Web3 under the hood</w:t>
            </w:r>
          </w:p>
        </w:tc>
        <w:tc>
          <w:tcPr>
            <w:tcW w:type="dxa" w:w="612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Lead with activity, harvest, score, and payout. Keep wallet complexity behind progressive disclosure.</w:t>
            </w:r>
          </w:p>
        </w:tc>
      </w:tr>
      <w:tr>
        <w:tc>
          <w:tcPr>
            <w:tcW w:type="dxa" w:w="302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Trust is visible and explainable</w:t>
            </w:r>
          </w:p>
        </w:tc>
        <w:tc>
          <w:tcPr>
            <w:tcW w:type="dxa" w:w="612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Show why a score or certificate exists, what evidence supports it, and what is verified on-chain.</w:t>
            </w:r>
          </w:p>
        </w:tc>
      </w:tr>
      <w:tr>
        <w:tc>
          <w:tcPr>
            <w:tcW w:type="dxa" w:w="302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PII is private; proof is public</w:t>
            </w:r>
          </w:p>
        </w:tc>
        <w:tc>
          <w:tcPr>
            <w:tcW w:type="dxa" w:w="612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Never expose personal data as if it were on-chain. Distinguish private profile information from public certificate proof.</w:t>
            </w:r>
          </w:p>
        </w:tc>
      </w:tr>
      <w:tr>
        <w:tc>
          <w:tcPr>
            <w:tcW w:type="dxa" w:w="302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Action before abstraction</w:t>
            </w:r>
          </w:p>
        </w:tc>
        <w:tc>
          <w:tcPr>
            <w:tcW w:type="dxa" w:w="612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plain language such as “Log planting activity”, “View certificate”, and “Request financing” before technical terms.</w:t>
            </w:r>
          </w:p>
        </w:tc>
      </w:tr>
      <w:tr>
        <w:tc>
          <w:tcPr>
            <w:tcW w:type="dxa" w:w="302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One primary action per view</w:t>
            </w:r>
          </w:p>
        </w:tc>
        <w:tc>
          <w:tcPr>
            <w:tcW w:type="dxa" w:w="612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Avoid competing CTAs in onboarding, minting, funding, and payout flows.</w:t>
            </w:r>
          </w:p>
        </w:tc>
      </w:tr>
      <w:tr>
        <w:tc>
          <w:tcPr>
            <w:tcW w:type="dxa" w:w="302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Mobile and USSD parity</w:t>
            </w:r>
          </w:p>
        </w:tc>
        <w:tc>
          <w:tcPr>
            <w:tcW w:type="dxa" w:w="612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Design mobile-first and ensure every essential workflow has a compact, low-bandwidth representation.</w:t>
            </w:r>
          </w:p>
        </w:tc>
      </w:tr>
    </w:tbl>
    <w:p/>
    <w:p>
      <w:pPr>
        <w:pStyle w:val="Heading1"/>
      </w:pPr>
      <w:r>
        <w:t>3. Visual system</w:t>
      </w:r>
    </w:p>
    <w:p>
      <w:pPr>
        <w:pStyle w:val="Heading2"/>
      </w:pPr>
      <w:r>
        <w:t>3.1 Color roles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Token</w:t>
            </w:r>
          </w:p>
        </w:tc>
        <w:tc>
          <w:tcPr>
            <w:tcW w:type="dxa" w:w="1728"/>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Hex</w:t>
            </w:r>
          </w:p>
        </w:tc>
        <w:tc>
          <w:tcPr>
            <w:tcW w:type="dxa" w:w="5256"/>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Use</w:t>
            </w:r>
          </w:p>
        </w:tc>
      </w:tr>
      <w:tr>
        <w:tc>
          <w:tcPr>
            <w:tcW w:type="dxa" w:w="216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Primary brand green</w:t>
            </w:r>
          </w:p>
        </w:tc>
        <w:tc>
          <w:tcPr>
            <w:tcW w:type="dxa" w:w="172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#3A8C3F</w:t>
            </w:r>
          </w:p>
        </w:tc>
        <w:tc>
          <w:tcPr>
            <w:tcW w:type="dxa" w:w="52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Primary buttons, active navigation, verified surfaces, links, crop and growth objects.</w:t>
            </w:r>
          </w:p>
        </w:tc>
      </w:tr>
      <w:tr>
        <w:tc>
          <w:tcPr>
            <w:tcW w:type="dxa" w:w="216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Accent lime</w:t>
            </w:r>
          </w:p>
        </w:tc>
        <w:tc>
          <w:tcPr>
            <w:tcW w:type="dxa" w:w="172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#84E03D</w:t>
            </w:r>
          </w:p>
        </w:tc>
        <w:tc>
          <w:tcPr>
            <w:tcW w:type="dxa" w:w="52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Growth, positive change, verified highlights, active connection paths; use in small controlled areas.</w:t>
            </w:r>
          </w:p>
        </w:tc>
      </w:tr>
      <w:tr>
        <w:tc>
          <w:tcPr>
            <w:tcW w:type="dxa" w:w="216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Destructive</w:t>
            </w:r>
          </w:p>
        </w:tc>
        <w:tc>
          <w:tcPr>
            <w:tcW w:type="dxa" w:w="172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#DC2626</w:t>
            </w:r>
          </w:p>
        </w:tc>
        <w:tc>
          <w:tcPr>
            <w:tcW w:type="dxa" w:w="52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Failed actions, rejected KYC, severe alerts, and destructive confirmation only.</w:t>
            </w:r>
          </w:p>
        </w:tc>
      </w:tr>
      <w:tr>
        <w:tc>
          <w:tcPr>
            <w:tcW w:type="dxa" w:w="216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Cream / warm neutral</w:t>
            </w:r>
          </w:p>
        </w:tc>
        <w:tc>
          <w:tcPr>
            <w:tcW w:type="dxa" w:w="172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Project neutral</w:t>
            </w:r>
          </w:p>
        </w:tc>
        <w:tc>
          <w:tcPr>
            <w:tcW w:type="dxa" w:w="52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Light surfaces, certificate cards, content panels, and illustration highlights.</w:t>
            </w:r>
          </w:p>
        </w:tc>
      </w:tr>
      <w:tr>
        <w:tc>
          <w:tcPr>
            <w:tcW w:type="dxa" w:w="216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Deep green neutral</w:t>
            </w:r>
          </w:p>
        </w:tc>
        <w:tc>
          <w:tcPr>
            <w:tcW w:type="dxa" w:w="172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Dark-mode neutral</w:t>
            </w:r>
          </w:p>
        </w:tc>
        <w:tc>
          <w:tcPr>
            <w:tcW w:type="dxa" w:w="52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Dark surfaces, inverse text hierarchy, and illustration shadows.</w:t>
            </w:r>
          </w:p>
        </w:tc>
      </w:tr>
    </w:tbl>
    <w:p/>
    <w:p>
      <w:r>
        <w:t>Use color as a semantic system rather than decoration. A green object must not automatically mean a transaction succeeded; pair every state with text, iconography, and a status label. Red must never be the only signal for failure.</w:t>
      </w:r>
    </w:p>
    <w:p>
      <w:pPr>
        <w:pStyle w:val="Heading2"/>
      </w:pPr>
      <w:r>
        <w:t>3.2 Typography recommendation</w:t>
      </w:r>
    </w:p>
    <w:p>
      <w:r>
        <w:t>Use **Manrope** as the primary product typeface. It is modern, friendly, highly legible, and gives the interface a contemporary technology feel without appearing like a trading terminal. Use **DM Sans** as an acceptable fallback if the project already includes it. Avoid highly geometric display fonts for body copy and avoid condensed fonts for financial figures.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Text role</w:t>
            </w:r>
          </w:p>
        </w:tc>
        <w:tc>
          <w:tcPr>
            <w:tcW w:type="dxa" w:w="6552"/>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Recommendation</w:t>
            </w:r>
          </w:p>
        </w:tc>
      </w:tr>
      <w:tr>
        <w:tc>
          <w:tcPr>
            <w:tcW w:type="dxa" w:w="259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Hero headline</w:t>
            </w:r>
          </w:p>
        </w:tc>
        <w:tc>
          <w:tcPr>
            <w:tcW w:type="dxa" w:w="655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Manrope ExtraBold, 48–64px desktop, 36–44px mobile, tight line height 0.98–1.05.</w:t>
            </w:r>
          </w:p>
        </w:tc>
      </w:tr>
      <w:tr>
        <w:tc>
          <w:tcPr>
            <w:tcW w:type="dxa" w:w="259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Page title</w:t>
            </w:r>
          </w:p>
        </w:tc>
        <w:tc>
          <w:tcPr>
            <w:tcW w:type="dxa" w:w="655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Manrope Bold, 28–36px desktop, 24–30px mobile.</w:t>
            </w:r>
          </w:p>
        </w:tc>
      </w:tr>
      <w:tr>
        <w:tc>
          <w:tcPr>
            <w:tcW w:type="dxa" w:w="259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Card title</w:t>
            </w:r>
          </w:p>
        </w:tc>
        <w:tc>
          <w:tcPr>
            <w:tcW w:type="dxa" w:w="655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Manrope SemiBold, 16–20px.</w:t>
            </w:r>
          </w:p>
        </w:tc>
      </w:tr>
      <w:tr>
        <w:tc>
          <w:tcPr>
            <w:tcW w:type="dxa" w:w="259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Body and helper copy</w:t>
            </w:r>
          </w:p>
        </w:tc>
        <w:tc>
          <w:tcPr>
            <w:tcW w:type="dxa" w:w="655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Manrope Regular/Medium, 14–16px, line height 1.45–1.6.</w:t>
            </w:r>
          </w:p>
        </w:tc>
      </w:tr>
      <w:tr>
        <w:tc>
          <w:tcPr>
            <w:tcW w:type="dxa" w:w="259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Numeric score and balances</w:t>
            </w:r>
          </w:p>
        </w:tc>
        <w:tc>
          <w:tcPr>
            <w:tcW w:type="dxa" w:w="655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Manrope ExtraBold or tabular-number font feature, with clear units and labels.</w:t>
            </w:r>
          </w:p>
        </w:tc>
      </w:tr>
      <w:tr>
        <w:tc>
          <w:tcPr>
            <w:tcW w:type="dxa" w:w="259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Technical values</w:t>
            </w:r>
          </w:p>
        </w:tc>
        <w:tc>
          <w:tcPr>
            <w:tcW w:type="dxa" w:w="655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a restrained monospace only for wallet addresses, hashes, contract IDs, and transaction references.</w:t>
            </w:r>
          </w:p>
        </w:tc>
      </w:tr>
    </w:tbl>
    <w:p/>
    <w:p>
      <w:pPr>
        <w:pStyle w:val="Heading1"/>
      </w:pPr>
      <w:r>
        <w:t>4. Layout and component language</w:t>
      </w:r>
    </w:p>
    <w:p>
      <w:r>
        <w:t>Use an 8px spacing system, 12-column desktop grid, and a 4-column mobile grid. Panels should have generous internal padding, moderate corner radii, and clear grouping. The product should feel soft and approachable, but not inflated or toy-like.</w:t>
      </w:r>
    </w:p>
    <w:tbl>
      <w:tblPr>
        <w:tblStyle w:val="TableGrid"/>
        <w:tblW w:type="auto" w:w="0"/>
        <w:jc w:val="center"/>
        <w:tblLook w:firstColumn="1" w:firstRow="1" w:lastColumn="0" w:lastRow="0" w:noHBand="0" w:noVBand="1" w:val="04A0"/>
      </w:tblPr>
      <w:tblGrid>
        <w:gridCol w:w="5040"/>
        <w:gridCol w:w="5040"/>
      </w:tblGrid>
      <w:tr>
        <w:tc>
          <w:tcPr>
            <w:tcW w:type="dxa" w:w="1800"/>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Element</w:t>
            </w:r>
          </w:p>
        </w:tc>
        <w:tc>
          <w:tcPr>
            <w:tcW w:type="dxa" w:w="7344"/>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Direction</w:t>
            </w:r>
          </w:p>
        </w:tc>
      </w:tr>
      <w:tr>
        <w:tc>
          <w:tcPr>
            <w:tcW w:type="dxa" w:w="180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Grid</w:t>
            </w:r>
          </w:p>
        </w:tc>
        <w:tc>
          <w:tcPr>
            <w:tcW w:type="dxa" w:w="734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12 columns desktop; 8 columns tablet; 4 columns mobile. Max content width 1200–1280px.</w:t>
            </w:r>
          </w:p>
        </w:tc>
      </w:tr>
      <w:tr>
        <w:tc>
          <w:tcPr>
            <w:tcW w:type="dxa" w:w="180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Radius</w:t>
            </w:r>
          </w:p>
        </w:tc>
        <w:tc>
          <w:tcPr>
            <w:tcW w:type="dxa" w:w="734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12px for controls, 16px for cards, 24px for hero surfaces and major illustration containers.</w:t>
            </w:r>
          </w:p>
        </w:tc>
      </w:tr>
      <w:tr>
        <w:tc>
          <w:tcPr>
            <w:tcW w:type="dxa" w:w="180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Borders</w:t>
            </w:r>
          </w:p>
        </w:tc>
        <w:tc>
          <w:tcPr>
            <w:tcW w:type="dxa" w:w="734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subtle green-tinted neutral borders. Avoid heavy outlines except for focus and status states.</w:t>
            </w:r>
          </w:p>
        </w:tc>
      </w:tr>
      <w:tr>
        <w:tc>
          <w:tcPr>
            <w:tcW w:type="dxa" w:w="180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Shadows</w:t>
            </w:r>
          </w:p>
        </w:tc>
        <w:tc>
          <w:tcPr>
            <w:tcW w:type="dxa" w:w="734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Soft, low-opacity shadows; use a slightly green-tinted shadow for branded surfaces.</w:t>
            </w:r>
          </w:p>
        </w:tc>
      </w:tr>
      <w:tr>
        <w:tc>
          <w:tcPr>
            <w:tcW w:type="dxa" w:w="180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Buttons</w:t>
            </w:r>
          </w:p>
        </w:tc>
        <w:tc>
          <w:tcPr>
            <w:tcW w:type="dxa" w:w="734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Primary green filled button, secondary outlined button, quiet text action. One dominant CTA per section.</w:t>
            </w:r>
          </w:p>
        </w:tc>
      </w:tr>
      <w:tr>
        <w:tc>
          <w:tcPr>
            <w:tcW w:type="dxa" w:w="180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Cards</w:t>
            </w:r>
          </w:p>
        </w:tc>
        <w:tc>
          <w:tcPr>
            <w:tcW w:type="dxa" w:w="734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bento modules with one purpose each: score, VYC, activity, insurance, liquidity, or next action.</w:t>
            </w:r>
          </w:p>
        </w:tc>
      </w:tr>
      <w:tr>
        <w:tc>
          <w:tcPr>
            <w:tcW w:type="dxa" w:w="180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Charts</w:t>
            </w:r>
          </w:p>
        </w:tc>
        <w:tc>
          <w:tcPr>
            <w:tcW w:type="dxa" w:w="734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restrained green gradients and direct labels. Never rely on color alone to distinguish categories.</w:t>
            </w:r>
          </w:p>
        </w:tc>
      </w:tr>
    </w:tbl>
    <w:p/>
    <w:p>
      <w:pPr>
        <w:pStyle w:val="Heading1"/>
      </w:pPr>
      <w:r>
        <w:t>5. Recommended page architecture</w:t>
      </w:r>
    </w:p>
    <w:p>
      <w:r>
        <w:t>The current landing page content is strong and should remain the public narrative. Dashboard, Mint VYC, Scoring, Connect Wallet, and Admin should be separated by audience and task. Mint VYC can be accessible from the dashboard, but it should remain a distinct route and guided workflow rather than an overloaded dashboard widget.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Route / area</w:t>
            </w:r>
          </w:p>
        </w:tc>
        <w:tc>
          <w:tcPr>
            <w:tcW w:type="dxa" w:w="1944"/>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Primary audience</w:t>
            </w:r>
          </w:p>
        </w:tc>
        <w:tc>
          <w:tcPr>
            <w:tcW w:type="dxa" w:w="3816"/>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Purpose</w:t>
            </w:r>
          </w:p>
        </w:tc>
        <w:tc>
          <w:tcPr>
            <w:tcW w:type="dxa" w:w="1584"/>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Primary action</w:t>
            </w:r>
          </w:p>
        </w:tc>
      </w:tr>
      <w:tr>
        <w:tc>
          <w:tcPr>
            <w:tcW w:type="dxa" w:w="180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Landing / Home</w:t>
            </w:r>
          </w:p>
        </w:tc>
        <w:tc>
          <w:tcPr>
            <w:tcW w:type="dxa" w:w="194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Everyone</w:t>
            </w:r>
          </w:p>
        </w:tc>
        <w:tc>
          <w:tcPr>
            <w:tcW w:type="dxa" w:w="381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Explain the trust loop and establish credibility.</w:t>
            </w:r>
          </w:p>
        </w:tc>
        <w:tc>
          <w:tcPr>
            <w:tcW w:type="dxa" w:w="158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Explore the dashboard / See scoring.</w:t>
            </w:r>
          </w:p>
        </w:tc>
      </w:tr>
      <w:tr>
        <w:tc>
          <w:tcPr>
            <w:tcW w:type="dxa" w:w="180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Farmer Dashboard</w:t>
            </w:r>
          </w:p>
        </w:tc>
        <w:tc>
          <w:tcPr>
            <w:tcW w:type="dxa" w:w="194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Farmers and field agents</w:t>
            </w:r>
          </w:p>
        </w:tc>
        <w:tc>
          <w:tcPr>
            <w:tcW w:type="dxa" w:w="381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Show activity, score, VYC status, insurance, and next step.</w:t>
            </w:r>
          </w:p>
        </w:tc>
        <w:tc>
          <w:tcPr>
            <w:tcW w:type="dxa" w:w="158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Log activity or view certificate.</w:t>
            </w:r>
          </w:p>
        </w:tc>
      </w:tr>
      <w:tr>
        <w:tc>
          <w:tcPr>
            <w:tcW w:type="dxa" w:w="180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Mint VYC</w:t>
            </w:r>
          </w:p>
        </w:tc>
        <w:tc>
          <w:tcPr>
            <w:tcW w:type="dxa" w:w="194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Farmers, agents, operators</w:t>
            </w:r>
          </w:p>
        </w:tc>
        <w:tc>
          <w:tcPr>
            <w:tcW w:type="dxa" w:w="381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Guide evidence review and create a VYC.</w:t>
            </w:r>
          </w:p>
        </w:tc>
        <w:tc>
          <w:tcPr>
            <w:tcW w:type="dxa" w:w="158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Review evidence and mint certificate.</w:t>
            </w:r>
          </w:p>
        </w:tc>
      </w:tr>
      <w:tr>
        <w:tc>
          <w:tcPr>
            <w:tcW w:type="dxa" w:w="180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Scoring</w:t>
            </w:r>
          </w:p>
        </w:tc>
        <w:tc>
          <w:tcPr>
            <w:tcW w:type="dxa" w:w="194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Farmers, lenders, analysts</w:t>
            </w:r>
          </w:p>
        </w:tc>
        <w:tc>
          <w:tcPr>
            <w:tcW w:type="dxa" w:w="381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Explain score composition and evidence.</w:t>
            </w:r>
          </w:p>
        </w:tc>
        <w:tc>
          <w:tcPr>
            <w:tcW w:type="dxa" w:w="158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View score explanation or request financing.</w:t>
            </w:r>
          </w:p>
        </w:tc>
      </w:tr>
      <w:tr>
        <w:tc>
          <w:tcPr>
            <w:tcW w:type="dxa" w:w="180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Connect Wallet</w:t>
            </w:r>
          </w:p>
        </w:tc>
        <w:tc>
          <w:tcPr>
            <w:tcW w:type="dxa" w:w="194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Lenders, insurers, investors, developers</w:t>
            </w:r>
          </w:p>
        </w:tc>
        <w:tc>
          <w:tcPr>
            <w:tcW w:type="dxa" w:w="381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Connect Freighter and start capital-side onboarding.</w:t>
            </w:r>
          </w:p>
        </w:tc>
        <w:tc>
          <w:tcPr>
            <w:tcW w:type="dxa" w:w="158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Connect wallet / begin KYC.</w:t>
            </w:r>
          </w:p>
        </w:tc>
      </w:tr>
      <w:tr>
        <w:tc>
          <w:tcPr>
            <w:tcW w:type="dxa" w:w="180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Lender / Investor Console</w:t>
            </w:r>
          </w:p>
        </w:tc>
        <w:tc>
          <w:tcPr>
            <w:tcW w:type="dxa" w:w="194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Capital providers</w:t>
            </w:r>
          </w:p>
        </w:tc>
        <w:tc>
          <w:tcPr>
            <w:tcW w:type="dxa" w:w="381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Browse VYCs, assess risk, fund, insure, and track positions.</w:t>
            </w:r>
          </w:p>
        </w:tc>
        <w:tc>
          <w:tcPr>
            <w:tcW w:type="dxa" w:w="1584"/>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Fund or underwrite a VYC.</w:t>
            </w:r>
          </w:p>
        </w:tc>
      </w:tr>
      <w:tr>
        <w:tc>
          <w:tcPr>
            <w:tcW w:type="dxa" w:w="180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Admin / Operator</w:t>
            </w:r>
          </w:p>
        </w:tc>
        <w:tc>
          <w:tcPr>
            <w:tcW w:type="dxa" w:w="194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Internal operators</w:t>
            </w:r>
          </w:p>
        </w:tc>
        <w:tc>
          <w:tcPr>
            <w:tcW w:type="dxa" w:w="381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Monitor anchors, evidence, VYCs, disputes, KYC, and system health.</w:t>
            </w:r>
          </w:p>
        </w:tc>
        <w:tc>
          <w:tcPr>
            <w:tcW w:type="dxa" w:w="1584"/>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Review, approve, reject, or investigate.</w:t>
            </w:r>
          </w:p>
        </w:tc>
      </w:tr>
    </w:tbl>
    <w:p/>
    <w:p>
      <w:pPr>
        <w:pStyle w:val="Heading1"/>
      </w:pPr>
      <w:r>
        <w:t>6. Landing page direction</w:t>
      </w:r>
    </w:p>
    <w:p>
      <w:r>
        <w:t>The landing page should feel editorial and confident, not like a dashboard preview. Use the approved three-image hero slideshow as the visual storytelling layer: the protocol hero introduces the idea, the VYC hero explains the primitive, and the liquidity bridge hero explains the capital connection.</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Section</w:t>
            </w:r>
          </w:p>
        </w:tc>
        <w:tc>
          <w:tcPr>
            <w:tcW w:type="dxa" w:w="7056"/>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Design direction</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Hero</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Two-column layout: strong headline and CTA on the left; 3D slideshow on the right. Keep copy in HTML. Use a calm crossfade, progress indicator, and pause-on-focus behavior.</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How it works</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four numbered steps with compact 3D or pattern accents: activity, score, VYC, financing.</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Why this credit score</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three bento cards for behavior-based credit, tamper-evident proof, and Stellar-native settlement.</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Trust and compliance</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Add a concise distinction between farmer onboarding and lender KYC. This is essential to prevent misunderstanding.</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Final CTA</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one clear action: explore the dashboard or start farmer onboarding. Keep Connect Wallet secondary for capital providers.</w:t>
            </w:r>
          </w:p>
        </w:tc>
      </w:tr>
    </w:tbl>
    <w:p/>
    <w:p>
      <w:pPr>
        <w:pStyle w:val="Heading1"/>
      </w:pPr>
      <w:r>
        <w:t>7. Farmer dashboard direction</w:t>
      </w:r>
    </w:p>
    <w:p>
      <w:r>
        <w:t>The farmer dashboard should be the simplest authenticated experience. It should not open with wallet jargon or a dense analytics screen. The first viewport should answer: “What is my trust status, what evidence do I have, and what can I do next?”</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Dashboard module</w:t>
            </w:r>
          </w:p>
        </w:tc>
        <w:tc>
          <w:tcPr>
            <w:tcW w:type="dxa" w:w="6912"/>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Content and behavior</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Welcome / next action</w:t>
            </w:r>
          </w:p>
        </w:tc>
        <w:tc>
          <w:tcPr>
            <w:tcW w:type="dxa" w:w="691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Personal greeting, current season, and one recommended action such as “Log planting activity”.</w:t>
            </w:r>
          </w:p>
        </w:tc>
      </w:tr>
      <w:tr>
        <w:tc>
          <w:tcPr>
            <w:tcW w:type="dxa" w:w="223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Trust score card</w:t>
            </w:r>
          </w:p>
        </w:tc>
        <w:tc>
          <w:tcPr>
            <w:tcW w:type="dxa" w:w="691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0–100 score, plain-language interpretation, last updated time, and “How is this calculated?” link.</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VYC status</w:t>
            </w:r>
          </w:p>
        </w:tc>
        <w:tc>
          <w:tcPr>
            <w:tcW w:type="dxa" w:w="691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Certificate status, expected yield, evidence count, and a route to view certificate details.</w:t>
            </w:r>
          </w:p>
        </w:tc>
      </w:tr>
      <w:tr>
        <w:tc>
          <w:tcPr>
            <w:tcW w:type="dxa" w:w="223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Activity timeline</w:t>
            </w:r>
          </w:p>
        </w:tc>
        <w:tc>
          <w:tcPr>
            <w:tcW w:type="dxa" w:w="691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Seed purchase, planting, harvest, and sale entries with verification state and evidence source.</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Insurance card</w:t>
            </w:r>
          </w:p>
        </w:tc>
        <w:tc>
          <w:tcPr>
            <w:tcW w:type="dxa" w:w="691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Coverage status, weather trigger status, and what happens next. Avoid implying guaranteed payout.</w:t>
            </w:r>
          </w:p>
        </w:tc>
      </w:tr>
      <w:tr>
        <w:tc>
          <w:tcPr>
            <w:tcW w:type="dxa" w:w="223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Financing card</w:t>
            </w:r>
          </w:p>
        </w:tc>
        <w:tc>
          <w:tcPr>
            <w:tcW w:type="dxa" w:w="691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Eligible amount or “building eligibility” state, with transparent explanation.</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Wallet details</w:t>
            </w:r>
          </w:p>
        </w:tc>
        <w:tc>
          <w:tcPr>
            <w:tcW w:type="dxa" w:w="691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Collapsed by default. Show balance and abbreviated address only when relevant; never make the wallet the entry point.</w:t>
            </w:r>
          </w:p>
        </w:tc>
      </w:tr>
    </w:tbl>
    <w:p/>
    <w:tbl>
      <w:tblPr>
        <w:tblW w:type="auto" w:w="0"/>
        <w:jc w:val="center"/>
        <w:tblLook w:firstColumn="1" w:firstRow="1" w:lastColumn="0" w:lastRow="0" w:noHBand="0" w:noVBand="1" w:val="04A0"/>
      </w:tblPr>
      <w:tblGrid>
        <w:gridCol w:w="10080"/>
      </w:tblGrid>
      <w:tr>
        <w:tc>
          <w:tcPr>
            <w:tcW w:type="dxa" w:w="10080"/>
            <w:shd w:fill="EAF6EA"/>
            <w:tcBorders>
              <w:top w:val="single" w:sz="10" w:space="0" w:color="84E03D"/>
              <w:left w:val="single" w:sz="10" w:space="0" w:color="84E03D"/>
              <w:bottom w:val="single" w:sz="10" w:space="0" w:color="84E03D"/>
              <w:right w:val="single" w:sz="10" w:space="0" w:color="84E03D"/>
              <w:insideH w:val="single" w:sz="10" w:space="0" w:color="84E03D"/>
              <w:insideV w:val="single" w:sz="10" w:space="0" w:color="84E03D"/>
            </w:tcBorders>
          </w:tcPr>
          <w:p>
            <w:r/>
            <w:r>
              <w:rPr>
                <w:b/>
                <w:color w:val="2F7D32"/>
                <w:sz w:val="20"/>
              </w:rPr>
              <w:t>Dashboard rule</w:t>
              <w:br/>
            </w:r>
            <w:r>
              <w:rPr>
                <w:color w:val="1F2937"/>
                <w:sz w:val="18"/>
              </w:rPr>
              <w:t>The dashboard is the farmer’s trust home. Mint VYC is a guided workflow launched from evidence or the next-action card—not a permanent high-pressure CTA in every module.</w:t>
            </w:r>
          </w:p>
        </w:tc>
      </w:tr>
    </w:tbl>
    <w:p/>
    <w:p>
      <w:pPr>
        <w:pStyle w:val="Heading1"/>
      </w:pPr>
      <w:r>
        <w:t>8. Mint VYC experience</w:t>
      </w:r>
    </w:p>
    <w:p>
      <w:r>
        <w:t>Minting should be a step-by-step review flow, not a single form. Use a progress indicator and show the relationship between activity evidence, score, expected yield, hash, and final certificate.</w:t>
      </w:r>
    </w:p>
    <w:p>
      <w:pPr>
        <w:pStyle w:val="ListNumber"/>
        <w:spacing w:after="60"/>
      </w:pPr>
      <w:r>
        <w:t>Select or review the farmer and season.</w:t>
      </w:r>
    </w:p>
    <w:p>
      <w:pPr>
        <w:pStyle w:val="ListNumber"/>
        <w:spacing w:after="60"/>
      </w:pPr>
      <w:r>
        <w:t>Review proof-of-activity events: input purchase, planting, harvest, or sale.</w:t>
      </w:r>
    </w:p>
    <w:p>
      <w:pPr>
        <w:pStyle w:val="ListNumber"/>
        <w:spacing w:after="60"/>
      </w:pPr>
      <w:r>
        <w:t>Show the explainable score inputs and expected yield calculation at a high level.</w:t>
      </w:r>
    </w:p>
    <w:p>
      <w:pPr>
        <w:pStyle w:val="ListNumber"/>
        <w:spacing w:after="60"/>
      </w:pPr>
      <w:r>
        <w:t>Preview the VYC, including status, evidence hash, farmer wallet link, and on-chain destination.</w:t>
      </w:r>
    </w:p>
    <w:p>
      <w:pPr>
        <w:pStyle w:val="ListNumber"/>
        <w:spacing w:after="60"/>
      </w:pPr>
      <w:r>
        <w:t>Confirm minting, show pending state, then show transaction reference and certificate status.</w:t>
      </w:r>
    </w:p>
    <w:p>
      <w:r>
        <w:t>Use the `icon_verified_certificate.png`, `icon_transaction_transfer.png`, and `icon_success_verified.png` assets as visual anchors, while keeping all values and statuses rendered as real UI text.</w:t>
      </w:r>
    </w:p>
    <w:p>
      <w:pPr>
        <w:pStyle w:val="Heading1"/>
      </w:pPr>
      <w:r>
        <w:t>9. Onboarding and authentication</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Audience</w:t>
            </w:r>
          </w:p>
        </w:tc>
        <w:tc>
          <w:tcPr>
            <w:tcW w:type="dxa" w:w="2520"/>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Entry method</w:t>
            </w:r>
          </w:p>
        </w:tc>
        <w:tc>
          <w:tcPr>
            <w:tcW w:type="dxa" w:w="4392"/>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UI treatment</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Farmer</w:t>
            </w:r>
          </w:p>
        </w:tc>
        <w:tc>
          <w:tcPr>
            <w:tcW w:type="dxa" w:w="252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Google, phone OTP, or USSD</w:t>
            </w:r>
          </w:p>
        </w:tc>
        <w:tc>
          <w:tcPr>
            <w:tcW w:type="dxa" w:w="439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Warm, simple form; no seed phrase, gas, or Freighter requirement.</w:t>
            </w:r>
          </w:p>
        </w:tc>
      </w:tr>
      <w:tr>
        <w:tc>
          <w:tcPr>
            <w:tcW w:type="dxa" w:w="223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Cooperative field agent</w:t>
            </w:r>
          </w:p>
        </w:tc>
        <w:tc>
          <w:tcPr>
            <w:tcW w:type="dxa" w:w="252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Phone or organization sign-in</w:t>
            </w:r>
          </w:p>
        </w:tc>
        <w:tc>
          <w:tcPr>
            <w:tcW w:type="dxa" w:w="439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Role-aware dashboard, farmer lookup, evidence capture, and review queue.</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Lender / insurer / investor</w:t>
            </w:r>
          </w:p>
        </w:tc>
        <w:tc>
          <w:tcPr>
            <w:tcW w:type="dxa" w:w="2520"/>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Freighter wallet + KYC</w:t>
            </w:r>
          </w:p>
        </w:tc>
        <w:tc>
          <w:tcPr>
            <w:tcW w:type="dxa" w:w="439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Professional capital console with visible connection state, KYC progress, and risk information.</w:t>
            </w:r>
          </w:p>
        </w:tc>
      </w:tr>
      <w:tr>
        <w:tc>
          <w:tcPr>
            <w:tcW w:type="dxa" w:w="223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Admin / operator</w:t>
            </w:r>
          </w:p>
        </w:tc>
        <w:tc>
          <w:tcPr>
            <w:tcW w:type="dxa" w:w="2520"/>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Protected staff authentication</w:t>
            </w:r>
          </w:p>
        </w:tc>
        <w:tc>
          <w:tcPr>
            <w:tcW w:type="dxa" w:w="439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Dense but structured operations console with audit trails, filters, and explicit approval states.</w:t>
            </w:r>
          </w:p>
        </w:tc>
      </w:tr>
    </w:tbl>
    <w:p/>
    <w:p>
      <w:r>
        <w:t>Use the approved authentication illustrations as a supporting visual panel, never as a full-screen obstacle. On mobile, prioritize the form and compress or hide decorative 3D imagery.</w:t>
      </w:r>
    </w:p>
    <w:p>
      <w:pPr>
        <w:pStyle w:val="Heading1"/>
      </w:pPr>
      <w:r>
        <w:t>10. Admin and operator console</w:t>
      </w:r>
    </w:p>
    <w:p>
      <w:r>
        <w:t>The admin page should not share the farmer dashboard’s friendly visual density. It should use the same brand tokens but a more operational layout: persistent filters, compact tables, evidence drawers, audit history, and clear review states.</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Admin area</w:t>
            </w:r>
          </w:p>
        </w:tc>
        <w:tc>
          <w:tcPr>
            <w:tcW w:type="dxa" w:w="6912"/>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Required view</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Overview</w:t>
            </w:r>
          </w:p>
        </w:tc>
        <w:tc>
          <w:tcPr>
            <w:tcW w:type="dxa" w:w="691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System health, pending reviews, VYC volume, payout exceptions, and active alerts.</w:t>
            </w:r>
          </w:p>
        </w:tc>
      </w:tr>
      <w:tr>
        <w:tc>
          <w:tcPr>
            <w:tcW w:type="dxa" w:w="223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Farmers and profiles</w:t>
            </w:r>
          </w:p>
        </w:tc>
        <w:tc>
          <w:tcPr>
            <w:tcW w:type="dxa" w:w="691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Searchable farmer records with off-chain PII controls and role permissions.</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Activity evidence</w:t>
            </w:r>
          </w:p>
        </w:tc>
        <w:tc>
          <w:tcPr>
            <w:tcW w:type="dxa" w:w="691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Review queue for submitted evidence, source, timestamp, location, and approval outcome.</w:t>
            </w:r>
          </w:p>
        </w:tc>
      </w:tr>
      <w:tr>
        <w:tc>
          <w:tcPr>
            <w:tcW w:type="dxa" w:w="223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VYC registry</w:t>
            </w:r>
          </w:p>
        </w:tc>
        <w:tc>
          <w:tcPr>
            <w:tcW w:type="dxa" w:w="691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Certificate status, wallet address, activity hash, score, expected yield, and on-chain reference.</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KYC and capital providers</w:t>
            </w:r>
          </w:p>
        </w:tc>
        <w:tc>
          <w:tcPr>
            <w:tcW w:type="dxa" w:w="691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Lender/insurer status, pending/approved/rejected state, and compliance notes.</w:t>
            </w:r>
          </w:p>
        </w:tc>
      </w:tr>
      <w:tr>
        <w:tc>
          <w:tcPr>
            <w:tcW w:type="dxa" w:w="223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Insurance and triggers</w:t>
            </w:r>
          </w:p>
        </w:tc>
        <w:tc>
          <w:tcPr>
            <w:tcW w:type="dxa" w:w="6912"/>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Weather data state, trigger conditions, affected certificates, and payout workflow.</w:t>
            </w:r>
          </w:p>
        </w:tc>
      </w:tr>
      <w:tr>
        <w:tc>
          <w:tcPr>
            <w:tcW w:type="dxa" w:w="223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Audit and system events</w:t>
            </w:r>
          </w:p>
        </w:tc>
        <w:tc>
          <w:tcPr>
            <w:tcW w:type="dxa" w:w="6912"/>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Immutable event trail for approvals, rejections, mints, payouts, and administrative changes.</w:t>
            </w:r>
          </w:p>
        </w:tc>
      </w:tr>
    </w:tbl>
    <w:p/>
    <w:p>
      <w:pPr>
        <w:pStyle w:val="Heading1"/>
      </w:pPr>
      <w:r>
        <w:t>11. Motion, transitions, and interaction</w:t>
      </w:r>
    </w:p>
    <w:p>
      <w:r>
        <w:t>Motion should explain state changes and hierarchy, not decorate every interaction. Use a consistent easing curve such as `cubic-bezier(0.22, 1, 0.36, 1)` for entrances and `ease-out` for direct controls. Respect `prefers-reduced-motion` and disable non-essential movement when requested.</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Interaction</w:t>
            </w:r>
          </w:p>
        </w:tc>
        <w:tc>
          <w:tcPr>
            <w:tcW w:type="dxa" w:w="7056"/>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Recommendation</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Page transitions</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150–220ms fade plus 8–12px vertical movement. Avoid theatrical route transitions in financial workflows.</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Hero slideshow</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500–700ms crossfade; pause on hover, focus, touch interaction, and reduced-motion preference.</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Card hover</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Translate 2–4px and increase shadow slightly. Do not scale large cards aggressively.</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Button press</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Scale to 0.98 for 100–140ms with clear focus ring.</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Modal entrance</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Fade and scale from 0.98 to 1 over 180–240ms. Keep the backdrop stable.</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Status change</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one controlled icon reveal or checkmark draw; pair it with text and a timestamp.</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Loading</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skeletons that match the final layout. Do not replace every section with a generic spinner.</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Charts</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Animate bars or lines once on first render; avoid continuous chart movement.</w:t>
            </w:r>
          </w:p>
        </w:tc>
      </w:tr>
    </w:tbl>
    <w:p/>
    <w:p>
      <w:pPr>
        <w:pStyle w:val="Heading1"/>
      </w:pPr>
      <w:r>
        <w:t>12. Image performance, lazy loading, and caching</w:t>
      </w:r>
    </w:p>
    <w:p>
      <w:r>
        <w:t>The 3D assets are large and should be treated as responsive content, not loaded indiscriminately. The frontend should load only what the current viewport needs, preserve layout space, and serve modern formats where practical.</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Concern</w:t>
            </w:r>
          </w:p>
        </w:tc>
        <w:tc>
          <w:tcPr>
            <w:tcW w:type="dxa" w:w="7056"/>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Implementation direction</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Hero assets</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Preload only the first hero image; lazy-load the second and third slides after first paint or on idle.</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Below-the-fold 3D</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lazy loading with an intersection threshold around 200–400px before viewport entry.</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Responsive sizes</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Generate or serve width variants; avoid sending 1920px assets to small mobile cards.</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Next.js image handling</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`next/image` with explicit dimensions, `sizes`, responsive sources, and priority only for the first hero visual.</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Format</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Keep PNG for true alpha when required; use WebP/AVIF variants if the deployment pipeline preserves transparency and visual quality.</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Caching</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Use immutable hashed asset URLs with long-lived cache headers. Do not cache user-specific certificate or balance data as static assets.</w:t>
            </w:r>
          </w:p>
        </w:tc>
      </w:tr>
      <w:tr>
        <w:tc>
          <w:tcPr>
            <w:tcW w:type="dxa" w:w="208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Fallbacks</w:t>
            </w:r>
          </w:p>
        </w:tc>
        <w:tc>
          <w:tcPr>
            <w:tcW w:type="dxa" w:w="7056"/>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Provide a low-weight static poster or neutral illustration when 3D assets fail to load.</w:t>
            </w:r>
          </w:p>
        </w:tc>
      </w:tr>
      <w:tr>
        <w:tc>
          <w:tcPr>
            <w:tcW w:type="dxa" w:w="208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Accessibility</w:t>
            </w:r>
          </w:p>
        </w:tc>
        <w:tc>
          <w:tcPr>
            <w:tcW w:type="dxa" w:w="7056"/>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Meaningful illustrations receive alt text; decorative patterns use empty alt text. Essential information remains in HTML.</w:t>
            </w:r>
          </w:p>
        </w:tc>
      </w:tr>
    </w:tbl>
    <w:p/>
    <w:p>
      <w:pPr>
        <w:pStyle w:val="Heading1"/>
      </w:pPr>
      <w:r>
        <w:t>13. Responsive and accessibility rules</w:t>
      </w:r>
    </w:p>
    <w:p>
      <w:pPr>
        <w:pStyle w:val="ListBullet"/>
        <w:spacing w:after="60"/>
      </w:pPr>
      <w:r>
        <w:t>Design mobile-first because the product targets farmers, field agents, and USSD/mobile entry points.</w:t>
      </w:r>
    </w:p>
    <w:p>
      <w:pPr>
        <w:pStyle w:val="ListBullet"/>
        <w:spacing w:after="60"/>
      </w:pPr>
      <w:r>
        <w:t>On mobile, turn bento grids into a deliberate vertical sequence: next action, score, VYC, activity, insurance, then wallet details.</w:t>
      </w:r>
    </w:p>
    <w:p>
      <w:pPr>
        <w:pStyle w:val="ListBullet"/>
        <w:spacing w:after="60"/>
      </w:pPr>
      <w:r>
        <w:t>Keep touch targets at least 44px high and maintain visible keyboard focus states.</w:t>
      </w:r>
    </w:p>
    <w:p>
      <w:pPr>
        <w:pStyle w:val="ListBullet"/>
        <w:spacing w:after="60"/>
      </w:pPr>
      <w:r>
        <w:t>Do not hide critical risk, score, KYC, or transaction status information inside hover-only interactions.</w:t>
      </w:r>
    </w:p>
    <w:p>
      <w:pPr>
        <w:pStyle w:val="ListBullet"/>
        <w:spacing w:after="60"/>
      </w:pPr>
      <w:r>
        <w:t>Use plain language and support regional context, currency display, crop names, and local date/time formatting.</w:t>
      </w:r>
    </w:p>
    <w:p>
      <w:pPr>
        <w:pStyle w:val="ListBullet"/>
        <w:spacing w:after="60"/>
      </w:pPr>
      <w:r>
        <w:t>For screen readers, expose score meaning, certificate status, and transaction outcomes as readable text, not only visual badges.</w:t>
      </w:r>
    </w:p>
    <w:p>
      <w:pPr>
        <w:pStyle w:val="Heading1"/>
      </w:pPr>
      <w:r>
        <w:t>14. Frontend implementation checklist</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Priority</w:t>
            </w:r>
          </w:p>
        </w:tc>
        <w:tc>
          <w:tcPr>
            <w:tcW w:type="dxa" w:w="3168"/>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Work item</w:t>
            </w:r>
          </w:p>
        </w:tc>
        <w:tc>
          <w:tcPr>
            <w:tcW w:type="dxa" w:w="4968"/>
            <w:vAlign w:val="center"/>
            <w:shd w:fill="2F7D32"/>
            <w:tcBorders>
              <w:top w:val="single" w:sz="6" w:space="0" w:color="2F7D32"/>
              <w:left w:val="single" w:sz="6" w:space="0" w:color="2F7D32"/>
              <w:bottom w:val="single" w:sz="6" w:space="0" w:color="2F7D32"/>
              <w:right w:val="single" w:sz="6" w:space="0" w:color="2F7D32"/>
              <w:insideH w:val="single" w:sz="6" w:space="0" w:color="2F7D32"/>
              <w:insideV w:val="single" w:sz="6" w:space="0" w:color="2F7D32"/>
            </w:tcBorders>
          </w:tcPr>
          <w:p>
            <w:r/>
            <w:r>
              <w:rPr>
                <w:b/>
                <w:color w:val="FFFFFF"/>
                <w:sz w:val="18"/>
              </w:rPr>
              <w:t>Acceptance condition</w:t>
            </w:r>
          </w:p>
        </w:tc>
      </w:tr>
      <w:tr>
        <w:tc>
          <w:tcPr>
            <w:tcW w:type="dxa" w:w="100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P0</w:t>
            </w:r>
          </w:p>
        </w:tc>
        <w:tc>
          <w:tcPr>
            <w:tcW w:type="dxa" w:w="31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Build design tokens and typography</w:t>
            </w:r>
          </w:p>
        </w:tc>
        <w:tc>
          <w:tcPr>
            <w:tcW w:type="dxa" w:w="49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Colors, type scale, spacing, radii, shadows, focus states, and dark mode are centralized.</w:t>
            </w:r>
          </w:p>
        </w:tc>
      </w:tr>
      <w:tr>
        <w:tc>
          <w:tcPr>
            <w:tcW w:type="dxa" w:w="100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P0</w:t>
            </w:r>
          </w:p>
        </w:tc>
        <w:tc>
          <w:tcPr>
            <w:tcW w:type="dxa" w:w="316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Implement farmer dashboard shell</w:t>
            </w:r>
          </w:p>
        </w:tc>
        <w:tc>
          <w:tcPr>
            <w:tcW w:type="dxa" w:w="496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Dashboard answers status, evidence, and next action without wallet-first language.</w:t>
            </w:r>
          </w:p>
        </w:tc>
      </w:tr>
      <w:tr>
        <w:tc>
          <w:tcPr>
            <w:tcW w:type="dxa" w:w="100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P0</w:t>
            </w:r>
          </w:p>
        </w:tc>
        <w:tc>
          <w:tcPr>
            <w:tcW w:type="dxa" w:w="31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Implement farmer onboarding</w:t>
            </w:r>
          </w:p>
        </w:tc>
        <w:tc>
          <w:tcPr>
            <w:tcW w:type="dxa" w:w="49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Google/phone/USSD paths are distinct from lender Freighter + KYC onboarding.</w:t>
            </w:r>
          </w:p>
        </w:tc>
      </w:tr>
      <w:tr>
        <w:tc>
          <w:tcPr>
            <w:tcW w:type="dxa" w:w="100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P0</w:t>
            </w:r>
          </w:p>
        </w:tc>
        <w:tc>
          <w:tcPr>
            <w:tcW w:type="dxa" w:w="316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Implement Mint VYC stepper</w:t>
            </w:r>
          </w:p>
        </w:tc>
        <w:tc>
          <w:tcPr>
            <w:tcW w:type="dxa" w:w="496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Evidence, score explanation, preview, pending, success, and transaction reference are clear.</w:t>
            </w:r>
          </w:p>
        </w:tc>
      </w:tr>
      <w:tr>
        <w:tc>
          <w:tcPr>
            <w:tcW w:type="dxa" w:w="100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P1</w:t>
            </w:r>
          </w:p>
        </w:tc>
        <w:tc>
          <w:tcPr>
            <w:tcW w:type="dxa" w:w="31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Add hero slideshow</w:t>
            </w:r>
          </w:p>
        </w:tc>
        <w:tc>
          <w:tcPr>
            <w:tcW w:type="dxa" w:w="49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Three approved hero assets crossfade, pause correctly, and load progressively.</w:t>
            </w:r>
          </w:p>
        </w:tc>
      </w:tr>
      <w:tr>
        <w:tc>
          <w:tcPr>
            <w:tcW w:type="dxa" w:w="100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P1</w:t>
            </w:r>
          </w:p>
        </w:tc>
        <w:tc>
          <w:tcPr>
            <w:tcW w:type="dxa" w:w="316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Add 3D illustration library</w:t>
            </w:r>
          </w:p>
        </w:tc>
        <w:tc>
          <w:tcPr>
            <w:tcW w:type="dxa" w:w="496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Assets use responsive sizing, lazy loading, alt text, and transparent compositing.</w:t>
            </w:r>
          </w:p>
        </w:tc>
      </w:tr>
      <w:tr>
        <w:tc>
          <w:tcPr>
            <w:tcW w:type="dxa" w:w="100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P1</w:t>
            </w:r>
          </w:p>
        </w:tc>
        <w:tc>
          <w:tcPr>
            <w:tcW w:type="dxa" w:w="31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Build lender/investor console</w:t>
            </w:r>
          </w:p>
        </w:tc>
        <w:tc>
          <w:tcPr>
            <w:tcW w:type="dxa" w:w="49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Wallet, KYC, VYC discovery, funding, and risk states are separate from farmer UX.</w:t>
            </w:r>
          </w:p>
        </w:tc>
      </w:tr>
      <w:tr>
        <w:tc>
          <w:tcPr>
            <w:tcW w:type="dxa" w:w="100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P1</w:t>
            </w:r>
          </w:p>
        </w:tc>
        <w:tc>
          <w:tcPr>
            <w:tcW w:type="dxa" w:w="316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Build admin console</w:t>
            </w:r>
          </w:p>
        </w:tc>
        <w:tc>
          <w:tcPr>
            <w:tcW w:type="dxa" w:w="4968"/>
            <w:vAlign w:val="center"/>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Review queues, audit trails, certificate registry, and alerts are filterable and permission-aware.</w:t>
            </w:r>
          </w:p>
        </w:tc>
      </w:tr>
      <w:tr>
        <w:tc>
          <w:tcPr>
            <w:tcW w:type="dxa" w:w="100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P2</w:t>
            </w:r>
          </w:p>
        </w:tc>
        <w:tc>
          <w:tcPr>
            <w:tcW w:type="dxa" w:w="31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Performance and accessibility pass</w:t>
            </w:r>
          </w:p>
        </w:tc>
        <w:tc>
          <w:tcPr>
            <w:tcW w:type="dxa" w:w="4968"/>
            <w:vAlign w:val="center"/>
            <w:shd w:fill="F7FBF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val="0"/>
                <w:color w:val="1F2937"/>
                <w:sz w:val="17"/>
              </w:rPr>
              <w:t>Reduced motion, keyboard navigation, skeleton loading, image caching, and responsive QA are complete.</w:t>
            </w:r>
          </w:p>
        </w:tc>
      </w:tr>
    </w:tbl>
    <w:p/>
    <w:p>
      <w:pPr>
        <w:pStyle w:val="Heading1"/>
      </w:pPr>
      <w:r>
        <w:t>15. Final design decision</w:t>
      </w:r>
    </w:p>
    <w:p>
      <w:r>
        <w:t>Proceed with **minimalist information design as the foundation**, **soft claymorphism for the 3D AgriTrust visual language**, **selective glass surfaces for certificate and verification moments**, and a **bento-grid composition for dashboard modules**. This combination fits the project because it is human enough for farmers, structured enough for lenders, and expressive enough to communicate a new trust primitive without turning the interface into a crypto trading terminal.</w:t>
      </w:r>
    </w:p>
    <w:tbl>
      <w:tblPr>
        <w:tblW w:type="auto" w:w="0"/>
        <w:jc w:val="center"/>
        <w:tblLook w:firstColumn="1" w:firstRow="1" w:lastColumn="0" w:lastRow="0" w:noHBand="0" w:noVBand="1" w:val="04A0"/>
      </w:tblPr>
      <w:tblGrid>
        <w:gridCol w:w="10080"/>
      </w:tblGrid>
      <w:tr>
        <w:tc>
          <w:tcPr>
            <w:tcW w:type="dxa" w:w="10080"/>
            <w:shd w:fill="EAF6EA"/>
            <w:tcBorders>
              <w:top w:val="single" w:sz="10" w:space="0" w:color="84E03D"/>
              <w:left w:val="single" w:sz="10" w:space="0" w:color="84E03D"/>
              <w:bottom w:val="single" w:sz="10" w:space="0" w:color="84E03D"/>
              <w:right w:val="single" w:sz="10" w:space="0" w:color="84E03D"/>
              <w:insideH w:val="single" w:sz="10" w:space="0" w:color="84E03D"/>
              <w:insideV w:val="single" w:sz="10" w:space="0" w:color="84E03D"/>
            </w:tcBorders>
          </w:tcPr>
          <w:p>
            <w:r/>
            <w:r>
              <w:rPr>
                <w:b/>
                <w:color w:val="2F7D32"/>
                <w:sz w:val="20"/>
              </w:rPr>
              <w:t>What to avoid</w:t>
              <w:br/>
            </w:r>
            <w:r>
              <w:rPr>
                <w:color w:val="1F2937"/>
                <w:sz w:val="18"/>
              </w:rPr>
              <w:t>Avoid full-screen glassmorphism, heavy neomorphism, excessive lime glow, animated financial figures, dark crypto-terminal styling for farmer views, and any design that makes farmers manage wallet infrastructure directly.</w:t>
            </w:r>
          </w:p>
        </w:tc>
      </w:tr>
    </w:tbl>
    <w:p/>
    <w:p>
      <w:pPr>
        <w:pStyle w:val="Heading1"/>
      </w:pPr>
      <w:r>
        <w:t>References</w:t>
      </w:r>
    </w:p>
    <w:p>
      <w:r>
        <w:t>[1] AgriTrust Project README — project overview, product features, architecture, frontend stack, and Stellar/Soroban context.</w:t>
      </w:r>
    </w:p>
    <w:p>
      <w:r>
        <w:t>[2] AgriTrust Project PRD — product narrative, trust loop, target users, business model, and roadmap.</w:t>
      </w:r>
    </w:p>
    <w:p>
      <w:r>
        <w:t>[3] AgriTrust Onboarding &amp; Identity Decision — farmer versus lender onboarding, custodial wallet direction, KYC boundary, data placement, and route specification.</w:t>
      </w:r>
    </w:p>
    <w:p>
      <w:r>
        <w:t>Source files used: `README.md`, `PRD.md`, and `agrit-onboarding-todo.md`.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AgriTrust • Pages Design Direction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4532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A8C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53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