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tpivxuvkw0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RAG Fundamental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="240" w:lineRule="auto"/>
        <w:jc w:val="center"/>
        <w:rPr>
          <w:rFonts w:ascii="Google Sans" w:cs="Google Sans" w:eastAsia="Google Sans" w:hAnsi="Google Sans"/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4e79"/>
          <w:sz w:val="44"/>
          <w:szCs w:val="44"/>
          <w:rtl w:val="0"/>
        </w:rPr>
        <w:t xml:space="preserve">RAG Fundamentals</w:t>
      </w:r>
    </w:p>
    <w:p w:rsidR="00000000" w:rsidDel="00000000" w:rsidP="00000000" w:rsidRDefault="00000000" w:rsidRPr="00000000" w14:paraId="00000003">
      <w:pPr>
        <w:spacing w:after="200" w:before="200" w:line="24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color w:val="444444"/>
          <w:sz w:val="28"/>
          <w:szCs w:val="28"/>
          <w:rtl w:val="0"/>
        </w:rPr>
        <w:t xml:space="preserve">Student Research Topic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1"/>
          <w:iCs w:val="1"/>
          <w:rtl w:val="0"/>
        </w:rPr>
        <w:t xml:space="preserve">Prepared for: ITE / AX Specialize Program — Mastering Local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="240" w:lineRule="auto"/>
        <w:jc w:val="center"/>
        <w:rPr>
          <w:rFonts w:ascii="Google Sans Medium" w:cs="Google Sans Medium" w:eastAsia="Google Sans Medium" w:hAnsi="Google Sans Medium"/>
          <w:i w:val="1"/>
          <w:iCs w:val="1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1"/>
          <w:iCs w:val="1"/>
          <w:rtl w:val="0"/>
        </w:rPr>
        <w:t xml:space="preserve">KSGA — Korea Software HRD Center (KSHRD)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Google Sans SemiBold" w:cs="Google Sans SemiBold" w:eastAsia="Google Sans SemiBold" w:hAnsi="Google Sans SemiBold"/>
          <w:color w:val="1f4e79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This guide breaks down two research modules — RAG Fundamentals — into student-assignable subtopics. Each subtopic includes an estimated research time (reading plus light hands-on practice, not a full build). Estimates assume a student with basic Python background researching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240" w:lineRule="auto"/>
        <w:rPr>
          <w:rFonts w:ascii="Google Sans SemiBold" w:cs="Google Sans SemiBold" w:eastAsia="Google Sans SemiBold" w:hAnsi="Google Sans SemiBold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00" w:line="240" w:lineRule="auto"/>
        <w:rPr>
          <w:rFonts w:ascii="Google Sans" w:cs="Google Sans" w:eastAsia="Google Sans" w:hAnsi="Google Sans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4e79"/>
          <w:sz w:val="32"/>
          <w:szCs w:val="32"/>
          <w:rtl w:val="0"/>
        </w:rPr>
        <w:t xml:space="preserve">Module 1: RAG Fundamentals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100" w:before="240" w:line="240" w:lineRule="auto"/>
        <w:rPr>
          <w:rFonts w:ascii="Google Sans Medium" w:cs="Google Sans Medium" w:eastAsia="Google Sans Medium" w:hAnsi="Google Sans Medium"/>
          <w:color w:val="333333"/>
          <w:sz w:val="26"/>
          <w:szCs w:val="26"/>
        </w:rPr>
      </w:pPr>
      <w:r w:rsidDel="00000000" w:rsidR="00000000" w:rsidRPr="00000000">
        <w:rPr>
          <w:rFonts w:ascii="Google Sans Medium" w:cs="Google Sans Medium" w:eastAsia="Google Sans Medium" w:hAnsi="Google Sans Medium"/>
          <w:color w:val="333333"/>
          <w:sz w:val="26"/>
          <w:szCs w:val="26"/>
          <w:rtl w:val="0"/>
        </w:rPr>
        <w:t xml:space="preserve">1. RAG Architecture Overview  </w:t>
      </w:r>
      <w:r w:rsidDel="00000000" w:rsidR="00000000" w:rsidRPr="00000000">
        <w:rPr>
          <w:rFonts w:ascii="Google Sans Medium" w:cs="Google Sans Medium" w:eastAsia="Google Sans Medium" w:hAnsi="Google Sans Medium"/>
          <w:i w:val="1"/>
          <w:iCs w:val="1"/>
          <w:color w:val="1f4e79"/>
          <w:sz w:val="22"/>
          <w:szCs w:val="22"/>
          <w:rtl w:val="0"/>
        </w:rPr>
        <w:t xml:space="preserve">— Total: ~2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RAG is and why it exists (limitations of pure LLM knowledge: staleness, hallucination, no private data)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The RAG pipeline at a glance: ingestion → indexing → retrieval → augmentation → generation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highlight w:val="yellow"/>
          <w:rtl w:val="0"/>
        </w:rPr>
        <w:t xml:space="preserve">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RAG vs fine-tuning vs long-context prompting — when to use which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highlight w:val="yellow"/>
          <w:rtl w:val="0"/>
        </w:rPr>
        <w:t xml:space="preserve">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Key components: document store, embedding model, vector index, retriever, LLM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highlight w:val="yellow"/>
          <w:rtl w:val="0"/>
        </w:rPr>
        <w:t xml:space="preserve">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Naive RAG vs advanced RAG (brief preview)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100" w:before="240" w:line="240" w:lineRule="auto"/>
        <w:rPr>
          <w:rFonts w:ascii="Google Sans Medium" w:cs="Google Sans Medium" w:eastAsia="Google Sans Medium" w:hAnsi="Google Sans Medium"/>
          <w:color w:val="333333"/>
          <w:sz w:val="26"/>
          <w:szCs w:val="26"/>
        </w:rPr>
      </w:pPr>
      <w:r w:rsidDel="00000000" w:rsidR="00000000" w:rsidRPr="00000000">
        <w:rPr>
          <w:rFonts w:ascii="Google Sans Medium" w:cs="Google Sans Medium" w:eastAsia="Google Sans Medium" w:hAnsi="Google Sans Medium"/>
          <w:color w:val="333333"/>
          <w:sz w:val="26"/>
          <w:szCs w:val="26"/>
          <w:rtl w:val="0"/>
        </w:rPr>
        <w:t xml:space="preserve">2. Ingestion, Chunking, Embeddings, Retrieval, Generation  </w:t>
      </w:r>
      <w:r w:rsidDel="00000000" w:rsidR="00000000" w:rsidRPr="00000000">
        <w:rPr>
          <w:rFonts w:ascii="Google Sans Medium" w:cs="Google Sans Medium" w:eastAsia="Google Sans Medium" w:hAnsi="Google Sans Medium"/>
          <w:i w:val="1"/>
          <w:iCs w:val="1"/>
          <w:color w:val="1f4e79"/>
          <w:sz w:val="22"/>
          <w:szCs w:val="22"/>
          <w:rtl w:val="0"/>
        </w:rPr>
        <w:t xml:space="preserve">— Total: ~2.5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Document ingestion: loading PDFs, HTML, Markdown, DOCX, structured data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Metadata extraction and preservation (source, page number, section headers)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highlight w:val="yellow"/>
          <w:rtl w:val="0"/>
        </w:rPr>
        <w:t xml:space="preserve">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What an embedding is (vector representation of meaning)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highlight w:val="yellow"/>
          <w:rtl w:val="0"/>
        </w:rPr>
        <w:t xml:space="preserve">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How retrieval works: similarity search (cosine similarity, dot product, Euclidean distance)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highlight w:val="yellow"/>
          <w:rtl w:val="0"/>
        </w:rPr>
        <w:t xml:space="preserve">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Top-k retrieval and similarity thresholds  (20 min)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How retrieved context gets injected into the prompt (augmentation step)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highlight w:val="yellow"/>
          <w:rtl w:val="0"/>
        </w:rPr>
        <w:t xml:space="preserve">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100" w:before="240" w:line="240" w:lineRule="auto"/>
        <w:rPr>
          <w:rFonts w:ascii="Google Sans Medium" w:cs="Google Sans Medium" w:eastAsia="Google Sans Medium" w:hAnsi="Google Sans Medium"/>
          <w:color w:val="333333"/>
          <w:sz w:val="26"/>
          <w:szCs w:val="26"/>
        </w:rPr>
      </w:pPr>
      <w:r w:rsidDel="00000000" w:rsidR="00000000" w:rsidRPr="00000000">
        <w:rPr>
          <w:rFonts w:ascii="Google Sans Medium" w:cs="Google Sans Medium" w:eastAsia="Google Sans Medium" w:hAnsi="Google Sans Medium"/>
          <w:color w:val="333333"/>
          <w:sz w:val="26"/>
          <w:szCs w:val="26"/>
          <w:rtl w:val="0"/>
        </w:rPr>
        <w:t xml:space="preserve">3. Text Splitting Strategies; Local Embedding Models  </w:t>
      </w:r>
      <w:r w:rsidDel="00000000" w:rsidR="00000000" w:rsidRPr="00000000">
        <w:rPr>
          <w:rFonts w:ascii="Google Sans Medium" w:cs="Google Sans Medium" w:eastAsia="Google Sans Medium" w:hAnsi="Google Sans Medium"/>
          <w:i w:val="1"/>
          <w:iCs w:val="1"/>
          <w:color w:val="1f4e79"/>
          <w:sz w:val="22"/>
          <w:szCs w:val="22"/>
          <w:rtl w:val="0"/>
        </w:rPr>
        <w:t xml:space="preserve">— Total: ~3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Why chunk size matters (context window limits, retrieval precision vs recall)  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Fixed-size chunking vs recursive character splitting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Semantic chunking (splitting by meaning/topic boundaries)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Sentence-based and paragraph-based splitting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Chunk overlap — what it is and why it helps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highlight w:val="yellow"/>
          <w:rtl w:val="0"/>
        </w:rPr>
        <w:t xml:space="preserve">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Document-structure-aware splitting (headers, tables, code blocks)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highlight w:val="yellow"/>
          <w:rtl w:val="0"/>
        </w:rPr>
        <w:t xml:space="preserve">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Local embedding model options: sentence-transformers, BGE, Nomic Embed, E5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(40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Embedding dimensionality and model size trade-offs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highlight w:val="yellow"/>
          <w:rtl w:val="0"/>
        </w:rPr>
        <w:t xml:space="preserve">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Running embeddings locally vs via API (cost, privacy, latency trade-offs)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highlight w:val="yellow"/>
          <w:rtl w:val="0"/>
        </w:rPr>
        <w:t xml:space="preserve">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100" w:before="240" w:line="240" w:lineRule="auto"/>
        <w:rPr>
          <w:rFonts w:ascii="Google Sans Medium" w:cs="Google Sans Medium" w:eastAsia="Google Sans Medium" w:hAnsi="Google Sans Medium"/>
          <w:color w:val="333333"/>
          <w:sz w:val="26"/>
          <w:szCs w:val="26"/>
        </w:rPr>
      </w:pPr>
      <w:r w:rsidDel="00000000" w:rsidR="00000000" w:rsidRPr="00000000">
        <w:rPr>
          <w:rFonts w:ascii="Google Sans Medium" w:cs="Google Sans Medium" w:eastAsia="Google Sans Medium" w:hAnsi="Google Sans Medium"/>
          <w:color w:val="333333"/>
          <w:sz w:val="26"/>
          <w:szCs w:val="26"/>
          <w:rtl w:val="0"/>
        </w:rPr>
        <w:t xml:space="preserve">4. Vector Database Setup (ChromaDB, Qdrant, Pgvector)  </w:t>
      </w:r>
      <w:r w:rsidDel="00000000" w:rsidR="00000000" w:rsidRPr="00000000">
        <w:rPr>
          <w:rFonts w:ascii="Google Sans Medium" w:cs="Google Sans Medium" w:eastAsia="Google Sans Medium" w:hAnsi="Google Sans Medium"/>
          <w:i w:val="1"/>
          <w:iCs w:val="1"/>
          <w:color w:val="1f4e79"/>
          <w:sz w:val="22"/>
          <w:szCs w:val="22"/>
          <w:rtl w:val="0"/>
        </w:rPr>
        <w:t xml:space="preserve">— Total: ~3.5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What a vector database does differently from a traditional database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highlight w:val="yellow"/>
          <w:rtl w:val="0"/>
        </w:rPr>
        <w:t xml:space="preserve">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Indexing algorithms: HNSW (conceptual overview)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ChromaDB: setup, collections, basic CRUD operations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(45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Qdrant: setup, collections, filtering with payloads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(45 min)For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Pgvector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adding vector search to an existing PostgreSQL database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(45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Choosing a vector DB: embedded/local vs client-server vs managed cloud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highlight w:val="yellow"/>
          <w:rtl w:val="0"/>
        </w:rPr>
        <w:t xml:space="preserve">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100" w:before="240" w:line="240" w:lineRule="auto"/>
        <w:rPr>
          <w:rFonts w:ascii="Google Sans Medium" w:cs="Google Sans Medium" w:eastAsia="Google Sans Medium" w:hAnsi="Google Sans Medium"/>
          <w:color w:val="333333"/>
          <w:sz w:val="26"/>
          <w:szCs w:val="26"/>
        </w:rPr>
      </w:pPr>
      <w:r w:rsidDel="00000000" w:rsidR="00000000" w:rsidRPr="00000000">
        <w:rPr>
          <w:rFonts w:ascii="Google Sans Medium" w:cs="Google Sans Medium" w:eastAsia="Google Sans Medium" w:hAnsi="Google Sans Medium"/>
          <w:color w:val="333333"/>
          <w:sz w:val="26"/>
          <w:szCs w:val="26"/>
          <w:rtl w:val="0"/>
        </w:rPr>
        <w:t xml:space="preserve">5. Baseline "Chat with Documents" Application  </w:t>
      </w:r>
      <w:r w:rsidDel="00000000" w:rsidR="00000000" w:rsidRPr="00000000">
        <w:rPr>
          <w:rFonts w:ascii="Google Sans Medium" w:cs="Google Sans Medium" w:eastAsia="Google Sans Medium" w:hAnsi="Google Sans Medium"/>
          <w:i w:val="1"/>
          <w:iCs w:val="1"/>
          <w:color w:val="1f4e79"/>
          <w:sz w:val="22"/>
          <w:szCs w:val="22"/>
          <w:rtl w:val="0"/>
        </w:rPr>
        <w:t xml:space="preserve">— Total: ~4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End-to-end architecture of a minimal RAG app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Loading and indexing a document set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(45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Building the retrieval + prompt-augmentation loop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(1 hr)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Connecting to an LLM (local or API) for generation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(45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Simple UI optional (CLI, Streamlit, or basic web frontend)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(45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Testing the app with sample questions and evaluating basic quality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rtl w:val="0"/>
        </w:rPr>
        <w:t xml:space="preserve">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SemiBold" w:cs="Google Sans SemiBold" w:eastAsia="Google Sans SemiBold" w:hAnsi="Google Sans SemiBold"/>
          <w:color w:val="1f4e79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il283y4jg6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Advanced RAG &amp;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200" w:line="240" w:lineRule="auto"/>
        <w:jc w:val="center"/>
        <w:rPr>
          <w:rFonts w:ascii="Google Sans" w:cs="Google Sans" w:eastAsia="Google Sans" w:hAnsi="Google Sans"/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4e79"/>
          <w:sz w:val="44"/>
          <w:szCs w:val="44"/>
          <w:rtl w:val="0"/>
        </w:rPr>
        <w:t xml:space="preserve">Advanced RAG &amp; Evaluation</w:t>
      </w:r>
    </w:p>
    <w:p w:rsidR="00000000" w:rsidDel="00000000" w:rsidP="00000000" w:rsidRDefault="00000000" w:rsidRPr="00000000" w14:paraId="00000031">
      <w:pPr>
        <w:spacing w:after="200" w:before="200" w:line="24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color w:val="444444"/>
          <w:sz w:val="28"/>
          <w:szCs w:val="28"/>
          <w:rtl w:val="0"/>
        </w:rPr>
        <w:t xml:space="preserve">Student Research Topic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="240" w:lineRule="auto"/>
        <w:jc w:val="center"/>
        <w:rPr>
          <w:rFonts w:ascii="Google Sans Medium" w:cs="Google Sans Medium" w:eastAsia="Google Sans Medium" w:hAnsi="Google Sans Medium"/>
        </w:rPr>
      </w:pPr>
      <w:r w:rsidDel="00000000" w:rsidR="00000000" w:rsidRPr="00000000">
        <w:rPr>
          <w:rFonts w:ascii="Google Sans Medium" w:cs="Google Sans Medium" w:eastAsia="Google Sans Medium" w:hAnsi="Google Sans Medium"/>
          <w:i w:val="1"/>
          <w:iCs w:val="1"/>
          <w:rtl w:val="0"/>
        </w:rPr>
        <w:t xml:space="preserve">Prepared for: ITE / AX Specialize Program — Mastering Local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0" w:line="240" w:lineRule="auto"/>
        <w:jc w:val="center"/>
        <w:rPr/>
      </w:pPr>
      <w:r w:rsidDel="00000000" w:rsidR="00000000" w:rsidRPr="00000000">
        <w:rPr>
          <w:rFonts w:ascii="Google Sans Medium" w:cs="Google Sans Medium" w:eastAsia="Google Sans Medium" w:hAnsi="Google Sans Medium"/>
          <w:i w:val="1"/>
          <w:iCs w:val="1"/>
          <w:rtl w:val="0"/>
        </w:rPr>
        <w:t xml:space="preserve">KSGA — Korea Software HRD Center (KSHRD)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Google Sans" w:cs="Google Sans" w:eastAsia="Google Sans" w:hAnsi="Google Sans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This guide breaks down two research modules — Advanced RAG &amp; Evaluation — into student-assignable subtopics. Each subtopic includes an estimated research time (reading plus light hands-on practice, not a full build). Estimates assume a student with basic Python background researching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200" w:line="240" w:lineRule="auto"/>
        <w:rPr>
          <w:rFonts w:ascii="Google Sans" w:cs="Google Sans" w:eastAsia="Google Sans" w:hAnsi="Google Sans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4e79"/>
          <w:sz w:val="32"/>
          <w:szCs w:val="32"/>
          <w:rtl w:val="0"/>
        </w:rPr>
        <w:t xml:space="preserve">Module 2: Advanced RAG Architecture and Evaluation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100" w:before="240" w:line="240" w:lineRule="auto"/>
        <w:rPr>
          <w:rFonts w:ascii="Google Sans SemiBold" w:cs="Google Sans SemiBold" w:eastAsia="Google Sans SemiBold" w:hAnsi="Google Sans SemiBold"/>
          <w:color w:val="333333"/>
          <w:sz w:val="26"/>
          <w:szCs w:val="26"/>
          <w:highlight w:val="yellow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333333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Google Sans SemiBold" w:cs="Google Sans SemiBold" w:eastAsia="Google Sans SemiBold" w:hAnsi="Google Sans SemiBold"/>
          <w:color w:val="333333"/>
          <w:sz w:val="26"/>
          <w:szCs w:val="26"/>
          <w:highlight w:val="yellow"/>
          <w:rtl w:val="0"/>
        </w:rPr>
        <w:t xml:space="preserve"> Hybrid Retrieval: Keyword + Vector Search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Limitations of pure dense (vector) search: misses exact terms, IDs, acronyms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Limitations of pure keyword search (BM25): misses semantic meaning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BM25 fundamentals (term frequency, inverse document frequency)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Combining scores: Reciprocal Rank Fusion (RRF) 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Weighted score fusion vs rank fusion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Tools/libraries: Elasticsearch, OpenSearch, Qdrant/Weaviate hybrid modes 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100" w:before="240" w:line="240" w:lineRule="auto"/>
        <w:rPr>
          <w:rFonts w:ascii="Google Sans SemiBold" w:cs="Google Sans SemiBold" w:eastAsia="Google Sans SemiBold" w:hAnsi="Google Sans SemiBold"/>
          <w:color w:val="333333"/>
          <w:sz w:val="26"/>
          <w:szCs w:val="26"/>
          <w:highlight w:val="yellow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333333"/>
          <w:sz w:val="26"/>
          <w:szCs w:val="26"/>
          <w:highlight w:val="yellow"/>
          <w:rtl w:val="0"/>
        </w:rPr>
        <w:t xml:space="preserve">2. Graph RAG 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Limitations of chunk-based retrieval for multi-hop or relational questions 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Building a knowledge graph from documents (entities + relationships)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Graph construction: entity extraction, relationship extraction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Community detection and summarization (e.g., Microsoft GraphRAG approach)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Querying: local search (entity-focused) vs global search (theme-focused) 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Graph databases: Neo4j basics 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100" w:before="240" w:line="240" w:lineRule="auto"/>
        <w:rPr>
          <w:rFonts w:ascii="Google Sans SemiBold" w:cs="Google Sans SemiBold" w:eastAsia="Google Sans SemiBold" w:hAnsi="Google Sans SemiBold"/>
          <w:color w:val="333333"/>
          <w:sz w:val="26"/>
          <w:szCs w:val="26"/>
          <w:highlight w:val="yellow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333333"/>
          <w:sz w:val="26"/>
          <w:szCs w:val="26"/>
          <w:highlight w:val="yellow"/>
          <w:rtl w:val="0"/>
        </w:rPr>
        <w:t xml:space="preserve">3. Agentic RAG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What makes RAG "agentic" — reasoning and tool use vs single-pass retrieval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Query planning and decomposition (breaking complex questions into sub-queries)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Iterative/multi-step retrieval (retrieve → evaluate → retrieve again)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Self-reflective RAG (the model critiques its own retrieved context) 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Tool-calling agents that choose between retrieval, search, or calculation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Frameworks: LangGraph, LlamaIndex agents (conceptual overview) 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100" w:before="240" w:line="240" w:lineRule="auto"/>
        <w:rPr>
          <w:rFonts w:ascii="Google Sans SemiBold" w:cs="Google Sans SemiBold" w:eastAsia="Google Sans SemiBold" w:hAnsi="Google Sans SemiBold"/>
          <w:color w:val="333333"/>
          <w:sz w:val="26"/>
          <w:szCs w:val="26"/>
          <w:highlight w:val="yellow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333333"/>
          <w:sz w:val="26"/>
          <w:szCs w:val="26"/>
          <w:highlight w:val="yellow"/>
          <w:rtl w:val="0"/>
        </w:rPr>
        <w:t xml:space="preserve">4. Reranking with Cross-Encoders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Bi-encoders (embedding models) vs cross-encoders — architectural difference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Why rerankers improve precision after initial retrieval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Two-stage retrieval pipeline: retrieve broad (top-50) → rerank to top-5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Popular rerankers: Cohere Rerank, BGE-reranker, cross-encoder/ms-marco models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Latency/cost trade-offs of reranking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100" w:before="240" w:line="240" w:lineRule="auto"/>
        <w:rPr>
          <w:rFonts w:ascii="Google Sans SemiBold" w:cs="Google Sans SemiBold" w:eastAsia="Google Sans SemiBold" w:hAnsi="Google Sans SemiBold"/>
          <w:color w:val="333333"/>
          <w:sz w:val="26"/>
          <w:szCs w:val="26"/>
          <w:highlight w:val="yellow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333333"/>
          <w:sz w:val="26"/>
          <w:szCs w:val="26"/>
          <w:highlight w:val="yellow"/>
          <w:rtl w:val="0"/>
        </w:rPr>
        <w:t xml:space="preserve">5. Context Management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Context window budgeting across multiple retrieved chunks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Ordering/placement effects ("lost in the middle" phenomenon)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Deduplication of overlapping or redundant chunks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Summarization of retrieved content before generation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highlight w:val="yellow"/>
          <w:rtl w:val="0"/>
        </w:rPr>
        <w:t xml:space="preserve">Multi-document and long-context strategies 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100" w:before="240" w:line="240" w:lineRule="auto"/>
        <w:rPr>
          <w:rFonts w:ascii="Google Sans SemiBold" w:cs="Google Sans SemiBold" w:eastAsia="Google Sans SemiBold" w:hAnsi="Google Sans SemiBold"/>
          <w:color w:val="333333"/>
          <w:sz w:val="26"/>
          <w:szCs w:val="26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333333"/>
          <w:sz w:val="26"/>
          <w:szCs w:val="26"/>
          <w:rtl w:val="0"/>
        </w:rPr>
        <w:t xml:space="preserve">6. Prompt Compression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Why compress prompts (cost, latency, context limits)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Extractive compression (keeping only key sentences)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Abstractive compression (LLM-generated summaries of context)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Tools: LLMLingua and similar approaches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Trade-offs: compression ratio vs information loss  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100" w:before="240" w:line="240" w:lineRule="auto"/>
        <w:rPr>
          <w:rFonts w:ascii="Google Sans SemiBold" w:cs="Google Sans SemiBold" w:eastAsia="Google Sans SemiBold" w:hAnsi="Google Sans SemiBold"/>
          <w:color w:val="333333"/>
          <w:sz w:val="26"/>
          <w:szCs w:val="26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333333"/>
          <w:sz w:val="26"/>
          <w:szCs w:val="26"/>
          <w:rtl w:val="0"/>
        </w:rPr>
        <w:t xml:space="preserve">7. Debugging Common RAG Failure Modes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Hallucination despite retrieval (model ignores or contradicts context) 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Missing context (relevant chunk not retrieved — recall failure) 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Retrieval mismatch (wrong chunk retrieved due to embedding/query mismatch) 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Chunking failures (context split across chunk boundaries) 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Query ambiguity and query rewriting/expansion as a fix 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Building a debugging checklist / root-cause framework  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100" w:before="240" w:line="240" w:lineRule="auto"/>
        <w:rPr>
          <w:rFonts w:ascii="Google Sans SemiBold" w:cs="Google Sans SemiBold" w:eastAsia="Google Sans SemiBold" w:hAnsi="Google Sans SemiBold"/>
          <w:color w:val="333333"/>
          <w:sz w:val="26"/>
          <w:szCs w:val="26"/>
        </w:rPr>
      </w:pPr>
      <w:bookmarkStart w:colFirst="0" w:colLast="0" w:name="_et77knxd01gw" w:id="2"/>
      <w:bookmarkEnd w:id="2"/>
      <w:r w:rsidDel="00000000" w:rsidR="00000000" w:rsidRPr="00000000">
        <w:rPr>
          <w:rFonts w:ascii="Google Sans SemiBold" w:cs="Google Sans SemiBold" w:eastAsia="Google Sans SemiBold" w:hAnsi="Google Sans SemiBold"/>
          <w:color w:val="333333"/>
          <w:sz w:val="26"/>
          <w:szCs w:val="26"/>
          <w:rtl w:val="0"/>
        </w:rPr>
        <w:t xml:space="preserve">8. Guardrails for RAG Systems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Input guardrails: query filtering, prompt injection detection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Output guardrails: fact-checking generated answers against retrieved context 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Citation/attribution enforcement (forcing answers to cite sources)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Refusal handling when no relevant context is found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Tools: Guardrails AI, NeMo Guardrails (conceptual overview)  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100" w:before="240" w:line="240" w:lineRule="auto"/>
        <w:rPr>
          <w:rFonts w:ascii="Google Sans SemiBold" w:cs="Google Sans SemiBold" w:eastAsia="Google Sans SemiBold" w:hAnsi="Google Sans SemiBold"/>
          <w:color w:val="333333"/>
          <w:sz w:val="26"/>
          <w:szCs w:val="26"/>
        </w:rPr>
      </w:pPr>
      <w:bookmarkStart w:colFirst="0" w:colLast="0" w:name="_bokmkqst3482" w:id="3"/>
      <w:bookmarkEnd w:id="3"/>
      <w:r w:rsidDel="00000000" w:rsidR="00000000" w:rsidRPr="00000000">
        <w:rPr>
          <w:rFonts w:ascii="Google Sans SemiBold" w:cs="Google Sans SemiBold" w:eastAsia="Google Sans SemiBold" w:hAnsi="Google Sans SemiBold"/>
          <w:color w:val="333333"/>
          <w:sz w:val="26"/>
          <w:szCs w:val="26"/>
          <w:rtl w:val="0"/>
        </w:rPr>
        <w:t xml:space="preserve">9. RAG Evaluation 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Retrieval metrics: precision@k, recall@k, MRR (Mean Reciprocal Rank)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Generation metrics: faithfulness/groundedness, answer relevance 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Frameworks: RAGAS, TruLens, DeepEval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Building a golden dataset (Q&amp;A pairs with known correct answers/sources)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Human evaluation vs LLM-as-judge evaluation 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80" w:line="240" w:lineRule="auto"/>
        <w:ind w:left="540" w:hanging="27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End-to-end pipeline evaluation vs component-level evaluation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oogle Sans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540" w:hanging="27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SemiBold-regular.ttf"/><Relationship Id="rId2" Type="http://schemas.openxmlformats.org/officeDocument/2006/relationships/font" Target="fonts/GoogleSansSemiBold-bold.ttf"/><Relationship Id="rId3" Type="http://schemas.openxmlformats.org/officeDocument/2006/relationships/font" Target="fonts/GoogleSansSemiBold-italic.ttf"/><Relationship Id="rId4" Type="http://schemas.openxmlformats.org/officeDocument/2006/relationships/font" Target="fonts/GoogleSansSemiBold-boldItalic.ttf"/><Relationship Id="rId11" Type="http://schemas.openxmlformats.org/officeDocument/2006/relationships/font" Target="fonts/GoogleSansMedium-italic.ttf"/><Relationship Id="rId10" Type="http://schemas.openxmlformats.org/officeDocument/2006/relationships/font" Target="fonts/GoogleSansMedium-bold.ttf"/><Relationship Id="rId12" Type="http://schemas.openxmlformats.org/officeDocument/2006/relationships/font" Target="fonts/GoogleSansMedium-boldItalic.ttf"/><Relationship Id="rId9" Type="http://schemas.openxmlformats.org/officeDocument/2006/relationships/font" Target="fonts/GoogleSansMedium-regular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