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Laiba Mahboob — Knowledge Operationalization Platform (Backend)</w:t>
      </w:r>
    </w:p>
    <w:p>
      <w:pPr>
        <w:pStyle w:val="Heading2"/>
        <w:pStyle w:val="MdHeading2"/>
      </w:pPr>
      <w:r>
        <w:t xml:space="preserve">Day 2 Backend Foundation — Verified Deliverable Report       </w:t>
      </w:r>
      <w:r>
        <w:rPr>
          <w:rStyle w:val="MdStrong"/>
          <w:b/>
          <w:bCs/>
        </w:rPr>
        <w:t xml:space="preserve">Verification date:</w:t>
      </w:r>
      <w:r>
        <w:t xml:space="preserve"> 27 August 2026</w:t>
      </w:r>
      <w:r>
        <w:rPr>
          <w:rStyle w:val="MdStrong"/>
          <w:b/>
          <w:bCs/>
        </w:rPr>
        <w:t xml:space="preserve">Source package:</w:t>
      </w:r>
      <w:r>
        <w:t xml:space="preserve"> </w:t>
      </w:r>
      <w:r>
        <w:rPr>
          <w:rStyle w:val="MdCode"/>
          <w:u w:val="single"/>
        </w:rPr>
        <w:t xml:space="preserve">internshipwork.zip</w:t>
      </w:r>
    </w:p>
    <w:p>
      <w:pPr>
        <w:pStyle w:val="Heading2"/>
        <w:pStyle w:val="MdHeading2"/>
      </w:pPr>
      <w:r>
        <w:t xml:space="preserve">Executive Summary</w:t>
      </w:r>
    </w:p>
    <w:p>
      <w:pPr>
        <w:pStyle w:val="MdParagraph"/>
      </w:pPr>
      <w:r>
        <w:t xml:space="preserve">The Day 2 backend foundation was successfully prepared and verified. The clean deliverable includes a SQLAlchemy persistence layer, Pydantic API schemas, a service layer, FastAPI ingestion, retrieval, and listing endpoints, SQLite database creation, duplicate-ID protection, missing-object handling, and confidence-score validation.</w:t>
      </w:r>
    </w:p>
    <w:p>
      <w:pPr>
        <w:pStyle w:val="MdSpace"/>
        <w:spacing w:before="0" w:after="60"/>
      </w:pPr>
    </w:p>
    <w:p>
      <w:pPr>
        <w:pStyle w:val="MdParagraph"/>
      </w:pPr>
      <w:r>
        <w:t xml:space="preserve">All checks in the automated integration suite passed. Server startup was also successful. The verification run was intentionally stopped after a short timeout so that the test environment would not retain a background server process. Exit code </w:t>
      </w:r>
      <w:r>
        <w:rPr>
          <w:rStyle w:val="MdCode"/>
          <w:u w:val="single"/>
        </w:rPr>
        <w:t xml:space="preserve">124</w:t>
      </w:r>
      <w:r>
        <w:t xml:space="preserve"> was expected in this controlled test, and the logs confirmed that Uvicorn completed application startup successfully.</w:t>
      </w:r>
    </w:p>
    <w:p>
      <w:pPr>
        <w:pStyle w:val="MdSpace"/>
        <w:spacing w:before="0" w:after="60"/>
      </w:pPr>
    </w:p>
    <w:p>
      <w:pPr>
        <w:pStyle w:val="Heading2"/>
        <w:pStyle w:val="MdHeading2"/>
      </w:pPr>
      <w:r>
        <w:t xml:space="preserve">1. Source Inspection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Mar>
              <w:top w:type="dxa" w:w="100"/>
              <w:left w:type="dxa" w:w="120"/>
              <w:bottom w:type="dxa" w:w="100"/>
              <w:right w:type="dxa" w:w="120"/>
            </w:tcMar>
            <w:vAlign w:val="center"/>
          </w:tcPr>
          <w:p>
            <w:pPr>
              <w:pStyle w:val="MdTableHeader"/>
            </w:pPr>
            <w:r>
              <w:t xml:space="preserve">Observed Evidence</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2 implementation</w:t>
            </w:r>
          </w:p>
        </w:tc>
        <w:tc>
          <w:tcPr>
            <w:tcMar>
              <w:top w:type="dxa" w:w="80"/>
              <w:left w:type="dxa" w:w="120"/>
              <w:bottom w:type="dxa" w:w="80"/>
              <w:right w:type="dxa" w:w="120"/>
            </w:tcMar>
            <w:vAlign w:val="center"/>
          </w:tcPr>
          <w:p>
            <w:pPr>
              <w:pStyle w:val="MdTableCell"/>
            </w:pPr>
            <w:r>
              <w:rPr>
                <w:rStyle w:val="MdCode"/>
                <w:u w:val="single"/>
              </w:rPr>
              <w:t xml:space="preserve">day2_backend_foundation (1) (1).py</w:t>
            </w:r>
          </w:p>
        </w:tc>
        <w:tc>
          <w:tcPr>
            <w:tcBorders>
              <w:right w:val="none"/>
            </w:tcBorders>
            <w:tcMar>
              <w:top w:type="dxa" w:w="80"/>
              <w:left w:type="dxa" w:w="120"/>
              <w:bottom w:type="dxa" w:w="80"/>
              <w:right w:type="dxa" w:w="120"/>
            </w:tcMar>
            <w:vAlign w:val="center"/>
          </w:tcPr>
          <w:p>
            <w:pPr>
              <w:pStyle w:val="MdTableCell"/>
            </w:pPr>
            <w:r>
              <w:t xml:space="preserve">Present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Duplicate implementation</w:t>
            </w:r>
          </w:p>
        </w:tc>
        <w:tc>
          <w:tcPr>
            <w:tcMar>
              <w:top w:type="dxa" w:w="80"/>
              <w:left w:type="dxa" w:w="120"/>
              <w:bottom w:type="dxa" w:w="80"/>
              <w:right w:type="dxa" w:w="120"/>
            </w:tcMar>
            <w:vAlign w:val="center"/>
          </w:tcPr>
          <w:p>
            <w:pPr>
              <w:pStyle w:val="MdTableCell"/>
            </w:pPr>
            <w:r>
              <w:rPr>
                <w:rStyle w:val="MdCode"/>
                <w:u w:val="single"/>
              </w:rPr>
              <w:t xml:space="preserve">day2_backend_foundation (1).py</w:t>
            </w:r>
          </w:p>
        </w:tc>
        <w:tc>
          <w:tcPr>
            <w:tcBorders>
              <w:right w:val="none"/>
            </w:tcBorders>
            <w:tcMar>
              <w:top w:type="dxa" w:w="80"/>
              <w:left w:type="dxa" w:w="120"/>
              <w:bottom w:type="dxa" w:w="80"/>
              <w:right w:type="dxa" w:w="120"/>
            </w:tcMar>
            <w:vAlign w:val="center"/>
          </w:tcPr>
          <w:p>
            <w:pPr>
              <w:pStyle w:val="MdTableCell"/>
            </w:pPr>
            <w:r>
              <w:t xml:space="preserve">Present in the source package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Supplied test file</w:t>
            </w:r>
          </w:p>
        </w:tc>
        <w:tc>
          <w:tcPr>
            <w:tcMar>
              <w:top w:type="dxa" w:w="80"/>
              <w:left w:type="dxa" w:w="120"/>
              <w:bottom w:type="dxa" w:w="80"/>
              <w:right w:type="dxa" w:w="120"/>
            </w:tcMar>
            <w:vAlign w:val="center"/>
          </w:tcPr>
          <w:p>
            <w:pPr>
              <w:pStyle w:val="MdTableCell"/>
            </w:pPr>
            <w:r>
              <w:rPr>
                <w:rStyle w:val="MdCode"/>
                <w:u w:val="single"/>
              </w:rPr>
              <w:t xml:space="preserve">test_day2_backend (1) (1).py</w:t>
            </w:r>
          </w:p>
        </w:tc>
        <w:tc>
          <w:tcPr>
            <w:tcBorders>
              <w:right w:val="none"/>
            </w:tcBorders>
            <w:tcMar>
              <w:top w:type="dxa" w:w="80"/>
              <w:left w:type="dxa" w:w="120"/>
              <w:bottom w:type="dxa" w:w="80"/>
              <w:right w:type="dxa" w:w="120"/>
            </w:tcMar>
            <w:vAlign w:val="center"/>
          </w:tcPr>
          <w:p>
            <w:pPr>
              <w:pStyle w:val="MdTableCell"/>
            </w:pPr>
            <w:r>
              <w:t xml:space="preserve">JSON sample, not an executable Python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 target</w:t>
            </w:r>
          </w:p>
        </w:tc>
        <w:tc>
          <w:tcPr>
            <w:tcMar>
              <w:top w:type="dxa" w:w="80"/>
              <w:left w:type="dxa" w:w="120"/>
              <w:bottom w:type="dxa" w:w="80"/>
              <w:right w:type="dxa" w:w="120"/>
            </w:tcMar>
            <w:vAlign w:val="center"/>
          </w:tcPr>
          <w:p>
            <w:pPr>
              <w:pStyle w:val="MdTableCell"/>
            </w:pPr>
            <w:r>
              <w:rPr>
                <w:rStyle w:val="MdCode"/>
                <w:u w:val="single"/>
              </w:rPr>
              <w:t xml:space="preserve">sqlite:///./antres_knowledge.db</w:t>
            </w:r>
          </w:p>
        </w:tc>
        <w:tc>
          <w:tcPr>
            <w:tcBorders>
              <w:right w:val="none"/>
            </w:tcBorders>
            <w:tcMar>
              <w:top w:type="dxa" w:w="80"/>
              <w:left w:type="dxa" w:w="120"/>
              <w:bottom w:type="dxa" w:w="80"/>
              <w:right w:type="dxa" w:w="120"/>
            </w:tcMar>
            <w:vAlign w:val="center"/>
          </w:tcPr>
          <w:p>
            <w:pPr>
              <w:pStyle w:val="MdTableCell"/>
            </w:pPr>
            <w:r>
              <w:t xml:space="preserve">Implemented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framework</w:t>
            </w:r>
          </w:p>
        </w:tc>
        <w:tc>
          <w:tcPr>
            <w:tcMar>
              <w:top w:type="dxa" w:w="80"/>
              <w:left w:type="dxa" w:w="120"/>
              <w:bottom w:type="dxa" w:w="80"/>
              <w:right w:type="dxa" w:w="120"/>
            </w:tcMar>
            <w:vAlign w:val="center"/>
          </w:tcPr>
          <w:p>
            <w:pPr>
              <w:pStyle w:val="MdTableCell"/>
            </w:pPr>
            <w:r>
              <w:t xml:space="preserve">FastAPI</w:t>
            </w:r>
          </w:p>
        </w:tc>
        <w:tc>
          <w:tcPr>
            <w:tcBorders>
              <w:right w:val="none"/>
            </w:tcBorders>
            <w:tcMar>
              <w:top w:type="dxa" w:w="80"/>
              <w:left w:type="dxa" w:w="120"/>
              <w:bottom w:type="dxa" w:w="80"/>
              <w:right w:type="dxa" w:w="120"/>
            </w:tcMar>
            <w:vAlign w:val="center"/>
          </w:tcPr>
          <w:p>
            <w:pPr>
              <w:pStyle w:val="MdTableCell"/>
            </w:pPr>
            <w:r>
              <w:t xml:space="preserve">Implemented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ORM</w:t>
            </w:r>
          </w:p>
        </w:tc>
        <w:tc>
          <w:tcPr>
            <w:tcMar>
              <w:top w:type="dxa" w:w="80"/>
              <w:left w:type="dxa" w:w="120"/>
              <w:bottom w:type="dxa" w:w="80"/>
              <w:right w:type="dxa" w:w="120"/>
            </w:tcMar>
            <w:vAlign w:val="center"/>
          </w:tcPr>
          <w:p>
            <w:pPr>
              <w:pStyle w:val="MdTableCell"/>
            </w:pPr>
            <w:r>
              <w:t xml:space="preserve">SQLAlchemy</w:t>
            </w:r>
          </w:p>
        </w:tc>
        <w:tc>
          <w:tcPr>
            <w:tcBorders>
              <w:right w:val="none"/>
            </w:tcBorders>
            <w:tcMar>
              <w:top w:type="dxa" w:w="80"/>
              <w:left w:type="dxa" w:w="120"/>
              <w:bottom w:type="dxa" w:w="80"/>
              <w:right w:type="dxa" w:w="120"/>
            </w:tcMar>
            <w:vAlign w:val="center"/>
          </w:tcPr>
          <w:p>
            <w:pPr>
              <w:pStyle w:val="MdTableCell"/>
            </w:pPr>
            <w:r>
              <w:t xml:space="preserve">Implemented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Clean canonical file</w:t>
            </w:r>
          </w:p>
        </w:tc>
        <w:tc>
          <w:tcPr>
            <w:tcMar>
              <w:top w:type="dxa" w:w="80"/>
              <w:left w:type="dxa" w:w="120"/>
              <w:bottom w:type="dxa" w:w="80"/>
              <w:right w:type="dxa" w:w="120"/>
            </w:tcMar>
            <w:vAlign w:val="center"/>
          </w:tcPr>
          <w:p>
            <w:pPr>
              <w:pStyle w:val="MdTableCell"/>
            </w:pPr>
            <w:r>
              <w:rPr>
                <w:rStyle w:val="MdCode"/>
                <w:u w:val="single"/>
              </w:rPr>
              <w:t xml:space="preserve">day2_backend_foundation.py</w:t>
            </w:r>
          </w:p>
        </w:tc>
        <w:tc>
          <w:tcPr>
            <w:tcBorders>
              <w:right w:val="none"/>
            </w:tcBorders>
            <w:tcMar>
              <w:top w:type="dxa" w:w="80"/>
              <w:left w:type="dxa" w:w="120"/>
              <w:bottom w:type="dxa" w:w="80"/>
              <w:right w:type="dxa" w:w="120"/>
            </w:tcMar>
            <w:vAlign w:val="center"/>
          </w:tcPr>
          <w:p>
            <w:pPr>
              <w:pStyle w:val="MdTableCell"/>
            </w:pPr>
            <w:r>
              <w:t xml:space="preserve">Delivered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Clean executable tests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test_day2_backend.py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Delivered</w:t>
            </w:r>
          </w:p>
        </w:tc>
      </w:tr>
    </w:tbl>
    <w:p>
      <w:pPr>
        <w:pStyle w:val="MdParagraph"/>
      </w:pPr>
      <w:r>
        <w:t xml:space="preserve">The supplied test-named file contains a JSON payload rather than executable test code. For this reason, a separate executable integration test suite was created in the clean deliverable. This suite exercises the actual API endpoints.</w:t>
      </w:r>
    </w:p>
    <w:p>
      <w:pPr>
        <w:pStyle w:val="MdSpace"/>
        <w:spacing w:before="0" w:after="60"/>
      </w:pPr>
    </w:p>
    <w:p>
      <w:pPr>
        <w:pStyle w:val="Heading2"/>
        <w:pStyle w:val="MdHeading2"/>
      </w:pPr>
      <w:r>
        <w:t xml:space="preserve">2. Implemented Architecture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Implementation Evidence</w:t>
            </w:r>
          </w:p>
        </w:tc>
        <w:tc>
          <w:tcPr>
            <w:tcBorders>
              <w:right w:val="none"/>
            </w:tcBorders>
            <w:tcMar>
              <w:top w:type="dxa" w:w="100"/>
              <w:left w:type="dxa" w:w="120"/>
              <w:bottom w:type="dxa" w:w="100"/>
              <w:right w:type="dxa" w:w="120"/>
            </w:tcMar>
            <w:vAlign w:val="center"/>
          </w:tcPr>
          <w:p>
            <w:pPr>
              <w:pStyle w:val="MdTableHeader"/>
            </w:pPr>
            <w:r>
              <w:t xml:space="preserve">Verified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Persistence</w:t>
            </w:r>
          </w:p>
        </w:tc>
        <w:tc>
          <w:tcPr>
            <w:tcMar>
              <w:top w:type="dxa" w:w="80"/>
              <w:left w:type="dxa" w:w="120"/>
              <w:bottom w:type="dxa" w:w="80"/>
              <w:right w:type="dxa" w:w="120"/>
            </w:tcMar>
            <w:vAlign w:val="center"/>
          </w:tcPr>
          <w:p>
            <w:pPr>
              <w:pStyle w:val="MdTableCell"/>
            </w:pPr>
            <w:r>
              <w:t xml:space="preserve">SQLAlchemy engine, SQLite URL, declarative base, and </w:t>
            </w:r>
            <w:r>
              <w:rPr>
                <w:rStyle w:val="MdCode"/>
                <w:u w:val="single"/>
              </w:rPr>
              <w:t xml:space="preserve">KnowledgeObjectModel</w:t>
            </w:r>
          </w:p>
        </w:tc>
        <w:tc>
          <w:tcPr>
            <w:tcBorders>
              <w:right w:val="none"/>
            </w:tcBorders>
            <w:tcMar>
              <w:top w:type="dxa" w:w="80"/>
              <w:left w:type="dxa" w:w="120"/>
              <w:bottom w:type="dxa" w:w="80"/>
              <w:right w:type="dxa" w:w="120"/>
            </w:tcMar>
            <w:vAlign w:val="center"/>
          </w:tcPr>
          <w:p>
            <w:pPr>
              <w:pStyle w:val="MdTableCell"/>
            </w:pPr>
            <w:r>
              <w:t xml:space="preserve">The </w:t>
            </w:r>
            <w:r>
              <w:rPr>
                <w:rStyle w:val="MdCode"/>
                <w:u w:val="single"/>
              </w:rPr>
              <w:t xml:space="preserve">knowledge_objects</w:t>
            </w:r>
            <w:r>
              <w:t xml:space="preserve"> table is created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contract</w:t>
            </w:r>
          </w:p>
        </w:tc>
        <w:tc>
          <w:tcPr>
            <w:tcMar>
              <w:top w:type="dxa" w:w="80"/>
              <w:left w:type="dxa" w:w="120"/>
              <w:bottom w:type="dxa" w:w="80"/>
              <w:right w:type="dxa" w:w="120"/>
            </w:tcMar>
            <w:vAlign w:val="center"/>
          </w:tcPr>
          <w:p>
            <w:pPr>
              <w:pStyle w:val="MdTableCell"/>
            </w:pPr>
            <w:r>
              <w:rPr>
                <w:rStyle w:val="MdCode"/>
                <w:u w:val="single"/>
              </w:rPr>
              <w:t xml:space="preserve">KnowledgeSourceSchema</w:t>
            </w:r>
            <w:r>
              <w:t xml:space="preserve">, </w:t>
            </w:r>
            <w:r>
              <w:rPr>
                <w:rStyle w:val="MdCode"/>
                <w:u w:val="single"/>
              </w:rPr>
              <w:t xml:space="preserve">ValidationReferenceSchema</w:t>
            </w:r>
            <w:r>
              <w:t xml:space="preserve">, </w:t>
            </w:r>
            <w:r>
              <w:rPr>
                <w:rStyle w:val="MdCode"/>
                <w:u w:val="single"/>
              </w:rPr>
              <w:t xml:space="preserve">KnowledgeObjectCreate</w:t>
            </w:r>
            <w:r>
              <w:t xml:space="preserve">, and </w:t>
            </w:r>
            <w:r>
              <w:rPr>
                <w:rStyle w:val="MdCode"/>
                <w:u w:val="single"/>
              </w:rPr>
              <w:t xml:space="preserve">KnowledgeObjectResponse</w:t>
            </w:r>
          </w:p>
        </w:tc>
        <w:tc>
          <w:tcPr>
            <w:tcBorders>
              <w:right w:val="none"/>
            </w:tcBorders>
            <w:tcMar>
              <w:top w:type="dxa" w:w="80"/>
              <w:left w:type="dxa" w:w="120"/>
              <w:bottom w:type="dxa" w:w="80"/>
              <w:right w:type="dxa" w:w="120"/>
            </w:tcMar>
            <w:vAlign w:val="center"/>
          </w:tcPr>
          <w:p>
            <w:pPr>
              <w:pStyle w:val="MdTableCell"/>
            </w:pPr>
            <w:r>
              <w:t xml:space="preserve">Nested request and response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 layer</w:t>
            </w:r>
          </w:p>
        </w:tc>
        <w:tc>
          <w:tcPr>
            <w:tcMar>
              <w:top w:type="dxa" w:w="80"/>
              <w:left w:type="dxa" w:w="120"/>
              <w:bottom w:type="dxa" w:w="80"/>
              <w:right w:type="dxa" w:w="120"/>
            </w:tcMar>
            <w:vAlign w:val="center"/>
          </w:tcPr>
          <w:p>
            <w:pPr>
              <w:pStyle w:val="MdTableCell"/>
            </w:pPr>
            <w:r>
              <w:rPr>
                <w:rStyle w:val="MdCode"/>
                <w:u w:val="single"/>
              </w:rPr>
              <w:t xml:space="preserve">KnowledgeService.ingest_knowledge</w:t>
            </w:r>
            <w:r>
              <w:t xml:space="preserve">, </w:t>
            </w:r>
            <w:r>
              <w:rPr>
                <w:rStyle w:val="MdCode"/>
                <w:u w:val="single"/>
              </w:rPr>
              <w:t xml:space="preserve">get_knowledge</w:t>
            </w:r>
            <w:r>
              <w:t xml:space="preserve">, and </w:t>
            </w:r>
            <w:r>
              <w:rPr>
                <w:rStyle w:val="MdCode"/>
                <w:u w:val="single"/>
              </w:rPr>
              <w:t xml:space="preserve">list_knowledge</w:t>
            </w:r>
          </w:p>
        </w:tc>
        <w:tc>
          <w:tcPr>
            <w:tcBorders>
              <w:right w:val="none"/>
            </w:tcBorders>
            <w:tcMar>
              <w:top w:type="dxa" w:w="80"/>
              <w:left w:type="dxa" w:w="120"/>
              <w:bottom w:type="dxa" w:w="80"/>
              <w:right w:type="dxa" w:w="120"/>
            </w:tcMar>
            <w:vAlign w:val="center"/>
          </w:tcPr>
          <w:p>
            <w:pPr>
              <w:pStyle w:val="MdTableCell"/>
            </w:pPr>
            <w:r>
              <w:t xml:space="preserve">Insertion, retrieval, active listing, and duplicate rejection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layer</w:t>
            </w:r>
          </w:p>
        </w:tc>
        <w:tc>
          <w:tcPr>
            <w:tcMar>
              <w:top w:type="dxa" w:w="80"/>
              <w:left w:type="dxa" w:w="120"/>
              <w:bottom w:type="dxa" w:w="80"/>
              <w:right w:type="dxa" w:w="120"/>
            </w:tcMar>
            <w:vAlign w:val="center"/>
          </w:tcPr>
          <w:p>
            <w:pPr>
              <w:pStyle w:val="MdTableCell"/>
            </w:pPr>
            <w:r>
              <w:rPr>
                <w:rStyle w:val="MdCode"/>
                <w:u w:val="single"/>
              </w:rPr>
              <w:t xml:space="preserve">POST /api/v1/knowledge</w:t>
            </w:r>
            <w:r>
              <w:t xml:space="preserve">, </w:t>
            </w:r>
            <w:r>
              <w:rPr>
                <w:rStyle w:val="MdCode"/>
                <w:u w:val="single"/>
              </w:rPr>
              <w:t xml:space="preserve">GET /api/v1/knowledge/{knowledge_id}</w:t>
            </w:r>
            <w:r>
              <w:t xml:space="preserve">, and </w:t>
            </w:r>
            <w:r>
              <w:rPr>
                <w:rStyle w:val="MdCode"/>
                <w:u w:val="single"/>
              </w:rPr>
              <w:t xml:space="preserve">GET /api/v1/knowledge</w:t>
            </w:r>
          </w:p>
        </w:tc>
        <w:tc>
          <w:tcPr>
            <w:tcBorders>
              <w:right w:val="none"/>
            </w:tcBorders>
            <w:tcMar>
              <w:top w:type="dxa" w:w="80"/>
              <w:left w:type="dxa" w:w="120"/>
              <w:bottom w:type="dxa" w:w="80"/>
              <w:right w:type="dxa" w:w="120"/>
            </w:tcMar>
            <w:vAlign w:val="center"/>
          </w:tcPr>
          <w:p>
            <w:pPr>
              <w:pStyle w:val="MdTableCell"/>
            </w:pPr>
            <w:r>
              <w:t xml:space="preserve">Ingestion, single-object retrieval, and collection listing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Serialization</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to_response_dict()</w:t>
            </w:r>
            <w:r>
              <w:t xml:space="preserve"> together with FastAPI response models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Nested source and validation response structure</w:t>
            </w:r>
          </w:p>
        </w:tc>
      </w:tr>
    </w:tbl>
    <w:p>
      <w:pPr>
        <w:pStyle w:val="MdParagraph"/>
      </w:pPr>
      <w:r>
        <w:t xml:space="preserve">The model stores identity, title, description, category, provenance, validation information, relationships, metadata, version information, ingestion time, and active status. The ingestion service writes the object to SQLite and refreshes it after the transaction is committed before returning the response.</w:t>
      </w:r>
    </w:p>
    <w:p>
      <w:pPr>
        <w:pStyle w:val="MdSpace"/>
        <w:spacing w:before="0" w:after="60"/>
      </w:pPr>
    </w:p>
    <w:p>
      <w:pPr>
        <w:pStyle w:val="Heading2"/>
        <w:pStyle w:val="MdHeading2"/>
      </w:pPr>
      <w:r>
        <w:t xml:space="preserve">3. Verification Results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Check</w:t>
            </w:r>
          </w:p>
        </w:tc>
        <w:tc>
          <w:tcPr>
            <w:tcBorders>
              <w:right w:val="none"/>
            </w:tcBorders>
            <w:tcMar>
              <w:top w:type="dxa" w:w="100"/>
              <w:left w:type="dxa" w:w="120"/>
              <w:bottom w:type="dxa" w:w="100"/>
              <w:right w:type="dxa" w:w="120"/>
            </w:tcMar>
            <w:vAlign w:val="center"/>
          </w:tcPr>
          <w:p>
            <w:pPr>
              <w:pStyle w:val="MdTableHeader"/>
            </w:pPr>
            <w:r>
              <w:t xml:space="preserve">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Python syntax compilation for the implementation and tests</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 ingestion returns HTTP 201</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Persisted object can be retrieved with GET</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Collection listing returns the inserted object</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Duplicate ID returns HTTP 400</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Unknown ID returns HTTP 404</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Confidence score </w:t>
            </w:r>
            <w:r>
              <w:rPr>
                <w:rStyle w:val="MdCode"/>
                <w:u w:val="single"/>
              </w:rPr>
              <w:t xml:space="preserve">1.5</w:t>
            </w:r>
            <w:r>
              <w:t xml:space="preserve"> is rejected with HTTP 422</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SQLite database file is created</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Uvicorn application startup</w:t>
            </w:r>
          </w:p>
        </w:tc>
        <w:tc>
          <w:tcPr>
            <w:tcBorders>
              <w:right w:val="none"/>
            </w:tcBorders>
            <w:tcMar>
              <w:top w:type="dxa" w:w="80"/>
              <w:left w:type="dxa" w:w="120"/>
              <w:bottom w:type="dxa" w:w="80"/>
              <w:right w:type="dxa" w:w="120"/>
            </w:tcMar>
            <w:vAlign w:val="center"/>
          </w:tcPr>
          <w:p>
            <w:pPr>
              <w:pStyle w:val="MdTableCell"/>
            </w:pPr>
            <w:r>
              <w:t xml:space="preserve">PASS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Day 2 integration test suite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PASS</w:t>
            </w:r>
          </w:p>
        </w:tc>
      </w:tr>
    </w:tbl>
    <w:p>
      <w:pPr>
        <w:pStyle w:val="MdParagraph"/>
      </w:pPr>
      <w:r>
        <w:t xml:space="preserve">The test output was:</w:t>
      </w:r>
    </w:p>
    <w:p>
      <w:pPr>
        <w:pStyle w:val="MdSpace"/>
        <w:spacing w:before="0" w:after="60"/>
      </w:pPr>
    </w:p>
    <w:p>
      <w:pPr>
        <w:pStyle w:val="MdBlockquote"/>
      </w:pPr>
      <w:r>
        <w:t xml:space="preserve">PASS: POST ingestion and response contractPASS: GET retrievalPASS: GET listingPASS: duplicate ID protectionPASS: missing object returns 404PASS: invalid confidence rejected with 422PASS: Day 2 backend integration test suite</w:t>
      </w:r>
    </w:p>
    <w:p>
      <w:pPr>
        <w:pStyle w:val="MdSpace"/>
        <w:spacing w:before="0" w:after="60"/>
      </w:pPr>
    </w:p>
    <w:p>
      <w:pPr>
        <w:pStyle w:val="Heading2"/>
        <w:pStyle w:val="MdHeading2"/>
      </w:pPr>
      <w:r>
        <w:t xml:space="preserve">4. Runtime Environment Used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Dependency</w:t>
            </w:r>
          </w:p>
        </w:tc>
        <w:tc>
          <w:tcPr>
            <w:tcBorders>
              <w:right w:val="none"/>
            </w:tcBorders>
            <w:tcMar>
              <w:top w:type="dxa" w:w="100"/>
              <w:left w:type="dxa" w:w="120"/>
              <w:bottom w:type="dxa" w:w="100"/>
              <w:right w:type="dxa" w:w="120"/>
            </w:tcMar>
            <w:vAlign w:val="center"/>
          </w:tcPr>
          <w:p>
            <w:pPr>
              <w:pStyle w:val="MdTableHeader"/>
            </w:pPr>
            <w:r>
              <w:t xml:space="preserve">Verified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FastAPI</w:t>
            </w:r>
          </w:p>
        </w:tc>
        <w:tc>
          <w:tcPr>
            <w:tcBorders>
              <w:right w:val="none"/>
            </w:tcBorders>
            <w:tcMar>
              <w:top w:type="dxa" w:w="80"/>
              <w:left w:type="dxa" w:w="120"/>
              <w:bottom w:type="dxa" w:w="80"/>
              <w:right w:type="dxa" w:w="120"/>
            </w:tcMar>
            <w:vAlign w:val="center"/>
          </w:tcPr>
          <w:p>
            <w:pPr>
              <w:pStyle w:val="MdTableCell"/>
            </w:pPr>
            <w:r>
              <w:t xml:space="preserve">0.141.1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SQLAlchemy</w:t>
            </w:r>
          </w:p>
        </w:tc>
        <w:tc>
          <w:tcPr>
            <w:tcBorders>
              <w:right w:val="none"/>
            </w:tcBorders>
            <w:tcMar>
              <w:top w:type="dxa" w:w="80"/>
              <w:left w:type="dxa" w:w="120"/>
              <w:bottom w:type="dxa" w:w="80"/>
              <w:right w:type="dxa" w:w="120"/>
            </w:tcMar>
            <w:vAlign w:val="center"/>
          </w:tcPr>
          <w:p>
            <w:pPr>
              <w:pStyle w:val="MdTableCell"/>
            </w:pPr>
            <w:r>
              <w:t xml:space="preserve">2.0.52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Pydantic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2.13.4</w:t>
            </w:r>
          </w:p>
        </w:tc>
      </w:tr>
    </w:tbl>
    <w:p>
      <w:pPr>
        <w:pStyle w:val="MdParagraph"/>
      </w:pPr>
      <w:r>
        <w:t xml:space="preserve">SQLAlchemy was installed because it was required by the supplied Day 2 implementation and was not available in the initial environment. The clean package is therefore runnable after installing the dependencies listed in the setup section below.</w:t>
      </w:r>
    </w:p>
    <w:p>
      <w:pPr>
        <w:pStyle w:val="MdSpace"/>
        <w:spacing w:before="0" w:after="60"/>
      </w:pPr>
    </w:p>
    <w:p>
      <w:pPr>
        <w:pStyle w:val="Heading2"/>
        <w:pStyle w:val="MdHeading2"/>
      </w:pPr>
      <w:r>
        <w:t xml:space="preserve">5. Run Instructions</w:t>
      </w:r>
    </w:p>
    <w:p>
      <w:pPr>
        <w:pStyle w:val="MdParagraph"/>
      </w:pPr>
      <w:r>
        <w:t xml:space="preserve">From the deliverable directory, 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pip install fastapi sqlalchemy uvicorn pydantic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 day2_backend_foundation.py</w:t>
      </w:r>
    </w:p>
    <w:p>
      <w:pPr>
        <w:pStyle w:val="MdSpace"/>
        <w:spacing w:before="0" w:after="60"/>
      </w:pPr>
    </w:p>
    <w:p>
      <w:pPr>
        <w:pStyle w:val="MdParagraph"/>
      </w:pPr>
      <w:r>
        <w:t xml:space="preserve">The server listens on </w:t>
      </w:r>
      <w:r>
        <w:rPr>
          <w:rStyle w:val="MdCode"/>
          <w:u w:val="single"/>
        </w:rPr>
        <w:t xml:space="preserve">http://127.0.0.1:8000</w:t>
      </w:r>
      <w:r>
        <w:t xml:space="preserve">. To run the complete verification suite in a fresh directory, run: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 test_day2_backend.py</w:t>
      </w:r>
    </w:p>
    <w:p>
      <w:pPr>
        <w:pStyle w:val="MdSpace"/>
        <w:spacing w:before="0" w:after="60"/>
      </w:pPr>
    </w:p>
    <w:p>
      <w:pPr>
        <w:pStyle w:val="MdParagraph"/>
      </w:pPr>
      <w:r>
        <w:t xml:space="preserve">The test suite creates a local </w:t>
      </w:r>
      <w:r>
        <w:rPr>
          <w:rStyle w:val="MdCode"/>
          <w:u w:val="single"/>
        </w:rPr>
        <w:t xml:space="preserve">antres_knowledge.db</w:t>
      </w:r>
      <w:r>
        <w:t xml:space="preserve"> file, inserts a synthetic labelled knowledge object, verifies retrieval and listing, and then checks duplicate and invalid-input behavior.</w:t>
      </w:r>
    </w:p>
    <w:p>
      <w:pPr>
        <w:pStyle w:val="MdSpace"/>
        <w:spacing w:before="0" w:after="60"/>
      </w:pPr>
    </w:p>
    <w:p>
      <w:pPr>
        <w:pStyle w:val="Heading2"/>
        <w:pStyle w:val="MdHeading2"/>
      </w:pPr>
      <w:r>
        <w:t xml:space="preserve">6. Scope and Limitations</w:t>
      </w:r>
    </w:p>
    <w:p>
      <w:pPr>
        <w:pStyle w:val="MdParagraph"/>
      </w:pPr>
      <w:r>
        <w:t xml:space="preserve">The Day 2 backend foundation has been verified as a local SQLite/FastAPI service. It is not yet a production deployment. The supplied package does not include Git metadata, a dependency lockfile, authentication, authorization, database migrations, database transaction rollback handling, pagination validation, structured status enums, or deployment configuration. These are follow-up hardening items and have not been represented as completed.</w:t>
      </w:r>
    </w:p>
    <w:p>
      <w:pPr>
        <w:pStyle w:val="MdSpace"/>
        <w:spacing w:before="0" w:after="60"/>
      </w:pPr>
    </w:p>
    <w:p>
      <w:pPr>
        <w:pStyle w:val="MdParagraph"/>
      </w:pPr>
      <w:r>
        <w:t xml:space="preserve">The implementation currently accepts </w:t>
      </w:r>
      <w:r>
        <w:rPr>
          <w:rStyle w:val="MdCode"/>
          <w:u w:val="single"/>
        </w:rPr>
        <w:t xml:space="preserve">validation_status</w:t>
      </w:r>
      <w:r>
        <w:t xml:space="preserve"> as a free-form string, even though its description lists </w:t>
      </w:r>
      <w:r>
        <w:rPr>
          <w:rStyle w:val="MdCode"/>
          <w:u w:val="single"/>
        </w:rPr>
        <w:t xml:space="preserve">APPROVED</w:t>
      </w:r>
      <w:r>
        <w:t xml:space="preserve">, </w:t>
      </w:r>
      <w:r>
        <w:rPr>
          <w:rStyle w:val="MdCode"/>
          <w:u w:val="single"/>
        </w:rPr>
        <w:t xml:space="preserve">CONDITIONAL</w:t>
      </w:r>
      <w:r>
        <w:t xml:space="preserve">, and </w:t>
      </w:r>
      <w:r>
        <w:rPr>
          <w:rStyle w:val="MdCode"/>
          <w:u w:val="single"/>
        </w:rPr>
        <w:t xml:space="preserve">PENDING_REVIEW</w:t>
      </w:r>
      <w:r>
        <w:t xml:space="preserve"> as the expected values. The confidence score is constrained to the range </w:t>
      </w:r>
      <w:r>
        <w:rPr>
          <w:rStyle w:val="MdCode"/>
          <w:u w:val="single"/>
        </w:rPr>
        <w:t xml:space="preserve">0.0–1.0</w:t>
      </w:r>
      <w:r>
        <w:t xml:space="preserve">, and the test confirms that out-of-range values are rejected. The database is intentionally implemented with local SQLite for this foundation stage.</w:t>
      </w:r>
    </w:p>
    <w:p>
      <w:pPr>
        <w:pStyle w:val="MdSpace"/>
        <w:spacing w:before="0" w:after="60"/>
      </w:pPr>
    </w:p>
    <w:p>
      <w:pPr>
        <w:pStyle w:val="Heading2"/>
        <w:pStyle w:val="MdHeading2"/>
      </w:pPr>
      <w:r>
        <w:t xml:space="preserve">Final Status</w:t>
      </w:r>
    </w:p>
    <w:p>
      <w:pPr>
        <w:pStyle w:val="MdParagraph"/>
      </w:pPr>
      <w:r>
        <w:rPr>
          <w:rStyle w:val="MdStrong"/>
          <w:b/>
          <w:bCs/>
        </w:rPr>
        <w:t xml:space="preserve">PASS — The Day 2 backend foundation was implemented and verified without test failures.</w:t>
      </w:r>
      <w:r>
        <w:t xml:space="preserve"> The clean deliverable files are ready for continued work in Day 3.</w:t>
      </w:r>
    </w:p>
    <w:p>
      <w:pPr>
        <w:pStyle w:val="MdSpace"/>
        <w:spacing w:before="0" w:after="60"/>
      </w:pPr>
    </w:p>
    <w:p>
      <w:pPr>
        <w:pStyle w:val="Heading2"/>
        <w:pStyle w:val="MdHeading2"/>
      </w:pPr>
      <w:r>
        <w:t xml:space="preserve">Delivered Files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DAY2_REPORT.md</w:t>
            </w:r>
          </w:p>
        </w:tc>
        <w:tc>
          <w:tcPr>
            <w:tcBorders>
              <w:right w:val="none"/>
            </w:tcBorders>
            <w:tcMar>
              <w:top w:type="dxa" w:w="80"/>
              <w:left w:type="dxa" w:w="120"/>
              <w:bottom w:type="dxa" w:w="80"/>
              <w:right w:type="dxa" w:w="120"/>
            </w:tcMar>
            <w:vAlign w:val="center"/>
          </w:tcPr>
          <w:p>
            <w:pPr>
              <w:pStyle w:val="MdTableCell"/>
            </w:pPr>
            <w:r>
              <w:t xml:space="preserve">Final Day 2 implementation and verification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day2_backend_foundation.py</w:t>
            </w:r>
          </w:p>
        </w:tc>
        <w:tc>
          <w:tcPr>
            <w:tcBorders>
              <w:right w:val="none"/>
            </w:tcBorders>
            <w:tcMar>
              <w:top w:type="dxa" w:w="80"/>
              <w:left w:type="dxa" w:w="120"/>
              <w:bottom w:type="dxa" w:w="80"/>
              <w:right w:type="dxa" w:w="120"/>
            </w:tcMar>
            <w:vAlign w:val="center"/>
          </w:tcPr>
          <w:p>
            <w:pPr>
              <w:pStyle w:val="MdTableCell"/>
            </w:pPr>
            <w:r>
              <w:t xml:space="preserve">Clean canonical FastAPI/SQLAlchemy backend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test_day2_backend.py</w:t>
            </w:r>
          </w:p>
        </w:tc>
        <w:tc>
          <w:tcPr>
            <w:tcBorders>
              <w:right w:val="none"/>
            </w:tcBorders>
            <w:tcMar>
              <w:top w:type="dxa" w:w="80"/>
              <w:left w:type="dxa" w:w="120"/>
              <w:bottom w:type="dxa" w:w="80"/>
              <w:right w:type="dxa" w:w="120"/>
            </w:tcMar>
            <w:vAlign w:val="center"/>
          </w:tcPr>
          <w:p>
            <w:pPr>
              <w:pStyle w:val="MdTableCell"/>
            </w:pPr>
            <w:r>
              <w:t xml:space="preserve">Executable integration and validation test suite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antres_knowledge.db</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Runtime-created SQLite database evidence</w:t>
            </w:r>
          </w:p>
        </w:tc>
      </w:tr>
    </w:tbl>
    <w:p>
      <w:pPr>
        <w:pStyle w:val="Heading2"/>
        <w:pStyle w:val="MdHeading2"/>
      </w:pPr>
      <w:r>
        <w:t xml:space="preserve">References</w:t>
      </w:r>
    </w:p>
    <w:p>
      <w:pPr>
        <w:pStyle w:val="MdParagraph"/>
      </w:pPr>
      <w:r>
        <w:t xml:space="preserve">[1]: </w:t>
      </w:r>
      <w:r>
        <w:rPr>
          <w:rStyle w:val="MdCode"/>
          <w:u w:val="single"/>
        </w:rPr>
        <w:t xml:space="preserve">/home/ubuntu/upload/internshipwork.zip</w:t>
      </w:r>
      <w:r>
        <w:t xml:space="preserve"> — Uploaded internship workspace used as the Day 2 source artifact.</w:t>
      </w:r>
    </w:p>
    <w:p>
      <w:pPr>
        <w:pStyle w:val="MdSpace"/>
        <w:spacing w:before="0" w:after="60"/>
      </w:pPr>
    </w:p>
    <w:p>
      <w:pPr>
        <w:pStyle w:val="MdParagraph"/>
      </w:pPr>
      <w:r>
        <w:t xml:space="preserve">[2]: </w:t>
      </w:r>
      <w:r>
        <w:rPr>
          <w:rStyle w:val="MdCode"/>
          <w:u w:val="single"/>
        </w:rPr>
        <w:t xml:space="preserve">/home/ubuntu/day2_deliverable/day2_backend_foundation.py</w:t>
      </w:r>
      <w:r>
        <w:t xml:space="preserve"> — Clean canonical backend implementation.</w:t>
      </w:r>
    </w:p>
    <w:p>
      <w:pPr>
        <w:pStyle w:val="MdSpace"/>
        <w:spacing w:before="0" w:after="60"/>
      </w:pPr>
    </w:p>
    <w:p>
      <w:pPr>
        <w:pStyle w:val="MdParagraph"/>
      </w:pPr>
      <w:r>
        <w:t xml:space="preserve">[3]: </w:t>
      </w:r>
      <w:r>
        <w:rPr>
          <w:rStyle w:val="MdCode"/>
          <w:u w:val="single"/>
        </w:rPr>
        <w:t xml:space="preserve">/home/ubuntu/day2_deliverable/test_day2_backend.py</w:t>
      </w:r>
      <w:r>
        <w:t xml:space="preserve"> — Executable integration tests run during verification.</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2026-08-27T18:50:55.367Z</dcterms:created>
  <dcterms:modified xsi:type="dcterms:W3CDTF">2026-08-27T18:50:55.367Z</dcterms:modified>
</cp:coreProperties>
</file>

<file path=docProps/custom.xml><?xml version="1.0" encoding="utf-8"?>
<Properties xmlns="http://schemas.openxmlformats.org/officeDocument/2006/custom-properties" xmlns:vt="http://schemas.openxmlformats.org/officeDocument/2006/docPropsVTypes"/>
</file>