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10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4"/>
        <w:gridCol w:w="2460"/>
        <w:gridCol w:w="2520"/>
      </w:tblGrid>
      <w:tr w14:paraId="35ADCA21">
        <w:trPr>
          <w:cantSplit/>
        </w:trPr>
        <w:tc>
          <w:tcPr>
            <w:tcW w:w="5566" w:type="dxa"/>
            <w:tcBorders>
              <w:top w:val="single" w:color="203A5B" w:sz="12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220" w:type="dxa"/>
            </w:tcMar>
            <w:vAlign w:val="center"/>
          </w:tcPr>
          <w:p w14:paraId="080E04A9">
            <w:pPr>
              <w:keepNext w:val="0"/>
              <w:keepLines w:val="0"/>
              <w:spacing w:before="0" w:after="5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42"/>
                <w:szCs w:val="42"/>
              </w:rPr>
              <w:t>胡书瑞</w:t>
            </w:r>
          </w:p>
          <w:p w14:paraId="6632C8DB">
            <w:pPr>
              <w:keepNext w:val="0"/>
              <w:keepLines w:val="0"/>
              <w:spacing w:before="0" w:after="10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21"/>
                <w:szCs w:val="21"/>
              </w:rPr>
              <w:t>金融投资与产业资本管理 | 产业经济学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667085"/>
                <w:sz w:val="21"/>
                <w:szCs w:val="21"/>
                <w:lang w:val="en-US" w:eastAsia="zh-CN"/>
              </w:rPr>
              <w:t>-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21"/>
                <w:szCs w:val="21"/>
              </w:rPr>
              <w:t>博士在读</w:t>
            </w:r>
          </w:p>
          <w:p w14:paraId="2D79B522">
            <w:pPr>
              <w:keepNext w:val="0"/>
              <w:keepLines w:val="0"/>
              <w:spacing w:before="0" w:after="20" w:line="32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21"/>
                <w:szCs w:val="21"/>
              </w:rPr>
              <w:t>14年金融行业高管经历，长期负责产业投资、供应链金融、企业融资管理与资产管理，兼具大型集团金融业务搭建能力与产业资本落地经验。熟悉私募股权、并购重组、融资租赁、ABS/ABN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20242C"/>
                <w:sz w:val="21"/>
                <w:szCs w:val="21"/>
                <w:lang w:val="en-US" w:eastAsia="zh-CN"/>
              </w:rPr>
              <w:t>发行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21"/>
                <w:szCs w:val="21"/>
              </w:rPr>
              <w:t>等资本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20242C"/>
                <w:sz w:val="21"/>
                <w:szCs w:val="21"/>
                <w:lang w:val="en-US" w:eastAsia="zh-CN"/>
              </w:rPr>
              <w:t>市场业务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21"/>
                <w:szCs w:val="21"/>
              </w:rPr>
              <w:t>，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20242C"/>
                <w:sz w:val="21"/>
                <w:szCs w:val="21"/>
                <w:lang w:val="en-US" w:eastAsia="zh-CN"/>
              </w:rPr>
              <w:t>累计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21"/>
                <w:szCs w:val="21"/>
              </w:rPr>
              <w:t>在管资产规模超500亿元。</w:t>
            </w:r>
          </w:p>
        </w:tc>
        <w:tc>
          <w:tcPr>
            <w:tcW w:w="2469" w:type="dxa"/>
            <w:tcBorders>
              <w:top w:val="single" w:color="203A5B" w:sz="12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D18C3B">
            <w:pPr>
              <w:keepNext w:val="0"/>
              <w:keepLines w:val="0"/>
              <w:spacing w:before="0" w:after="11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19"/>
                <w:szCs w:val="19"/>
              </w:rPr>
              <w:t>基本信息</w:t>
            </w:r>
          </w:p>
          <w:p w14:paraId="2BED3428">
            <w:pPr>
              <w:keepNext w:val="0"/>
              <w:keepLines w:val="0"/>
              <w:spacing w:before="0" w:after="55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667085"/>
                <w:sz w:val="19"/>
                <w:szCs w:val="19"/>
              </w:rPr>
              <w:t>性别 / 年龄：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男 · 36岁</w:t>
            </w:r>
          </w:p>
          <w:p w14:paraId="7BB22B10">
            <w:pPr>
              <w:keepNext w:val="0"/>
              <w:keepLines w:val="0"/>
              <w:spacing w:before="0" w:after="55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667085"/>
                <w:sz w:val="19"/>
                <w:szCs w:val="19"/>
              </w:rPr>
              <w:t>研究方向：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产业经济</w:t>
            </w:r>
          </w:p>
          <w:p w14:paraId="7950D87D">
            <w:pPr>
              <w:keepNext w:val="0"/>
              <w:keepLines w:val="0"/>
              <w:spacing w:before="0" w:after="55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667085"/>
                <w:sz w:val="19"/>
                <w:szCs w:val="19"/>
              </w:rPr>
              <w:t>电话：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17000210000</w:t>
            </w:r>
          </w:p>
          <w:p w14:paraId="3350261C">
            <w:pPr>
              <w:keepNext w:val="0"/>
              <w:keepLines w:val="0"/>
              <w:spacing w:before="0" w:after="55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667085"/>
                <w:sz w:val="19"/>
                <w:szCs w:val="19"/>
              </w:rPr>
              <w:t>微信：</w:t>
            </w: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同手机号</w:t>
            </w:r>
          </w:p>
          <w:p w14:paraId="69AFEE9A">
            <w:pPr>
              <w:keepNext w:val="0"/>
              <w:keepLines w:val="0"/>
              <w:spacing w:before="0" w:after="55" w:line="300" w:lineRule="atLeast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667085"/>
                <w:sz w:val="19"/>
                <w:szCs w:val="19"/>
                <w:lang w:val="en-US" w:eastAsia="zh-CN"/>
              </w:rPr>
              <w:t>通讯地址</w:t>
            </w:r>
            <w:r>
              <w:rPr>
                <w:rFonts w:ascii="Arial" w:hAnsi="Arial" w:eastAsia="PingFang SC"/>
                <w:b/>
                <w:bCs/>
                <w:i w:val="0"/>
                <w:iCs w:val="0"/>
                <w:color w:val="667085"/>
                <w:sz w:val="19"/>
                <w:szCs w:val="19"/>
              </w:rPr>
              <w:t>：</w:t>
            </w:r>
            <w:r>
              <w:rPr>
                <w:rFonts w:hint="eastAsia" w:ascii="Arial" w:hAnsi="Arial" w:eastAsia="PingFang SC" w:cstheme="minorBidi"/>
                <w:b w:val="0"/>
                <w:bCs w:val="0"/>
                <w:i w:val="0"/>
                <w:iCs w:val="0"/>
                <w:color w:val="20242C"/>
                <w:sz w:val="19"/>
                <w:szCs w:val="19"/>
                <w:lang w:val="en-US" w:eastAsia="zh-CN"/>
              </w:rPr>
              <w:t>陕西省西安市长安区桂园云顶二期7栋2单元1702</w:t>
            </w:r>
            <w:r>
              <w:rPr>
                <w:rFonts w:hint="eastAsia" w:ascii="Arial" w:hAnsi="Arial" w:cstheme="minorBidi"/>
                <w:b w:val="0"/>
                <w:bCs w:val="0"/>
                <w:i w:val="0"/>
                <w:iCs w:val="0"/>
                <w:color w:val="20242C"/>
                <w:sz w:val="19"/>
                <w:szCs w:val="19"/>
                <w:lang w:val="en-US" w:eastAsia="zh-CN"/>
              </w:rPr>
              <w:t>室</w:t>
            </w:r>
          </w:p>
        </w:tc>
        <w:tc>
          <w:tcPr>
            <w:tcW w:w="2469" w:type="dxa"/>
            <w:tcBorders>
              <w:top w:val="single" w:color="203A5B" w:sz="12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66A831">
            <w:pPr>
              <w:keepNext w:val="0"/>
              <w:keepLines w:val="0"/>
              <w:spacing w:before="0" w:after="55" w:line="300" w:lineRule="atLeast"/>
              <w:jc w:val="left"/>
              <w:rPr>
                <w:rFonts w:hint="eastAsia" w:ascii="Arial" w:hAnsi="Arial" w:eastAsia="PingFang SC"/>
                <w:b/>
                <w:bCs/>
                <w:i w:val="0"/>
                <w:iCs w:val="0"/>
                <w:color w:val="667085"/>
                <w:sz w:val="19"/>
                <w:szCs w:val="19"/>
                <w:lang w:eastAsia="zh-CN"/>
              </w:rPr>
            </w:pPr>
            <w:r>
              <w:rPr>
                <w:rFonts w:hint="eastAsia" w:ascii="Arial" w:hAnsi="Arial" w:eastAsia="PingFang SC"/>
                <w:b/>
                <w:bCs/>
                <w:i w:val="0"/>
                <w:iCs w:val="0"/>
                <w:color w:val="667085"/>
                <w:sz w:val="19"/>
                <w:szCs w:val="19"/>
                <w:lang w:eastAsia="zh-CN"/>
              </w:rPr>
              <w:drawing>
                <wp:inline distT="0" distB="0" distL="114300" distR="114300">
                  <wp:extent cx="1371600" cy="1978025"/>
                  <wp:effectExtent l="0" t="0" r="0" b="3175"/>
                  <wp:docPr id="3" name="图片 3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7D452">
      <w:pPr>
        <w:keepNext w:val="0"/>
        <w:keepLines w:val="0"/>
        <w:spacing w:before="0" w:after="50" w:line="300" w:lineRule="atLeast"/>
        <w:jc w:val="left"/>
      </w:pP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6"/>
        <w:gridCol w:w="2526"/>
        <w:gridCol w:w="2527"/>
        <w:gridCol w:w="2527"/>
      </w:tblGrid>
      <w:tr w14:paraId="00179177">
        <w:trPr>
          <w:cantSplit/>
        </w:trPr>
        <w:tc>
          <w:tcPr>
            <w:tcW w:w="2526" w:type="dxa"/>
            <w:tcBorders>
              <w:top w:val="single" w:color="203A5B" w:sz="1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73CD53">
            <w:pPr>
              <w:keepNext w:val="0"/>
              <w:keepLines w:val="0"/>
              <w:spacing w:before="0" w:after="40" w:line="300" w:lineRule="atLeast"/>
              <w:jc w:val="center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8"/>
                <w:szCs w:val="28"/>
              </w:rPr>
              <w:t>14年</w:t>
            </w:r>
          </w:p>
          <w:p w14:paraId="2191987A">
            <w:pPr>
              <w:keepNext w:val="0"/>
              <w:keepLines w:val="0"/>
              <w:spacing w:before="0" w:after="0" w:line="300" w:lineRule="atLeast"/>
              <w:jc w:val="center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金融高管经历</w:t>
            </w:r>
          </w:p>
        </w:tc>
        <w:tc>
          <w:tcPr>
            <w:tcW w:w="2526" w:type="dxa"/>
            <w:tcBorders>
              <w:top w:val="single" w:color="203A5B" w:sz="1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5597B4">
            <w:pPr>
              <w:keepNext w:val="0"/>
              <w:keepLines w:val="0"/>
              <w:spacing w:before="0" w:after="40" w:line="300" w:lineRule="atLeast"/>
              <w:jc w:val="center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8"/>
                <w:szCs w:val="28"/>
              </w:rPr>
              <w:t>500亿+</w:t>
            </w:r>
          </w:p>
          <w:p w14:paraId="0C179B34">
            <w:pPr>
              <w:keepNext w:val="0"/>
              <w:keepLines w:val="0"/>
              <w:spacing w:before="0" w:after="0" w:line="300" w:lineRule="atLeast"/>
              <w:jc w:val="center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在管资产规模</w:t>
            </w:r>
          </w:p>
        </w:tc>
        <w:tc>
          <w:tcPr>
            <w:tcW w:w="2527" w:type="dxa"/>
            <w:tcBorders>
              <w:top w:val="single" w:color="203A5B" w:sz="1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79D3F3">
            <w:pPr>
              <w:keepNext w:val="0"/>
              <w:keepLines w:val="0"/>
              <w:spacing w:before="0" w:after="40" w:line="300" w:lineRule="atLeast"/>
              <w:jc w:val="center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8"/>
                <w:szCs w:val="28"/>
              </w:rPr>
              <w:t>200亿+</w:t>
            </w:r>
          </w:p>
          <w:p w14:paraId="51CB9A9E">
            <w:pPr>
              <w:keepNext w:val="0"/>
              <w:keepLines w:val="0"/>
              <w:spacing w:before="0" w:after="0" w:line="300" w:lineRule="atLeast"/>
              <w:jc w:val="center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ABS/ABN累计发行</w:t>
            </w:r>
          </w:p>
        </w:tc>
        <w:tc>
          <w:tcPr>
            <w:tcW w:w="2527" w:type="dxa"/>
            <w:tcBorders>
              <w:top w:val="single" w:color="203A5B" w:sz="1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A00553">
            <w:pPr>
              <w:keepNext w:val="0"/>
              <w:keepLines w:val="0"/>
              <w:spacing w:before="0" w:after="40" w:line="300" w:lineRule="atLeast"/>
              <w:jc w:val="center"/>
            </w:pPr>
            <w:r>
              <w:rPr>
                <w:rFonts w:hint="eastAsia"/>
                <w:b/>
                <w:bCs/>
                <w:i w:val="0"/>
                <w:iCs w:val="0"/>
                <w:color w:val="203A5B"/>
                <w:sz w:val="28"/>
                <w:szCs w:val="28"/>
                <w:lang w:val="en-US" w:eastAsia="zh-CN"/>
              </w:rPr>
              <w:t>60亿</w:t>
            </w: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8"/>
                <w:szCs w:val="28"/>
              </w:rPr>
              <w:t>+</w:t>
            </w:r>
          </w:p>
          <w:p w14:paraId="6E87D3A3">
            <w:pPr>
              <w:keepNext w:val="0"/>
              <w:keepLines w:val="0"/>
              <w:spacing w:before="0" w:after="0" w:line="300" w:lineRule="atLeast"/>
              <w:jc w:val="center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 w:ascii="Arial" w:hAnsi="Arial" w:eastAsia="PingFang SC" w:cstheme="minorBidi"/>
                <w:b w:val="0"/>
                <w:bCs w:val="0"/>
                <w:i w:val="0"/>
                <w:iCs w:val="0"/>
                <w:color w:val="667085"/>
                <w:sz w:val="18"/>
                <w:szCs w:val="18"/>
                <w:lang w:val="en-US" w:eastAsia="zh-CN"/>
              </w:rPr>
              <w:t>私募股权投资</w:t>
            </w:r>
          </w:p>
        </w:tc>
      </w:tr>
    </w:tbl>
    <w:p w14:paraId="6C2A22E6">
      <w:pPr>
        <w:keepNext/>
        <w:keepLines w:val="0"/>
        <w:pBdr>
          <w:bottom w:val="single" w:color="D5DCE5" w:sz="2" w:space="0"/>
        </w:pBdr>
        <w:spacing w:before="160" w:after="110" w:line="312" w:lineRule="auto"/>
      </w:pPr>
      <w:r>
        <w:rPr>
          <w:rFonts w:ascii="Arial" w:hAnsi="Arial" w:eastAsia="PingFang SC"/>
          <w:b/>
          <w:bCs/>
          <w:i w:val="0"/>
          <w:iCs w:val="0"/>
          <w:color w:val="203A5B"/>
          <w:sz w:val="24"/>
          <w:szCs w:val="24"/>
        </w:rPr>
        <w:t>职业经历</w:t>
      </w: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306"/>
      </w:tblGrid>
      <w:tr w14:paraId="43503DA2">
        <w:trPr>
          <w:cantSplit/>
        </w:trPr>
        <w:tc>
          <w:tcPr>
            <w:tcW w:w="18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50" w:type="dxa"/>
              <w:left w:w="120" w:type="dxa"/>
              <w:bottom w:w="150" w:type="dxa"/>
              <w:right w:w="120" w:type="dxa"/>
            </w:tcMar>
            <w:vAlign w:val="top"/>
          </w:tcPr>
          <w:p w14:paraId="4D34DD88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18"/>
                <w:szCs w:val="18"/>
              </w:rPr>
              <w:t>2022.09 - 至今</w:t>
            </w:r>
          </w:p>
        </w:tc>
        <w:tc>
          <w:tcPr>
            <w:tcW w:w="83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90A9F3">
            <w:pPr>
              <w:keepNext w:val="0"/>
              <w:keepLines w:val="0"/>
              <w:spacing w:before="0" w:after="8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242C"/>
                <w:sz w:val="21"/>
                <w:szCs w:val="21"/>
              </w:rPr>
              <w:t>中渝城发（重庆）企业管理有限公司｜总经理（主持工作）</w:t>
            </w:r>
          </w:p>
          <w:p w14:paraId="0A3DCD2B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负责重庆市万盛经济开发区一级直属独资企业、首个资本控股平台的整体经营与资本运作。</w:t>
            </w:r>
          </w:p>
          <w:p w14:paraId="0771EF4D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推动平台从组织设立走向实体化运营，夯实区域产业资本承载与投融资能力。</w:t>
            </w:r>
          </w:p>
        </w:tc>
      </w:tr>
    </w:tbl>
    <w:p w14:paraId="4FD7C08C">
      <w:pPr>
        <w:keepNext w:val="0"/>
        <w:keepLines w:val="0"/>
        <w:spacing w:before="0" w:after="20" w:line="300" w:lineRule="atLeast"/>
        <w:jc w:val="left"/>
      </w:pP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306"/>
      </w:tblGrid>
      <w:tr w14:paraId="4AF95BB5">
        <w:trPr>
          <w:cantSplit/>
        </w:trPr>
        <w:tc>
          <w:tcPr>
            <w:tcW w:w="18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50" w:type="dxa"/>
              <w:left w:w="120" w:type="dxa"/>
              <w:bottom w:w="150" w:type="dxa"/>
              <w:right w:w="120" w:type="dxa"/>
            </w:tcMar>
            <w:vAlign w:val="top"/>
          </w:tcPr>
          <w:p w14:paraId="50015821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18"/>
                <w:szCs w:val="18"/>
              </w:rPr>
              <w:t>2019.04 - 2022.06</w:t>
            </w:r>
          </w:p>
        </w:tc>
        <w:tc>
          <w:tcPr>
            <w:tcW w:w="83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F51FB09">
            <w:pPr>
              <w:keepNext w:val="0"/>
              <w:keepLines w:val="0"/>
              <w:spacing w:before="0" w:after="8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242C"/>
                <w:sz w:val="21"/>
                <w:szCs w:val="21"/>
              </w:rPr>
              <w:t>碧桂园控股集团｜金融事业群常务副总裁</w:t>
            </w:r>
          </w:p>
          <w:p w14:paraId="24883C1A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组织搭建集团金融业务集群，构建“产业+科技+金融”的智慧供应链生态体系。</w:t>
            </w:r>
          </w:p>
          <w:p w14:paraId="7EFCC479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牵头地产前融业务与信息系统建设，累计发行 ABS/ABN 约200亿元，服务1200余家供应商。</w:t>
            </w:r>
          </w:p>
          <w:p w14:paraId="29352BC8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打造“万店同盟”数字化营销平台，覆盖200余座城市、签约分销门店超5万家，年货值去化超2000亿元。</w:t>
            </w:r>
          </w:p>
          <w:p w14:paraId="5DD4296D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布局社区金融与私募股权投资，管理资产总额超500亿元，投资额超60亿元，并参与两家A股上市公司并购项目。</w:t>
            </w:r>
          </w:p>
        </w:tc>
      </w:tr>
    </w:tbl>
    <w:p w14:paraId="796B00E7">
      <w:pPr>
        <w:keepNext w:val="0"/>
        <w:keepLines w:val="0"/>
        <w:spacing w:before="0" w:after="20" w:line="300" w:lineRule="atLeast"/>
        <w:jc w:val="left"/>
      </w:pP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306"/>
      </w:tblGrid>
      <w:tr w14:paraId="0A5B3245">
        <w:trPr>
          <w:cantSplit/>
        </w:trPr>
        <w:tc>
          <w:tcPr>
            <w:tcW w:w="18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50" w:type="dxa"/>
              <w:left w:w="120" w:type="dxa"/>
              <w:bottom w:w="150" w:type="dxa"/>
              <w:right w:w="120" w:type="dxa"/>
            </w:tcMar>
            <w:vAlign w:val="top"/>
          </w:tcPr>
          <w:p w14:paraId="51CE4D95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18"/>
                <w:szCs w:val="18"/>
              </w:rPr>
              <w:t>2013.03 - 2019.03</w:t>
            </w:r>
          </w:p>
        </w:tc>
        <w:tc>
          <w:tcPr>
            <w:tcW w:w="83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D803CD5">
            <w:pPr>
              <w:keepNext w:val="0"/>
              <w:keepLines w:val="0"/>
              <w:spacing w:before="0" w:after="8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242C"/>
                <w:sz w:val="21"/>
                <w:szCs w:val="21"/>
              </w:rPr>
              <w:t>红上金融信息服务（上海）有限公司｜副总裁</w:t>
            </w:r>
          </w:p>
          <w:p w14:paraId="15C1CF72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参与搭建国内较早一批互联网金融平台，行业排名全国 Top20。</w:t>
            </w:r>
          </w:p>
          <w:p w14:paraId="7118F694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推动 OCR、自然语言处理等技术落地金融风控场景，取得2项国家发明专利。</w:t>
            </w:r>
          </w:p>
          <w:p w14:paraId="54AAB494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统筹1200余人财富管理团队，覆盖70余座城市，在管资产规模超200亿元。</w:t>
            </w:r>
          </w:p>
          <w:p w14:paraId="181E0542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搭建个人消费贷款平台，业务覆盖100余座城市，从0到1组建3000余人团队。</w:t>
            </w:r>
          </w:p>
        </w:tc>
      </w:tr>
    </w:tbl>
    <w:p w14:paraId="15F0F9F1">
      <w:pPr>
        <w:keepNext w:val="0"/>
        <w:keepLines w:val="0"/>
        <w:spacing w:before="0" w:after="20" w:line="300" w:lineRule="atLeast"/>
        <w:jc w:val="left"/>
      </w:pP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306"/>
      </w:tblGrid>
      <w:tr w14:paraId="585527AA">
        <w:trPr>
          <w:cantSplit/>
        </w:trPr>
        <w:tc>
          <w:tcPr>
            <w:tcW w:w="18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50" w:type="dxa"/>
              <w:left w:w="120" w:type="dxa"/>
              <w:bottom w:w="150" w:type="dxa"/>
              <w:right w:w="120" w:type="dxa"/>
            </w:tcMar>
            <w:vAlign w:val="top"/>
          </w:tcPr>
          <w:p w14:paraId="4E5F7E66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18"/>
                <w:szCs w:val="18"/>
              </w:rPr>
              <w:t>2011.10 - 2013.01</w:t>
            </w:r>
          </w:p>
        </w:tc>
        <w:tc>
          <w:tcPr>
            <w:tcW w:w="83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85E45A4">
            <w:pPr>
              <w:keepNext w:val="0"/>
              <w:keepLines w:val="0"/>
              <w:spacing w:before="0" w:after="8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242C"/>
                <w:sz w:val="21"/>
                <w:szCs w:val="21"/>
              </w:rPr>
              <w:t>宜信普惠商务信息咨询（北京）有限公司西安分公司｜个贷业务经理</w:t>
            </w:r>
          </w:p>
          <w:p w14:paraId="1C5ED657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从实习生成长为团队经理，负责个人信贷业务开发与团队管理。</w:t>
            </w:r>
          </w:p>
          <w:p w14:paraId="2A2019D8">
            <w:pPr>
              <w:pStyle w:val="16"/>
              <w:keepNext w:val="0"/>
              <w:keepLines w:val="0"/>
              <w:numPr>
                <w:ilvl w:val="0"/>
                <w:numId w:val="1"/>
              </w:numPr>
              <w:spacing w:after="40" w:line="28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调入总部个贷管理部，承担全国信贷指标追踪与市场政策研究工作。</w:t>
            </w:r>
          </w:p>
        </w:tc>
      </w:tr>
    </w:tbl>
    <w:p w14:paraId="49B15B29">
      <w:pPr>
        <w:keepNext w:val="0"/>
        <w:keepLines w:val="0"/>
        <w:spacing w:before="0" w:after="20" w:line="300" w:lineRule="atLeast"/>
        <w:jc w:val="left"/>
      </w:pPr>
    </w:p>
    <w:p w14:paraId="750BC59F">
      <w:pPr>
        <w:keepNext/>
        <w:keepLines w:val="0"/>
        <w:pBdr>
          <w:bottom w:val="single" w:color="D5DCE5" w:sz="2" w:space="0"/>
        </w:pBdr>
        <w:spacing w:before="160" w:after="110" w:line="312" w:lineRule="auto"/>
      </w:pPr>
      <w:r>
        <w:rPr>
          <w:rFonts w:ascii="Arial" w:hAnsi="Arial" w:eastAsia="PingFang SC"/>
          <w:b/>
          <w:bCs/>
          <w:i w:val="0"/>
          <w:iCs w:val="0"/>
          <w:color w:val="203A5B"/>
          <w:sz w:val="24"/>
          <w:szCs w:val="24"/>
        </w:rPr>
        <w:t>重点项目</w:t>
      </w: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53"/>
        <w:gridCol w:w="5053"/>
      </w:tblGrid>
      <w:tr w14:paraId="5262D48F">
        <w:trPr>
          <w:cantSplit/>
        </w:trPr>
        <w:tc>
          <w:tcPr>
            <w:tcW w:w="5053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9648EBB">
            <w:pPr>
              <w:keepNext w:val="0"/>
              <w:keepLines w:val="0"/>
              <w:spacing w:before="0" w:after="4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0"/>
                <w:szCs w:val="20"/>
              </w:rPr>
              <w:t>华澳国际信托并购</w:t>
            </w:r>
          </w:p>
          <w:p w14:paraId="6DFD27AD">
            <w:pPr>
              <w:keepNext w:val="0"/>
              <w:keepLines w:val="0"/>
              <w:spacing w:before="0" w:after="65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项目负责人</w:t>
            </w:r>
          </w:p>
          <w:p w14:paraId="1881AA05">
            <w:pPr>
              <w:keepNext w:val="0"/>
              <w:keepLines w:val="0"/>
              <w:spacing w:before="0" w:after="0" w:line="28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交易总对价175亿元，负责尽职调查、交易方案设计及核心谈判。</w:t>
            </w:r>
          </w:p>
        </w:tc>
        <w:tc>
          <w:tcPr>
            <w:tcW w:w="5053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D407D63">
            <w:pPr>
              <w:keepNext w:val="0"/>
              <w:keepLines w:val="0"/>
              <w:spacing w:before="0" w:after="4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0"/>
                <w:szCs w:val="20"/>
              </w:rPr>
              <w:t>金刚光伏</w:t>
            </w:r>
            <w:r>
              <w:rPr>
                <w:rFonts w:hint="eastAsia"/>
                <w:b/>
                <w:bCs/>
                <w:i w:val="0"/>
                <w:iCs w:val="0"/>
                <w:color w:val="203A5B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b/>
                <w:bCs/>
                <w:i w:val="0"/>
                <w:iCs w:val="0"/>
                <w:color w:val="203A5B"/>
                <w:sz w:val="20"/>
                <w:szCs w:val="20"/>
                <w:lang w:val="en-US" w:eastAsia="zh-CN"/>
              </w:rPr>
              <w:t>300093</w:t>
            </w:r>
            <w:r>
              <w:rPr>
                <w:rFonts w:hint="eastAsia"/>
                <w:b/>
                <w:bCs/>
                <w:i w:val="0"/>
                <w:iCs w:val="0"/>
                <w:color w:val="203A5B"/>
                <w:sz w:val="20"/>
                <w:szCs w:val="20"/>
                <w:lang w:eastAsia="zh-CN"/>
              </w:rPr>
              <w:t>）</w:t>
            </w: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0"/>
                <w:szCs w:val="20"/>
              </w:rPr>
              <w:t>债务重组</w:t>
            </w:r>
          </w:p>
          <w:p w14:paraId="5894BD54">
            <w:pPr>
              <w:keepNext w:val="0"/>
              <w:keepLines w:val="0"/>
              <w:spacing w:before="0" w:after="65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项目负责人</w:t>
            </w:r>
          </w:p>
          <w:p w14:paraId="70919B88">
            <w:pPr>
              <w:keepNext w:val="0"/>
              <w:keepLines w:val="0"/>
              <w:spacing w:before="0" w:after="0" w:line="28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以较低成本取得上市公司控制权，推动企业由特种玻璃业务转向光伏玻璃业务。</w:t>
            </w:r>
          </w:p>
        </w:tc>
      </w:tr>
      <w:tr w14:paraId="19C3E392">
        <w:trPr>
          <w:cantSplit/>
        </w:trPr>
        <w:tc>
          <w:tcPr>
            <w:tcW w:w="5053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6D2FBB9">
            <w:pPr>
              <w:keepNext w:val="0"/>
              <w:keepLines w:val="0"/>
              <w:spacing w:before="0" w:after="40" w:line="300" w:lineRule="atLeast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0"/>
                <w:szCs w:val="20"/>
              </w:rPr>
              <w:t>万店同盟</w:t>
            </w:r>
            <w:r>
              <w:rPr>
                <w:rFonts w:hint="eastAsia"/>
                <w:b/>
                <w:bCs/>
                <w:i w:val="0"/>
                <w:iCs w:val="0"/>
                <w:color w:val="203A5B"/>
                <w:sz w:val="20"/>
                <w:szCs w:val="20"/>
                <w:lang w:val="en-US" w:eastAsia="zh-CN"/>
              </w:rPr>
              <w:t>及碧桂园会员积分体系</w:t>
            </w:r>
          </w:p>
          <w:p w14:paraId="72D5F203">
            <w:pPr>
              <w:keepNext w:val="0"/>
              <w:keepLines w:val="0"/>
              <w:spacing w:before="0" w:after="65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项目负责人</w:t>
            </w:r>
          </w:p>
          <w:p w14:paraId="2944BDBE">
            <w:pPr>
              <w:keepNext w:val="0"/>
              <w:keepLines w:val="0"/>
              <w:spacing w:before="0" w:after="0" w:line="280" w:lineRule="atLeast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碧桂园官方指定分销在线数字营销平台，提供签约、分账、佣金结算、垫资等一体化服务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20242C"/>
                <w:sz w:val="19"/>
                <w:szCs w:val="19"/>
                <w:lang w:val="en-US" w:eastAsia="zh-CN"/>
              </w:rPr>
              <w:t>及会员体系。</w:t>
            </w:r>
          </w:p>
        </w:tc>
        <w:tc>
          <w:tcPr>
            <w:tcW w:w="5053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0CC7577">
            <w:pPr>
              <w:keepNext w:val="0"/>
              <w:keepLines w:val="0"/>
              <w:spacing w:before="0" w:after="40" w:line="300" w:lineRule="atLeast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财信发展（000838）并购案</w:t>
            </w:r>
          </w:p>
          <w:p w14:paraId="2537EE50">
            <w:pPr>
              <w:keepNext w:val="0"/>
              <w:keepLines w:val="0"/>
              <w:spacing w:before="0" w:after="65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项目负责人</w:t>
            </w:r>
          </w:p>
          <w:p w14:paraId="18B53034">
            <w:pPr>
              <w:keepNext w:val="0"/>
              <w:keepLines w:val="0"/>
              <w:spacing w:before="0" w:after="0" w:line="280" w:lineRule="atLeast"/>
              <w:jc w:val="left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 w:ascii="Arial" w:hAnsi="Arial" w:eastAsia="PingFang SC" w:cstheme="minorBidi"/>
                <w:b w:val="0"/>
                <w:bCs w:val="0"/>
                <w:i w:val="0"/>
                <w:iCs w:val="0"/>
                <w:color w:val="20242C"/>
                <w:sz w:val="19"/>
                <w:szCs w:val="19"/>
                <w:lang w:val="en-US" w:eastAsia="zh-CN"/>
              </w:rPr>
              <w:t>重庆财信集团整体并购交易方案设计，统筹从商务谈判到交易落地。</w:t>
            </w:r>
            <w:bookmarkStart w:id="0" w:name="_GoBack"/>
            <w:bookmarkEnd w:id="0"/>
          </w:p>
        </w:tc>
      </w:tr>
    </w:tbl>
    <w:p w14:paraId="7E036A32">
      <w:pPr>
        <w:keepNext/>
        <w:keepLines w:val="0"/>
        <w:pBdr>
          <w:bottom w:val="single" w:color="D5DCE5" w:sz="2" w:space="0"/>
        </w:pBdr>
        <w:spacing w:before="160" w:after="110" w:line="312" w:lineRule="auto"/>
      </w:pPr>
      <w:r>
        <w:rPr>
          <w:rFonts w:ascii="Arial" w:hAnsi="Arial" w:eastAsia="PingFang SC"/>
          <w:b/>
          <w:bCs/>
          <w:i w:val="0"/>
          <w:iCs w:val="0"/>
          <w:color w:val="203A5B"/>
          <w:sz w:val="24"/>
          <w:szCs w:val="24"/>
        </w:rPr>
        <w:t>教育背景</w:t>
      </w: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500"/>
        <w:gridCol w:w="3000"/>
        <w:gridCol w:w="2506"/>
      </w:tblGrid>
      <w:tr w14:paraId="21D0E711">
        <w:trPr>
          <w:cantSplit/>
        </w:trPr>
        <w:tc>
          <w:tcPr>
            <w:tcW w:w="21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203A5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BB3CB">
            <w:pPr>
              <w:keepNext w:val="0"/>
              <w:keepLines w:val="0"/>
              <w:spacing w:before="0" w:after="0" w:line="300" w:lineRule="atLeast"/>
              <w:jc w:val="center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25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203A5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8FE28">
            <w:pPr>
              <w:keepNext w:val="0"/>
              <w:keepLines w:val="0"/>
              <w:spacing w:before="0" w:after="0" w:line="300" w:lineRule="atLeast"/>
              <w:jc w:val="center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FFFFFF"/>
                <w:sz w:val="18"/>
                <w:szCs w:val="18"/>
              </w:rPr>
              <w:t>院校</w:t>
            </w:r>
          </w:p>
        </w:tc>
        <w:tc>
          <w:tcPr>
            <w:tcW w:w="30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203A5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73FE6">
            <w:pPr>
              <w:keepNext w:val="0"/>
              <w:keepLines w:val="0"/>
              <w:spacing w:before="0" w:after="0" w:line="300" w:lineRule="atLeast"/>
              <w:jc w:val="center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FFFFFF"/>
                <w:sz w:val="18"/>
                <w:szCs w:val="18"/>
              </w:rPr>
              <w:t>专业</w:t>
            </w:r>
          </w:p>
        </w:tc>
        <w:tc>
          <w:tcPr>
            <w:tcW w:w="25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203A5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90143">
            <w:pPr>
              <w:keepNext w:val="0"/>
              <w:keepLines w:val="0"/>
              <w:spacing w:before="0" w:after="0" w:line="300" w:lineRule="atLeast"/>
              <w:jc w:val="center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FFFFFF"/>
                <w:sz w:val="18"/>
                <w:szCs w:val="18"/>
              </w:rPr>
              <w:t>学位</w:t>
            </w:r>
          </w:p>
        </w:tc>
      </w:tr>
      <w:tr w14:paraId="56FF4A3D">
        <w:trPr>
          <w:cantSplit/>
        </w:trPr>
        <w:tc>
          <w:tcPr>
            <w:tcW w:w="21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CA7BC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2020.09 - 至今</w:t>
            </w:r>
          </w:p>
        </w:tc>
        <w:tc>
          <w:tcPr>
            <w:tcW w:w="25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33F66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西安交通大学</w:t>
            </w:r>
          </w:p>
        </w:tc>
        <w:tc>
          <w:tcPr>
            <w:tcW w:w="30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08D70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产业经济学</w:t>
            </w:r>
          </w:p>
        </w:tc>
        <w:tc>
          <w:tcPr>
            <w:tcW w:w="25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B3660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博士（在读）</w:t>
            </w:r>
          </w:p>
        </w:tc>
      </w:tr>
      <w:tr w14:paraId="7C7BBDC8">
        <w:trPr>
          <w:cantSplit/>
        </w:trPr>
        <w:tc>
          <w:tcPr>
            <w:tcW w:w="21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80B54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2016.09 - 2018.07</w:t>
            </w:r>
          </w:p>
        </w:tc>
        <w:tc>
          <w:tcPr>
            <w:tcW w:w="25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B6A5D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西安交通大学</w:t>
            </w:r>
          </w:p>
        </w:tc>
        <w:tc>
          <w:tcPr>
            <w:tcW w:w="30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6A8D6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工商管理</w:t>
            </w:r>
          </w:p>
        </w:tc>
        <w:tc>
          <w:tcPr>
            <w:tcW w:w="25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0A645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硕士</w:t>
            </w:r>
          </w:p>
        </w:tc>
      </w:tr>
      <w:tr w14:paraId="64173D26">
        <w:trPr>
          <w:cantSplit/>
        </w:trPr>
        <w:tc>
          <w:tcPr>
            <w:tcW w:w="21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2A7D5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2008.09 - 2012.07</w:t>
            </w:r>
          </w:p>
        </w:tc>
        <w:tc>
          <w:tcPr>
            <w:tcW w:w="25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52E45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宝鸡文理学院</w:t>
            </w:r>
          </w:p>
        </w:tc>
        <w:tc>
          <w:tcPr>
            <w:tcW w:w="3000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79733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行政管理</w:t>
            </w:r>
          </w:p>
        </w:tc>
        <w:tc>
          <w:tcPr>
            <w:tcW w:w="25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A3B5F">
            <w:pPr>
              <w:keepNext w:val="0"/>
              <w:keepLines w:val="0"/>
              <w:spacing w:before="0" w:after="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学士</w:t>
            </w:r>
          </w:p>
        </w:tc>
      </w:tr>
    </w:tbl>
    <w:p w14:paraId="2FA4EBF1">
      <w:pPr>
        <w:keepNext/>
        <w:keepLines w:val="0"/>
        <w:pBdr>
          <w:bottom w:val="single" w:color="D5DCE5" w:sz="2" w:space="0"/>
        </w:pBdr>
        <w:spacing w:before="160" w:after="110" w:line="312" w:lineRule="auto"/>
      </w:pPr>
      <w:r>
        <w:rPr>
          <w:rFonts w:ascii="Arial" w:hAnsi="Arial" w:eastAsia="PingFang SC"/>
          <w:b/>
          <w:bCs/>
          <w:i w:val="0"/>
          <w:iCs w:val="0"/>
          <w:color w:val="203A5B"/>
          <w:sz w:val="24"/>
          <w:szCs w:val="24"/>
        </w:rPr>
        <w:t>学术成果与荣誉</w:t>
      </w: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66FA5AC5">
        <w:trPr>
          <w:cantSplit/>
        </w:trPr>
        <w:tc>
          <w:tcPr>
            <w:tcW w:w="10106" w:type="dxa"/>
            <w:tcBorders>
              <w:top w:val="single" w:color="203A5B" w:sz="1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D23BAA">
            <w:pPr>
              <w:keepNext w:val="0"/>
              <w:keepLines w:val="0"/>
              <w:spacing w:before="0" w:after="8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0"/>
                <w:szCs w:val="20"/>
              </w:rPr>
              <w:t>论文发表</w:t>
            </w:r>
          </w:p>
          <w:p w14:paraId="7D7B9D26">
            <w:pPr>
              <w:pStyle w:val="16"/>
              <w:keepNext w:val="0"/>
              <w:keepLines w:val="0"/>
              <w:numPr>
                <w:ilvl w:val="0"/>
                <w:numId w:val="2"/>
              </w:numPr>
              <w:spacing w:after="50" w:line="29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Does the Opening of High-Speed Rail Change Urban Financial Agglomeration? Sustainability, 2024, 16(11): 4509.</w:t>
            </w:r>
          </w:p>
          <w:p w14:paraId="59F0D8F3">
            <w:pPr>
              <w:pStyle w:val="16"/>
              <w:keepNext w:val="0"/>
              <w:keepLines w:val="0"/>
              <w:numPr>
                <w:ilvl w:val="0"/>
                <w:numId w:val="2"/>
              </w:numPr>
              <w:spacing w:after="50" w:line="29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How firm's perception of economic policy uncertainty influences innovation quality. Economics of Innovation and New Technology.</w:t>
            </w:r>
          </w:p>
          <w:p w14:paraId="6AB93CDA">
            <w:pPr>
              <w:pStyle w:val="16"/>
              <w:keepNext w:val="0"/>
              <w:keepLines w:val="0"/>
              <w:numPr>
                <w:ilvl w:val="0"/>
                <w:numId w:val="2"/>
              </w:numPr>
              <w:spacing w:after="50" w:line="29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Spatial and Temporal Evolution of Urban Patent Quality: Evidence From China Prefectural Cities. SAGE Open, 2025.02.</w:t>
            </w:r>
          </w:p>
        </w:tc>
      </w:tr>
    </w:tbl>
    <w:p w14:paraId="706F8EF1">
      <w:pPr>
        <w:keepNext w:val="0"/>
        <w:keepLines w:val="0"/>
        <w:spacing w:before="0" w:after="20" w:line="300" w:lineRule="atLeast"/>
        <w:jc w:val="left"/>
      </w:pP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1973784E">
        <w:trPr>
          <w:cantSplit/>
        </w:trPr>
        <w:tc>
          <w:tcPr>
            <w:tcW w:w="10106" w:type="dxa"/>
            <w:tcBorders>
              <w:top w:val="single" w:color="203A5B" w:sz="1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EADDC0">
            <w:pPr>
              <w:keepNext w:val="0"/>
              <w:keepLines w:val="0"/>
              <w:spacing w:before="0" w:after="80" w:line="30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20"/>
                <w:szCs w:val="20"/>
              </w:rPr>
              <w:t>荣誉与科研成果</w:t>
            </w:r>
          </w:p>
          <w:p w14:paraId="54DFB2A1">
            <w:pPr>
              <w:pStyle w:val="16"/>
              <w:keepNext w:val="0"/>
              <w:keepLines w:val="0"/>
              <w:numPr>
                <w:ilvl w:val="0"/>
                <w:numId w:val="2"/>
              </w:numPr>
              <w:spacing w:after="50" w:line="29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陕西省哲学社会科学优秀成果奖（2022）</w:t>
            </w:r>
          </w:p>
          <w:p w14:paraId="1C30E7A9">
            <w:pPr>
              <w:pStyle w:val="16"/>
              <w:keepNext w:val="0"/>
              <w:keepLines w:val="0"/>
              <w:numPr>
                <w:ilvl w:val="0"/>
                <w:numId w:val="2"/>
              </w:numPr>
              <w:spacing w:after="50" w:line="290" w:lineRule="atLeas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产学研合作与高校创新质量提升研究（2025，课题编号：SJGH-QS-1）</w:t>
            </w:r>
          </w:p>
        </w:tc>
      </w:tr>
    </w:tbl>
    <w:p w14:paraId="40B77F75">
      <w:pPr>
        <w:keepNext/>
        <w:keepLines w:val="0"/>
        <w:pBdr>
          <w:bottom w:val="single" w:color="D5DCE5" w:sz="2" w:space="0"/>
        </w:pBdr>
        <w:spacing w:before="160" w:after="110" w:line="312" w:lineRule="auto"/>
      </w:pPr>
      <w:r>
        <w:rPr>
          <w:rFonts w:ascii="Arial" w:hAnsi="Arial" w:eastAsia="PingFang SC"/>
          <w:b/>
          <w:bCs/>
          <w:i w:val="0"/>
          <w:iCs w:val="0"/>
          <w:color w:val="203A5B"/>
          <w:sz w:val="24"/>
          <w:szCs w:val="24"/>
        </w:rPr>
        <w:t>发明专利</w:t>
      </w:r>
    </w:p>
    <w:tbl>
      <w:tblPr>
        <w:tblStyle w:val="11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5EA4BDD5">
        <w:trPr>
          <w:cantSplit/>
        </w:trPr>
        <w:tc>
          <w:tcPr>
            <w:tcW w:w="10106" w:type="dxa"/>
            <w:tcBorders>
              <w:top w:val="single" w:color="203A5B" w:sz="1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FFF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649D12A">
            <w:pPr>
              <w:keepNext w:val="0"/>
              <w:keepLines w:val="0"/>
              <w:spacing w:before="0" w:after="40" w:line="28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19"/>
                <w:szCs w:val="19"/>
              </w:rPr>
              <w:t>一种基于 WOE 转换实现信贷客户资质分类的方法</w:t>
            </w:r>
          </w:p>
          <w:p w14:paraId="15C87A0D">
            <w:pPr>
              <w:keepNext w:val="0"/>
              <w:keepLines w:val="0"/>
              <w:spacing w:before="0" w:after="7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CN 110335134 A</w:t>
            </w:r>
          </w:p>
          <w:p w14:paraId="63D4C1EE">
            <w:pPr>
              <w:keepNext w:val="0"/>
              <w:keepLines w:val="0"/>
              <w:spacing w:before="0" w:after="0" w:line="28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围绕信贷客户资质分类建模，强调降噪、提升模型学习效率与预测准确率。</w:t>
            </w:r>
          </w:p>
        </w:tc>
      </w:tr>
      <w:tr w14:paraId="78D3B0E6">
        <w:trPr>
          <w:cantSplit/>
        </w:trPr>
        <w:tc>
          <w:tcPr>
            <w:tcW w:w="10106" w:type="dxa"/>
            <w:tcBorders>
              <w:top w:val="single" w:color="D5DCE5" w:sz="0" w:space="0"/>
              <w:left w:val="single" w:color="D5DCE5" w:sz="0" w:space="0"/>
              <w:bottom w:val="single" w:color="D5DCE5" w:sz="0" w:space="0"/>
              <w:right w:val="single" w:color="D5DCE5" w:sz="0" w:space="0"/>
            </w:tcBorders>
            <w:shd w:val="clear" w:color="auto" w:fill="F6F8FB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318D040">
            <w:pPr>
              <w:keepNext w:val="0"/>
              <w:keepLines w:val="0"/>
              <w:spacing w:before="0" w:after="40" w:line="280" w:lineRule="atLeast"/>
              <w:jc w:val="left"/>
            </w:pPr>
            <w:r>
              <w:rPr>
                <w:rFonts w:ascii="Arial" w:hAnsi="Arial" w:eastAsia="PingFang SC"/>
                <w:b/>
                <w:bCs/>
                <w:i w:val="0"/>
                <w:iCs w:val="0"/>
                <w:color w:val="203A5B"/>
                <w:sz w:val="19"/>
                <w:szCs w:val="19"/>
              </w:rPr>
              <w:t>一种基于 WOE 转换通过机器学习的信贷客户资质分类方法</w:t>
            </w:r>
          </w:p>
          <w:p w14:paraId="5B352D60">
            <w:pPr>
              <w:keepNext w:val="0"/>
              <w:keepLines w:val="0"/>
              <w:spacing w:before="0" w:after="70" w:line="30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667085"/>
                <w:sz w:val="18"/>
                <w:szCs w:val="18"/>
              </w:rPr>
              <w:t>CN 110322335 A</w:t>
            </w:r>
          </w:p>
          <w:p w14:paraId="64204F73">
            <w:pPr>
              <w:keepNext w:val="0"/>
              <w:keepLines w:val="0"/>
              <w:spacing w:before="0" w:after="0" w:line="280" w:lineRule="atLeast"/>
              <w:jc w:val="left"/>
            </w:pPr>
            <w:r>
              <w:rPr>
                <w:rFonts w:ascii="Arial" w:hAnsi="Arial" w:eastAsia="PingFang SC"/>
                <w:b w:val="0"/>
                <w:bCs w:val="0"/>
                <w:i w:val="0"/>
                <w:iCs w:val="0"/>
                <w:color w:val="20242C"/>
                <w:sz w:val="19"/>
                <w:szCs w:val="19"/>
              </w:rPr>
              <w:t>通过机器学习实现不同资质客户分类，提高审批效率并增强客户资质变化的自适应能力。</w:t>
            </w:r>
          </w:p>
        </w:tc>
      </w:tr>
    </w:tbl>
    <w:p w14:paraId="2A56D7EE"/>
    <w:sectPr>
      <w:headerReference r:id="rId5" w:type="default"/>
      <w:footerReference r:id="rId6" w:type="default"/>
      <w:pgSz w:w="11906" w:h="16838"/>
      <w:pgMar w:top="1080" w:right="900" w:bottom="900" w:left="9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F75D6">
    <w:pPr>
      <w:jc w:val="center"/>
    </w:pPr>
    <w:r>
      <w:rPr>
        <w:rFonts w:ascii="Arial" w:hAnsi="Arial" w:eastAsia="PingFang SC"/>
        <w:b w:val="0"/>
        <w:bCs w:val="0"/>
        <w:i w:val="0"/>
        <w:iCs w:val="0"/>
        <w:color w:val="667085"/>
        <w:sz w:val="18"/>
        <w:szCs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PingFang SC"/>
        <w:b w:val="0"/>
        <w:bCs w:val="0"/>
        <w:i w:val="0"/>
        <w:iCs w:val="0"/>
        <w:color w:val="66708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D6BA7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101FF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AI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42101FF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Generated by AI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FA06C"/>
    <w:multiLevelType w:val="singleLevel"/>
    <w:tmpl w:val="D7FFA06C"/>
    <w:lvl w:ilvl="0" w:tentative="0">
      <w:start w:val="1"/>
      <w:numFmt w:val="bullet"/>
      <w:lvlText w:val="•"/>
      <w:lvlJc w:val="left"/>
      <w:pPr>
        <w:ind w:left="420" w:hanging="240"/>
      </w:pPr>
    </w:lvl>
  </w:abstractNum>
  <w:abstractNum w:abstractNumId="1">
    <w:nsid w:val="FD6FA883"/>
    <w:multiLevelType w:val="singleLevel"/>
    <w:tmpl w:val="FD6FA883"/>
    <w:lvl w:ilvl="0" w:tentative="0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58C992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PingFang SC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60" w:line="300" w:lineRule="atLeast"/>
    </w:pPr>
    <w:rPr>
      <w:rFonts w:ascii="Arial" w:hAnsi="Arial" w:eastAsia="PingFang SC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180" w:after="100" w:line="312" w:lineRule="auto"/>
      <w:outlineLvl w:val="0"/>
    </w:pPr>
    <w:rPr>
      <w:rFonts w:ascii="Arial" w:hAnsi="Arial" w:eastAsia="PingFang SC"/>
      <w:b/>
      <w:bCs/>
      <w:color w:val="203A5B"/>
      <w:sz w:val="28"/>
      <w:szCs w:val="28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这里的黎明静悄悄。</cp:lastModifiedBy>
  <dcterms:modified xsi:type="dcterms:W3CDTF">2026-07-31T19:02:26Z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75B34ABF6452BD69C2806C6AE4223C61_42</vt:lpwstr>
  </property>
</Properties>
</file>