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spacing w:after="80" w:before="0"/>
        <w:jc w:val="center"/>
      </w:pPr>
      <w:r>
        <w:rPr>
          <w:rFonts w:ascii="Arial" w:cs="Arial" w:eastAsia="Arial" w:hAnsi="Arial"/>
          <w:b/>
          <w:bCs/>
          <w:color w:val="0D47A1"/>
          <w:sz w:val="26"/>
          <w:szCs w:val="26"/>
        </w:rPr>
        <w:t xml:space="preserve">UNIVERSIDAD AUTÓNOMA DE NUEVO LEÓN</w:t>
      </w:r>
    </w:p>
    <w:p>
      <w:pPr>
        <w:spacing w:after="400" w:before="0"/>
        <w:jc w:val="center"/>
      </w:pPr>
      <w:r>
        <w:rPr>
          <w:rFonts w:ascii="Arial" w:cs="Arial" w:eastAsia="Arial" w:hAnsi="Arial"/>
          <w:b/>
          <w:bCs/>
          <w:color w:val="1565C0"/>
          <w:sz w:val="22"/>
          <w:szCs w:val="22"/>
        </w:rPr>
        <w:t xml:space="preserve">FACULTAD DE INGENIERÍA MECÁNICA Y ELÉCTRICA</w:t>
      </w:r>
    </w:p>
    <w:p>
      <w:pPr>
        <w:spacing w:after="120" w:before="0"/>
        <w:jc w:val="center"/>
      </w:pPr>
      <w:r>
        <w:rPr>
          <w:rFonts w:ascii="Arial" w:cs="Arial" w:eastAsia="Arial" w:hAnsi="Arial"/>
          <w:b/>
          <w:bCs/>
          <w:sz w:val="42"/>
          <w:szCs w:val="42"/>
        </w:rPr>
        <w:t xml:space="preserve">AVANCE DE PROYECTO</w:t>
      </w:r>
    </w:p>
    <w:p>
      <w:pPr>
        <w:spacing w:after="80" w:before="0"/>
        <w:jc w:val="center"/>
      </w:pPr>
      <w:r>
        <w:rPr>
          <w:rFonts w:ascii="Arial" w:cs="Arial" w:eastAsia="Arial" w:hAnsi="Arial"/>
          <w:color w:val="333333"/>
          <w:sz w:val="30"/>
          <w:szCs w:val="30"/>
        </w:rPr>
        <w:t xml:space="preserve">Sistema Integral de Gestión y Optimización</w:t>
      </w:r>
    </w:p>
    <w:p>
      <w:pPr>
        <w:spacing w:after="500" w:before="0"/>
        <w:jc w:val="center"/>
      </w:pPr>
      <w:r>
        <w:rPr>
          <w:rFonts w:ascii="Arial" w:cs="Arial" w:eastAsia="Arial" w:hAnsi="Arial"/>
          <w:color w:val="333333"/>
          <w:sz w:val="30"/>
          <w:szCs w:val="30"/>
        </w:rPr>
        <w:t xml:space="preserve">Programa de Transporte 100EGABUS</w:t>
      </w:r>
    </w:p>
    <w:p>
      <w:pPr>
        <w:spacing w:after="60" w:before="0"/>
        <w:jc w:val="center"/>
      </w:pPr>
      <w:r>
        <w:rPr>
          <w:rFonts w:ascii="Arial" w:cs="Arial" w:eastAsia="Arial" w:hAnsi="Arial"/>
          <w:color w:val="555555"/>
          <w:sz w:val="22"/>
          <w:szCs w:val="22"/>
        </w:rPr>
        <w:t xml:space="preserve">Modelado y simulación de sistemas dinámicos</w:t>
      </w:r>
    </w:p>
    <w:p>
      <w:pPr>
        <w:spacing w:after="60" w:before="0"/>
        <w:jc w:val="center"/>
      </w:pPr>
      <w:r>
        <w:rPr>
          <w:rFonts w:ascii="Arial" w:cs="Arial" w:eastAsia="Arial" w:hAnsi="Arial"/>
          <w:color w:val="555555"/>
          <w:sz w:val="22"/>
          <w:szCs w:val="22"/>
        </w:rPr>
        <w:t xml:space="preserve">Docente: Ing. Oralia Zamora Pequeño</w:t>
      </w:r>
    </w:p>
    <w:p>
      <w:pPr>
        <w:spacing w:after="240" w:before="0"/>
        <w:jc w:val="center"/>
      </w:pPr>
      <w:r>
        <w:rPr>
          <w:rFonts w:ascii="Arial" w:cs="Arial" w:eastAsia="Arial" w:hAnsi="Arial"/>
          <w:color w:val="555555"/>
          <w:sz w:val="22"/>
          <w:szCs w:val="22"/>
        </w:rPr>
        <w:t xml:space="preserve">Equipo 4  ·  Grupo 003  ·  Hora: N1-N4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Nombre</w:t>
            </w:r>
          </w:p>
        </w:tc>
        <w:tc>
          <w:tcPr>
            <w:tcW w:type="dxa" w:w="234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Matrícula</w:t>
            </w:r>
          </w:p>
        </w:tc>
        <w:tc>
          <w:tcPr>
            <w:tcW w:type="dxa" w:w="234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Carrera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Andrea Lizeth Gutiérrez Herrera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2005532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ITS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Lizbeth Gallegos Zamarripa</w:t>
            </w:r>
          </w:p>
        </w:tc>
        <w:tc>
          <w:tcPr>
            <w:tcW w:type="dxa" w:w="234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2073242</w:t>
            </w:r>
          </w:p>
        </w:tc>
        <w:tc>
          <w:tcPr>
            <w:tcW w:type="dxa" w:w="234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ITS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Raúl Iván de la Rosa Dimas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1953152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ITS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Juan Alberto Blanco Rojas</w:t>
            </w:r>
          </w:p>
        </w:tc>
        <w:tc>
          <w:tcPr>
            <w:tcW w:type="dxa" w:w="234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1960466</w:t>
            </w:r>
          </w:p>
        </w:tc>
        <w:tc>
          <w:tcPr>
            <w:tcW w:type="dxa" w:w="234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ITS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Hortensia Sánchez Balderas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2073329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ITS</w:t>
            </w:r>
          </w:p>
        </w:tc>
      </w:tr>
    </w:tbl>
    <w:p>
      <w:pPr>
        <w:spacing w:after="200" w:before="200"/>
      </w:pPr>
      <w:r>
        <w:t xml:space="preserve"/>
      </w:r>
    </w:p>
    <w:p>
      <w:pPr>
        <w:spacing w:after="0" w:before="0"/>
        <w:jc w:val="center"/>
      </w:pPr>
      <w:r>
        <w:rPr>
          <w:rFonts w:ascii="Arial" w:cs="Arial" w:eastAsia="Arial" w:hAnsi="Arial"/>
          <w:color w:val="888888"/>
          <w:sz w:val="20"/>
          <w:szCs w:val="20"/>
        </w:rPr>
        <w:t xml:space="preserve">Ciudad Universitaria, San Nicolás de los Garza, N.L.  ·  Mayo 2026</w:t>
      </w:r>
    </w:p>
    <w:p>
      <w:r>
        <w:br w:type="page"/>
      </w:r>
    </w:p>
    <w:p>
      <w:pPr>
        <w:pStyle w:val="Heading1"/>
        <w:pBdr>
          <w:bottom w:val="single" w:color="1565C0" w:sz="6" w:space="2"/>
        </w:pBdr>
        <w:spacing w:after="140" w:before="360"/>
      </w:pPr>
      <w:r>
        <w:rPr>
          <w:rFonts w:ascii="Arial" w:cs="Arial" w:eastAsia="Arial" w:hAnsi="Arial"/>
          <w:b/>
          <w:bCs/>
          <w:color w:val="0D47A1"/>
          <w:sz w:val="32"/>
          <w:szCs w:val="32"/>
        </w:rPr>
        <w:t xml:space="preserve">1. Introducción y contexto</w:t>
      </w:r>
    </w:p>
    <w:p>
      <w:pPr>
        <w:spacing w:after="80" w:before="60"/>
      </w:pPr>
      <w:r>
        <w:rPr>
          <w:rFonts w:ascii="Arial" w:cs="Arial" w:eastAsia="Arial" w:hAnsi="Arial"/>
          <w:sz w:val="22"/>
          <w:szCs w:val="22"/>
        </w:rPr>
        <w:t xml:space="preserve">El programa 100EGABUS, implementado por el municipio de Ciénega de Flores, Nuevo León, ofrece transporte gratuito a estudiantes de nivel preparatoria y universitario del área metropolitana. La ruta conecta el municipio con la Estación de Metro Sendero realizando 14 paradas estratégicas, operando de lunes a sábado con horarios fijos.</w:t>
      </w:r>
    </w:p>
    <w:p>
      <w:pPr>
        <w:spacing w:after="40" w:before="40"/>
      </w:pPr>
      <w:r>
        <w:t xml:space="preserve"/>
      </w:r>
    </w:p>
    <w:p>
      <w:pPr>
        <w:spacing w:after="80" w:before="60"/>
      </w:pPr>
      <w:r>
        <w:rPr>
          <w:rFonts w:ascii="Arial" w:cs="Arial" w:eastAsia="Arial" w:hAnsi="Arial"/>
          <w:sz w:val="22"/>
          <w:szCs w:val="22"/>
        </w:rPr>
        <w:t xml:space="preserve">A pesar del impacto social positivo del programa, el crecimiento en la demanda ha evidenciado limitaciones críticas en su gestión operativa. La presente propuesta plantea un sistema integral para transformar la operación de un esquema manual a uno basado en datos.</w:t>
      </w:r>
    </w:p>
    <w:p>
      <w:pPr>
        <w:spacing w:after="80" w:before="80"/>
      </w:pPr>
      <w:r>
        <w:t xml:space="preserve"/>
      </w:r>
    </w:p>
    <w:p>
      <w:pPr>
        <w:pStyle w:val="Heading2"/>
        <w:spacing w:after="100" w:before="260"/>
      </w:pPr>
      <w:r>
        <w:rPr>
          <w:rFonts w:ascii="Arial" w:cs="Arial" w:eastAsia="Arial" w:hAnsi="Arial"/>
          <w:b/>
          <w:bCs/>
          <w:color w:val="1565C0"/>
          <w:sz w:val="26"/>
          <w:szCs w:val="26"/>
        </w:rPr>
        <w:t xml:space="preserve">1.1 Problemática detectada</w:t>
      </w:r>
    </w:p>
    <w:p>
      <w:pPr>
        <w:pStyle w:val="ListParagraph"/>
        <w:numPr>
          <w:ilvl w:val="0"/>
          <w:numId w:val="2"/>
        </w:numPr>
        <w:spacing w:after="50" w:before="50"/>
      </w:pPr>
      <w:r>
        <w:rPr>
          <w:rFonts w:ascii="Arial" w:cs="Arial" w:eastAsia="Arial" w:hAnsi="Arial"/>
          <w:b w:val="false"/>
          <w:bCs w:val="false"/>
          <w:sz w:val="22"/>
          <w:szCs w:val="22"/>
        </w:rPr>
        <w:t xml:space="preserve">La gestión de estudiantes se realiza en hojas de cálculo de Excel sin estructura ni análisis.</w:t>
      </w:r>
    </w:p>
    <w:p>
      <w:pPr>
        <w:pStyle w:val="ListParagraph"/>
        <w:numPr>
          <w:ilvl w:val="0"/>
          <w:numId w:val="2"/>
        </w:numPr>
        <w:spacing w:after="50" w:before="50"/>
      </w:pPr>
      <w:r>
        <w:rPr>
          <w:rFonts w:ascii="Arial" w:cs="Arial" w:eastAsia="Arial" w:hAnsi="Arial"/>
          <w:b w:val="false"/>
          <w:bCs w:val="false"/>
          <w:sz w:val="22"/>
          <w:szCs w:val="22"/>
        </w:rPr>
        <w:t xml:space="preserve">No existe un registro que relacione a los usuarios con las paradas donde abordan.</w:t>
      </w:r>
    </w:p>
    <w:p>
      <w:pPr>
        <w:pStyle w:val="ListParagraph"/>
        <w:numPr>
          <w:ilvl w:val="0"/>
          <w:numId w:val="2"/>
        </w:numPr>
        <w:spacing w:after="50" w:before="50"/>
      </w:pPr>
      <w:r>
        <w:rPr>
          <w:rFonts w:ascii="Arial" w:cs="Arial" w:eastAsia="Arial" w:hAnsi="Arial"/>
          <w:b w:val="false"/>
          <w:bCs w:val="false"/>
          <w:sz w:val="22"/>
          <w:szCs w:val="22"/>
        </w:rPr>
        <w:t xml:space="preserve">La comunicación operativa depende de un grupo de WhatsApp saturado (límite de 256 miembros alcanzado).</w:t>
      </w:r>
    </w:p>
    <w:p>
      <w:pPr>
        <w:pStyle w:val="ListParagraph"/>
        <w:numPr>
          <w:ilvl w:val="0"/>
          <w:numId w:val="2"/>
        </w:numPr>
        <w:spacing w:after="50" w:before="50"/>
      </w:pPr>
      <w:r>
        <w:rPr>
          <w:rFonts w:ascii="Arial" w:cs="Arial" w:eastAsia="Arial" w:hAnsi="Arial"/>
          <w:b w:val="false"/>
          <w:bCs w:val="false"/>
          <w:sz w:val="22"/>
          <w:szCs w:val="22"/>
        </w:rPr>
        <w:t xml:space="preserve">No hay sistema que analice: demanda por parada, uso por horario, costos operativos ni eficiencia de rutas.</w:t>
      </w:r>
    </w:p>
    <w:p>
      <w:pPr>
        <w:pStyle w:val="ListParagraph"/>
        <w:numPr>
          <w:ilvl w:val="0"/>
          <w:numId w:val="2"/>
        </w:numPr>
        <w:spacing w:after="50" w:before="50"/>
      </w:pPr>
      <w:r>
        <w:rPr>
          <w:rFonts w:ascii="Arial" w:cs="Arial" w:eastAsia="Arial" w:hAnsi="Arial"/>
          <w:b w:val="false"/>
          <w:bCs w:val="false"/>
          <w:sz w:val="22"/>
          <w:szCs w:val="22"/>
        </w:rPr>
        <w:t xml:space="preserve">Un empleado municipal dedica tiempo exclusivamente a monitorear y enviar actualizaciones manuales.</w:t>
      </w:r>
    </w:p>
    <w:p>
      <w:pPr>
        <w:spacing w:after="80" w:before="80"/>
      </w:pPr>
      <w:r>
        <w:t xml:space="preserve"/>
      </w:r>
    </w:p>
    <w:p>
      <w:pPr>
        <w:pStyle w:val="Heading2"/>
        <w:spacing w:after="100" w:before="260"/>
      </w:pPr>
      <w:r>
        <w:rPr>
          <w:rFonts w:ascii="Arial" w:cs="Arial" w:eastAsia="Arial" w:hAnsi="Arial"/>
          <w:b/>
          <w:bCs/>
          <w:color w:val="1565C0"/>
          <w:sz w:val="26"/>
          <w:szCs w:val="26"/>
        </w:rPr>
        <w:t xml:space="preserve">1.2 Justificación</w:t>
      </w:r>
    </w:p>
    <w:p>
      <w:pPr>
        <w:spacing w:after="80" w:before="60"/>
      </w:pPr>
      <w:r>
        <w:rPr>
          <w:rFonts w:ascii="Arial" w:cs="Arial" w:eastAsia="Arial" w:hAnsi="Arial"/>
          <w:sz w:val="22"/>
          <w:szCs w:val="22"/>
        </w:rPr>
        <w:t xml:space="preserve">Un sistema de gestión y análisis permitirá transformar la operación del programa hacia un enfoque basado en datos, generando beneficios como: mejor organización de usuarios, información precisa sobre la demanda, reducción de costos operativos, optimización de rutas y horarios, y generación de reportes para la administración municipal.</w:t>
      </w:r>
    </w:p>
    <w:p>
      <w:r>
        <w:br w:type="page"/>
      </w:r>
    </w:p>
    <w:p>
      <w:pPr>
        <w:pStyle w:val="Heading1"/>
        <w:pBdr>
          <w:bottom w:val="single" w:color="1565C0" w:sz="6" w:space="2"/>
        </w:pBdr>
        <w:spacing w:after="140" w:before="360"/>
      </w:pPr>
      <w:r>
        <w:rPr>
          <w:rFonts w:ascii="Arial" w:cs="Arial" w:eastAsia="Arial" w:hAnsi="Arial"/>
          <w:b/>
          <w:bCs/>
          <w:color w:val="0D47A1"/>
          <w:sz w:val="32"/>
          <w:szCs w:val="32"/>
        </w:rPr>
        <w:t xml:space="preserve">2. Objetivos del proyecto</w:t>
      </w:r>
    </w:p>
    <w:p>
      <w:pPr>
        <w:pStyle w:val="Heading2"/>
        <w:spacing w:after="100" w:before="260"/>
      </w:pPr>
      <w:r>
        <w:rPr>
          <w:rFonts w:ascii="Arial" w:cs="Arial" w:eastAsia="Arial" w:hAnsi="Arial"/>
          <w:b/>
          <w:bCs/>
          <w:color w:val="1565C0"/>
          <w:sz w:val="26"/>
          <w:szCs w:val="26"/>
        </w:rPr>
        <w:t xml:space="preserve">2.1 Objetivo general</w:t>
      </w:r>
    </w:p>
    <w:p>
      <w:pPr>
        <w:spacing w:after="80" w:before="60"/>
      </w:pPr>
      <w:r>
        <w:rPr>
          <w:rFonts w:ascii="Arial" w:cs="Arial" w:eastAsia="Arial" w:hAnsi="Arial"/>
          <w:sz w:val="22"/>
          <w:szCs w:val="22"/>
        </w:rPr>
        <w:t xml:space="preserve">Desarrollar un sistema integral que permita la gestión de usuarios y el análisis de datos del programa 100EGABUS, con el fin de optimizar su operación y apoyar la toma de decisiones del municipio.</w:t>
      </w:r>
    </w:p>
    <w:p>
      <w:pPr>
        <w:spacing w:after="80" w:before="80"/>
      </w:pPr>
      <w:r>
        <w:t xml:space="preserve"/>
      </w:r>
    </w:p>
    <w:p>
      <w:pPr>
        <w:pStyle w:val="Heading2"/>
        <w:spacing w:after="100" w:before="260"/>
      </w:pPr>
      <w:r>
        <w:rPr>
          <w:rFonts w:ascii="Arial" w:cs="Arial" w:eastAsia="Arial" w:hAnsi="Arial"/>
          <w:b/>
          <w:bCs/>
          <w:color w:val="1565C0"/>
          <w:sz w:val="26"/>
          <w:szCs w:val="26"/>
        </w:rPr>
        <w:t xml:space="preserve">2.2 Objetivos específicos</w:t>
      </w:r>
    </w:p>
    <w:p>
      <w:pPr>
        <w:pStyle w:val="ListParagraph"/>
        <w:numPr>
          <w:ilvl w:val="0"/>
          <w:numId w:val="2"/>
        </w:numPr>
        <w:spacing w:after="50" w:before="50"/>
      </w:pPr>
      <w:r>
        <w:rPr>
          <w:rFonts w:ascii="Arial" w:cs="Arial" w:eastAsia="Arial" w:hAnsi="Arial"/>
          <w:b w:val="false"/>
          <w:bCs w:val="false"/>
          <w:sz w:val="22"/>
          <w:szCs w:val="22"/>
        </w:rPr>
        <w:t xml:space="preserve">Diseñar una base de datos estructurada de estudiantes y paradas.</w:t>
      </w:r>
    </w:p>
    <w:p>
      <w:pPr>
        <w:pStyle w:val="ListParagraph"/>
        <w:numPr>
          <w:ilvl w:val="0"/>
          <w:numId w:val="2"/>
        </w:numPr>
        <w:spacing w:after="50" w:before="50"/>
      </w:pPr>
      <w:r>
        <w:rPr>
          <w:rFonts w:ascii="Arial" w:cs="Arial" w:eastAsia="Arial" w:hAnsi="Arial"/>
          <w:b w:val="false"/>
          <w:bCs w:val="false"/>
          <w:sz w:val="22"/>
          <w:szCs w:val="22"/>
        </w:rPr>
        <w:t xml:space="preserve">Implementar un sistema de registro y control de usuarios con vigencia semestral.</w:t>
      </w:r>
    </w:p>
    <w:p>
      <w:pPr>
        <w:pStyle w:val="ListParagraph"/>
        <w:numPr>
          <w:ilvl w:val="0"/>
          <w:numId w:val="2"/>
        </w:numPr>
        <w:spacing w:after="50" w:before="50"/>
      </w:pPr>
      <w:r>
        <w:rPr>
          <w:rFonts w:ascii="Arial" w:cs="Arial" w:eastAsia="Arial" w:hAnsi="Arial"/>
          <w:b w:val="false"/>
          <w:bCs w:val="false"/>
          <w:sz w:val="22"/>
          <w:szCs w:val="22"/>
        </w:rPr>
        <w:t xml:space="preserve">Recabar y centralizar información sobre el uso real del transporte.</w:t>
      </w:r>
    </w:p>
    <w:p>
      <w:pPr>
        <w:pStyle w:val="ListParagraph"/>
        <w:numPr>
          <w:ilvl w:val="0"/>
          <w:numId w:val="2"/>
        </w:numPr>
        <w:spacing w:after="50" w:before="50"/>
      </w:pPr>
      <w:r>
        <w:rPr>
          <w:rFonts w:ascii="Arial" w:cs="Arial" w:eastAsia="Arial" w:hAnsi="Arial"/>
          <w:b w:val="false"/>
          <w:bCs w:val="false"/>
          <w:sz w:val="22"/>
          <w:szCs w:val="22"/>
        </w:rPr>
        <w:t xml:space="preserve">Desarrollar un dashboard interactivo para visualización de indicadores clave.</w:t>
      </w:r>
    </w:p>
    <w:p>
      <w:pPr>
        <w:pStyle w:val="ListParagraph"/>
        <w:numPr>
          <w:ilvl w:val="0"/>
          <w:numId w:val="2"/>
        </w:numPr>
        <w:spacing w:after="50" w:before="50"/>
      </w:pPr>
      <w:r>
        <w:rPr>
          <w:rFonts w:ascii="Arial" w:cs="Arial" w:eastAsia="Arial" w:hAnsi="Arial"/>
          <w:b w:val="false"/>
          <w:bCs w:val="false"/>
          <w:sz w:val="22"/>
          <w:szCs w:val="22"/>
        </w:rPr>
        <w:t xml:space="preserve">Analizar la eficiencia de rutas, tiempos de recorrido y costos operativos.</w:t>
      </w:r>
    </w:p>
    <w:p>
      <w:pPr>
        <w:pStyle w:val="ListParagraph"/>
        <w:numPr>
          <w:ilvl w:val="0"/>
          <w:numId w:val="2"/>
        </w:numPr>
        <w:spacing w:after="50" w:before="50"/>
      </w:pPr>
      <w:r>
        <w:rPr>
          <w:rFonts w:ascii="Arial" w:cs="Arial" w:eastAsia="Arial" w:hAnsi="Arial"/>
          <w:b w:val="false"/>
          <w:bCs w:val="false"/>
          <w:sz w:val="22"/>
          <w:szCs w:val="22"/>
        </w:rPr>
        <w:t xml:space="preserve">Cuantificar el consumo de combustible por trayecto, día y semana.</w:t>
      </w:r>
    </w:p>
    <w:p>
      <w:pPr>
        <w:pStyle w:val="ListParagraph"/>
        <w:numPr>
          <w:ilvl w:val="0"/>
          <w:numId w:val="2"/>
        </w:numPr>
        <w:spacing w:after="50" w:before="50"/>
      </w:pPr>
      <w:r>
        <w:rPr>
          <w:rFonts w:ascii="Arial" w:cs="Arial" w:eastAsia="Arial" w:hAnsi="Arial"/>
          <w:b w:val="false"/>
          <w:bCs w:val="false"/>
          <w:sz w:val="22"/>
          <w:szCs w:val="22"/>
        </w:rPr>
        <w:t xml:space="preserve">Proponer mejoras en la logística del servicio con base en datos reales.</w:t>
      </w:r>
    </w:p>
    <w:p>
      <w:r>
        <w:br w:type="page"/>
      </w:r>
    </w:p>
    <w:p>
      <w:pPr>
        <w:pStyle w:val="Heading1"/>
        <w:pBdr>
          <w:bottom w:val="single" w:color="1565C0" w:sz="6" w:space="2"/>
        </w:pBdr>
        <w:spacing w:after="140" w:before="360"/>
      </w:pPr>
      <w:r>
        <w:rPr>
          <w:rFonts w:ascii="Arial" w:cs="Arial" w:eastAsia="Arial" w:hAnsi="Arial"/>
          <w:b/>
          <w:bCs/>
          <w:color w:val="0D47A1"/>
          <w:sz w:val="32"/>
          <w:szCs w:val="32"/>
        </w:rPr>
        <w:t xml:space="preserve">3. Avance — Dashboard de gestión (Figma)</w:t>
      </w:r>
    </w:p>
    <w:p>
      <w:pPr>
        <w:spacing w:after="80" w:before="60"/>
      </w:pPr>
      <w:r>
        <w:rPr>
          <w:rFonts w:ascii="Arial" w:cs="Arial" w:eastAsia="Arial" w:hAnsi="Arial"/>
          <w:sz w:val="22"/>
          <w:szCs w:val="22"/>
        </w:rPr>
        <w:t xml:space="preserve">Se han diseñado cuatro módulos del dashboard que conforman el sistema integral. Cada módulo aborda una dimensión crítica de la operación del servicio.</w:t>
      </w:r>
    </w:p>
    <w:p>
      <w:pPr>
        <w:spacing w:after="80" w:before="80"/>
      </w:pPr>
      <w:r>
        <w:t xml:space="preserve"/>
      </w:r>
    </w:p>
    <w:p>
      <w:pPr>
        <w:pStyle w:val="Heading2"/>
        <w:spacing w:after="100" w:before="260"/>
      </w:pPr>
      <w:r>
        <w:rPr>
          <w:rFonts w:ascii="Arial" w:cs="Arial" w:eastAsia="Arial" w:hAnsi="Arial"/>
          <w:b/>
          <w:bCs/>
          <w:color w:val="1565C0"/>
          <w:sz w:val="26"/>
          <w:szCs w:val="26"/>
        </w:rPr>
        <w:t xml:space="preserve">Módulo 1 — Usuarios y Demanda</w:t>
      </w:r>
    </w:p>
    <w:p>
      <w:pPr>
        <w:spacing w:after="80" w:before="60"/>
      </w:pPr>
      <w:r>
        <w:rPr>
          <w:rFonts w:ascii="Arial" w:cs="Arial" w:eastAsia="Arial" w:hAnsi="Arial"/>
          <w:sz w:val="22"/>
          <w:szCs w:val="22"/>
        </w:rPr>
        <w:t xml:space="preserve">Registro centralizado de estudiantes y asignación de paradas. Permite visualizar el total de usuarios activos, su distribución por nivel educativo y la demanda en cada punto de la ruta.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3F2FD" w:val="clear"/>
            <w:tcMar>
              <w:top w:type="dxa" w:w="130"/>
              <w:left w:type="dxa" w:w="150"/>
              <w:bottom w:type="dxa" w:w="130"/>
              <w:right w:type="dxa" w:w="150"/>
            </w:tcMar>
          </w:tcPr>
          <w:p>
            <w:r>
              <w:rPr>
                <w:rFonts w:ascii="Arial" w:cs="Arial" w:eastAsia="Arial" w:hAnsi="Arial"/>
                <w:color w:val="1565C0"/>
                <w:sz w:val="18"/>
                <w:szCs w:val="18"/>
              </w:rPr>
              <w:t xml:space="preserve">Total usuarios activos</w:t>
            </w:r>
          </w:p>
          <w:p>
            <w:pPr>
              <w:spacing w:before="40"/>
            </w:pPr>
            <w:r>
              <w:rPr>
                <w:rFonts w:ascii="Arial" w:cs="Arial" w:eastAsia="Arial" w:hAnsi="Arial"/>
                <w:b/>
                <w:bCs/>
                <w:color w:val="0D47A1"/>
                <w:sz w:val="30"/>
                <w:szCs w:val="30"/>
              </w:rPr>
              <w:t xml:space="preserve">2,847</w:t>
            </w:r>
          </w:p>
          <w:p>
            <w:r>
              <w:rPr>
                <w:rFonts w:ascii="Arial" w:cs="Arial" w:eastAsia="Arial" w:hAnsi="Arial"/>
                <w:i/>
                <w:iCs/>
                <w:color w:val="888888"/>
                <w:sz w:val="17"/>
                <w:szCs w:val="17"/>
              </w:rPr>
              <w:t xml:space="preserve">Registrados en el sistema</w:t>
            </w:r>
          </w:p>
        </w:tc>
        <w:tc>
          <w:tcPr>
            <w:tcW w:type="dxa" w:w="3120"/>
            <w:tcBorders>
              <w:top w:val="single" w:color="CCCCCC" w:sz="1"/>
              <w:left w:val="single" w:color="CCCCCC" w:sz="1"/>
              <w:bottom w:val="single" w:color="CCCCCC" w:sz="1"/>
              <w:right w:val="single" w:color="CCCCCC" w:sz="1"/>
            </w:tcBorders>
            <w:shd w:fill="E3F2FD" w:val="clear"/>
            <w:tcMar>
              <w:top w:type="dxa" w:w="130"/>
              <w:left w:type="dxa" w:w="150"/>
              <w:bottom w:type="dxa" w:w="130"/>
              <w:right w:type="dxa" w:w="150"/>
            </w:tcMar>
          </w:tcPr>
          <w:p>
            <w:r>
              <w:rPr>
                <w:rFonts w:ascii="Arial" w:cs="Arial" w:eastAsia="Arial" w:hAnsi="Arial"/>
                <w:color w:val="1565C0"/>
                <w:sz w:val="18"/>
                <w:szCs w:val="18"/>
              </w:rPr>
              <w:t xml:space="preserve">Nivel preparatoria</w:t>
            </w:r>
          </w:p>
          <w:p>
            <w:pPr>
              <w:spacing w:before="40"/>
            </w:pPr>
            <w:r>
              <w:rPr>
                <w:rFonts w:ascii="Arial" w:cs="Arial" w:eastAsia="Arial" w:hAnsi="Arial"/>
                <w:b/>
                <w:bCs/>
                <w:color w:val="0D47A1"/>
                <w:sz w:val="30"/>
                <w:szCs w:val="30"/>
              </w:rPr>
              <w:t xml:space="preserve">1,456</w:t>
            </w:r>
          </w:p>
          <w:p>
            <w:r>
              <w:rPr>
                <w:rFonts w:ascii="Arial" w:cs="Arial" w:eastAsia="Arial" w:hAnsi="Arial"/>
                <w:i/>
                <w:iCs/>
                <w:color w:val="888888"/>
                <w:sz w:val="17"/>
                <w:szCs w:val="17"/>
              </w:rPr>
              <w:t xml:space="preserve">51.1% del total</w:t>
            </w:r>
          </w:p>
        </w:tc>
        <w:tc>
          <w:tcPr>
            <w:tcW w:type="dxa" w:w="3120"/>
            <w:tcBorders>
              <w:top w:val="single" w:color="CCCCCC" w:sz="1"/>
              <w:left w:val="single" w:color="CCCCCC" w:sz="1"/>
              <w:bottom w:val="single" w:color="CCCCCC" w:sz="1"/>
              <w:right w:val="single" w:color="CCCCCC" w:sz="1"/>
            </w:tcBorders>
            <w:shd w:fill="E3F2FD" w:val="clear"/>
            <w:tcMar>
              <w:top w:type="dxa" w:w="130"/>
              <w:left w:type="dxa" w:w="150"/>
              <w:bottom w:type="dxa" w:w="130"/>
              <w:right w:type="dxa" w:w="150"/>
            </w:tcMar>
          </w:tcPr>
          <w:p>
            <w:r>
              <w:rPr>
                <w:rFonts w:ascii="Arial" w:cs="Arial" w:eastAsia="Arial" w:hAnsi="Arial"/>
                <w:color w:val="1565C0"/>
                <w:sz w:val="18"/>
                <w:szCs w:val="18"/>
              </w:rPr>
              <w:t xml:space="preserve">Nivel universidad</w:t>
            </w:r>
          </w:p>
          <w:p>
            <w:pPr>
              <w:spacing w:before="40"/>
            </w:pPr>
            <w:r>
              <w:rPr>
                <w:rFonts w:ascii="Arial" w:cs="Arial" w:eastAsia="Arial" w:hAnsi="Arial"/>
                <w:b/>
                <w:bCs/>
                <w:color w:val="0D47A1"/>
                <w:sz w:val="30"/>
                <w:szCs w:val="30"/>
              </w:rPr>
              <w:t xml:space="preserve">1,391</w:t>
            </w:r>
          </w:p>
          <w:p>
            <w:r>
              <w:rPr>
                <w:rFonts w:ascii="Arial" w:cs="Arial" w:eastAsia="Arial" w:hAnsi="Arial"/>
                <w:i/>
                <w:iCs/>
                <w:color w:val="888888"/>
                <w:sz w:val="17"/>
                <w:szCs w:val="17"/>
              </w:rPr>
              <w:t xml:space="preserve">48.9% del total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Parada</w:t>
            </w:r>
          </w:p>
        </w:tc>
        <w:tc>
          <w:tcPr>
            <w:tcW w:type="dxa" w:w="234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Usuarios registrados</w:t>
            </w:r>
          </w:p>
        </w:tc>
        <w:tc>
          <w:tcPr>
            <w:tcW w:type="dxa" w:w="234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Nivel de demanda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Centro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324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 Alta</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Villas de Alcalá</w:t>
            </w:r>
          </w:p>
        </w:tc>
        <w:tc>
          <w:tcPr>
            <w:tcW w:type="dxa" w:w="234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289</w:t>
            </w:r>
          </w:p>
        </w:tc>
        <w:tc>
          <w:tcPr>
            <w:tcW w:type="dxa" w:w="234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 Alta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Sendero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156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 Media</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Preparatoria 25</w:t>
            </w:r>
          </w:p>
        </w:tc>
        <w:tc>
          <w:tcPr>
            <w:tcW w:type="dxa" w:w="234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98</w:t>
            </w:r>
          </w:p>
        </w:tc>
        <w:tc>
          <w:tcPr>
            <w:tcW w:type="dxa" w:w="234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 Baja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Demás paradas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2,180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Por recolectar</w:t>
            </w:r>
          </w:p>
        </w:tc>
      </w:tr>
    </w:tbl>
    <w:p>
      <w:pPr>
        <w:spacing w:after="60" w:before="60"/>
      </w:pPr>
      <w:r>
        <w:rPr>
          <w:rFonts w:ascii="Arial" w:cs="Arial" w:eastAsia="Arial" w:hAnsi="Arial"/>
          <w:i/>
          <w:iCs/>
          <w:color w:val="666666"/>
          <w:sz w:val="19"/>
          <w:szCs w:val="19"/>
        </w:rPr>
        <w:t xml:space="preserve">Nota: los datos de paradas adicionales se completarán con observación de campo.</w:t>
      </w:r>
    </w:p>
    <w:p>
      <w:pPr>
        <w:spacing w:after="160" w:before="160"/>
      </w:pPr>
      <w:r>
        <w:t xml:space="preserve"/>
      </w:r>
    </w:p>
    <w:p>
      <w:pPr>
        <w:pStyle w:val="Heading2"/>
        <w:spacing w:after="100" w:before="260"/>
      </w:pPr>
      <w:r>
        <w:rPr>
          <w:rFonts w:ascii="Arial" w:cs="Arial" w:eastAsia="Arial" w:hAnsi="Arial"/>
          <w:b/>
          <w:bCs/>
          <w:color w:val="1565C0"/>
          <w:sz w:val="26"/>
          <w:szCs w:val="26"/>
        </w:rPr>
        <w:t xml:space="preserve">Módulo 2 — Operaciones y Rutas</w:t>
      </w:r>
    </w:p>
    <w:p>
      <w:pPr>
        <w:spacing w:after="80" w:before="60"/>
      </w:pPr>
      <w:r>
        <w:rPr>
          <w:rFonts w:ascii="Arial" w:cs="Arial" w:eastAsia="Arial" w:hAnsi="Arial"/>
          <w:sz w:val="22"/>
          <w:szCs w:val="22"/>
        </w:rPr>
        <w:t xml:space="preserve">Monitoreo de eficiencia operativa y optimización de trayectos. Registra el tiempo promedio de recorrido y el nivel de ocupación de las unidades por ruta, permitiendo detectar cuellos de botella y proponer ajustes.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Ruta</w:t>
            </w:r>
          </w:p>
        </w:tc>
        <w:tc>
          <w:tcPr>
            <w:tcW w:type="dxa" w:w="234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Tiempo promedio</w:t>
            </w:r>
          </w:p>
        </w:tc>
        <w:tc>
          <w:tcPr>
            <w:tcW w:type="dxa" w:w="234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Ocupación</w:t>
            </w:r>
          </w:p>
        </w:tc>
        <w:tc>
          <w:tcPr>
            <w:tcW w:type="dxa" w:w="234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Evaluación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Ruta Norte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45 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85%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Eficiente</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Ruta Sur</w:t>
            </w:r>
          </w:p>
        </w:tc>
        <w:tc>
          <w:tcPr>
            <w:tcW w:type="dxa" w:w="234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52 min</w:t>
            </w:r>
          </w:p>
        </w:tc>
        <w:tc>
          <w:tcPr>
            <w:tcW w:type="dxa" w:w="234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73%</w:t>
            </w:r>
          </w:p>
        </w:tc>
        <w:tc>
          <w:tcPr>
            <w:tcW w:type="dxa" w:w="234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Normal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Ruta Este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38 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92%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Alta eficiencia</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Ruta Oeste</w:t>
            </w:r>
          </w:p>
        </w:tc>
        <w:tc>
          <w:tcPr>
            <w:tcW w:type="dxa" w:w="234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41 min</w:t>
            </w:r>
          </w:p>
        </w:tc>
        <w:tc>
          <w:tcPr>
            <w:tcW w:type="dxa" w:w="234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67%</w:t>
            </w:r>
          </w:p>
        </w:tc>
        <w:tc>
          <w:tcPr>
            <w:tcW w:type="dxa" w:w="234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Normal</w:t>
            </w:r>
          </w:p>
        </w:tc>
      </w:tr>
    </w:tbl>
    <w:p>
      <w:pPr>
        <w:spacing w:after="60" w:before="60"/>
      </w:pPr>
      <w:r>
        <w:t xml:space="preserve"/>
      </w:r>
    </w:p>
    <w:p>
      <w:pPr>
        <w:pBdr>
          <w:left w:val="single" w:color="1565C0" w:sz="12" w:space="4"/>
        </w:pBdr>
        <w:shd w:fill="E3F2FD" w:val="clear"/>
        <w:spacing w:after="60" w:before="60"/>
      </w:pPr>
      <w:r>
        <w:rPr>
          <w:rFonts w:ascii="Arial" w:cs="Arial" w:eastAsia="Arial" w:hAnsi="Arial"/>
          <w:b/>
          <w:bCs/>
          <w:color w:val="0D47A1"/>
          <w:sz w:val="21"/>
          <w:szCs w:val="21"/>
        </w:rPr>
        <w:t xml:space="preserve">Optimización sugerida: </w:t>
      </w:r>
      <w:r>
        <w:rPr>
          <w:rFonts w:ascii="Arial" w:cs="Arial" w:eastAsia="Arial" w:hAnsi="Arial"/>
          <w:sz w:val="21"/>
          <w:szCs w:val="21"/>
        </w:rPr>
        <w:t xml:space="preserve">La Ruta Este muestra la mayor eficiencia con 38 min de recorrido y 92% de ocupación. Se recomienda analizar sus características (frecuencia de paradas, tramo de carretera) para replicar el modelo en las rutas con menor rendimiento.</w:t>
      </w:r>
    </w:p>
    <w:p>
      <w:pPr>
        <w:spacing w:after="160" w:before="160"/>
      </w:pPr>
      <w:r>
        <w:t xml:space="preserve"/>
      </w:r>
    </w:p>
    <w:p>
      <w:pPr>
        <w:pStyle w:val="Heading2"/>
        <w:spacing w:after="100" w:before="260"/>
      </w:pPr>
      <w:r>
        <w:rPr>
          <w:rFonts w:ascii="Arial" w:cs="Arial" w:eastAsia="Arial" w:hAnsi="Arial"/>
          <w:b/>
          <w:bCs/>
          <w:color w:val="1565C0"/>
          <w:sz w:val="26"/>
          <w:szCs w:val="26"/>
        </w:rPr>
        <w:t xml:space="preserve">Módulo 3 — Costos y Recursos</w:t>
      </w:r>
    </w:p>
    <w:p>
      <w:pPr>
        <w:spacing w:after="80" w:before="60"/>
      </w:pPr>
      <w:r>
        <w:rPr>
          <w:rFonts w:ascii="Arial" w:cs="Arial" w:eastAsia="Arial" w:hAnsi="Arial"/>
          <w:sz w:val="22"/>
          <w:szCs w:val="22"/>
        </w:rPr>
        <w:t xml:space="preserve">Control de gastos operativos y análisis detallado del consumo de combustible. Este módulo permite al municipio conocer el costo real por estudiante transportado y programar el reabastecimiento de manera eficiente.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3F2FD" w:val="clear"/>
            <w:tcMar>
              <w:top w:type="dxa" w:w="130"/>
              <w:left w:type="dxa" w:w="150"/>
              <w:bottom w:type="dxa" w:w="130"/>
              <w:right w:type="dxa" w:w="150"/>
            </w:tcMar>
          </w:tcPr>
          <w:p>
            <w:r>
              <w:rPr>
                <w:rFonts w:ascii="Arial" w:cs="Arial" w:eastAsia="Arial" w:hAnsi="Arial"/>
                <w:color w:val="1565C0"/>
                <w:sz w:val="18"/>
                <w:szCs w:val="18"/>
              </w:rPr>
              <w:t xml:space="preserve">Gasto mensual total</w:t>
            </w:r>
          </w:p>
          <w:p>
            <w:pPr>
              <w:spacing w:before="40"/>
            </w:pPr>
            <w:r>
              <w:rPr>
                <w:rFonts w:ascii="Arial" w:cs="Arial" w:eastAsia="Arial" w:hAnsi="Arial"/>
                <w:b/>
                <w:bCs/>
                <w:color w:val="0D47A1"/>
                <w:sz w:val="30"/>
                <w:szCs w:val="30"/>
              </w:rPr>
              <w:t xml:space="preserve">$127,450</w:t>
            </w:r>
          </w:p>
          <w:p>
            <w:r>
              <w:rPr>
                <w:rFonts w:ascii="Arial" w:cs="Arial" w:eastAsia="Arial" w:hAnsi="Arial"/>
                <w:i/>
                <w:iCs/>
                <w:color w:val="888888"/>
                <w:sz w:val="17"/>
                <w:szCs w:val="17"/>
              </w:rPr>
              <w:t xml:space="preserve">pesos MXN</w:t>
            </w:r>
          </w:p>
        </w:tc>
        <w:tc>
          <w:tcPr>
            <w:tcW w:type="dxa" w:w="3120"/>
            <w:tcBorders>
              <w:top w:val="single" w:color="CCCCCC" w:sz="1"/>
              <w:left w:val="single" w:color="CCCCCC" w:sz="1"/>
              <w:bottom w:val="single" w:color="CCCCCC" w:sz="1"/>
              <w:right w:val="single" w:color="CCCCCC" w:sz="1"/>
            </w:tcBorders>
            <w:shd w:fill="E3F2FD" w:val="clear"/>
            <w:tcMar>
              <w:top w:type="dxa" w:w="130"/>
              <w:left w:type="dxa" w:w="150"/>
              <w:bottom w:type="dxa" w:w="130"/>
              <w:right w:type="dxa" w:w="150"/>
            </w:tcMar>
          </w:tcPr>
          <w:p>
            <w:r>
              <w:rPr>
                <w:rFonts w:ascii="Arial" w:cs="Arial" w:eastAsia="Arial" w:hAnsi="Arial"/>
                <w:color w:val="1565C0"/>
                <w:sz w:val="18"/>
                <w:szCs w:val="18"/>
              </w:rPr>
              <w:t xml:space="preserve">Costo/estudiante/mes</w:t>
            </w:r>
          </w:p>
          <w:p>
            <w:pPr>
              <w:spacing w:before="40"/>
            </w:pPr>
            <w:r>
              <w:rPr>
                <w:rFonts w:ascii="Arial" w:cs="Arial" w:eastAsia="Arial" w:hAnsi="Arial"/>
                <w:b/>
                <w:bCs/>
                <w:color w:val="0D47A1"/>
                <w:sz w:val="30"/>
                <w:szCs w:val="30"/>
              </w:rPr>
              <w:t xml:space="preserve">$44.80</w:t>
            </w:r>
          </w:p>
          <w:p>
            <w:r>
              <w:rPr>
                <w:rFonts w:ascii="Arial" w:cs="Arial" w:eastAsia="Arial" w:hAnsi="Arial"/>
                <w:i/>
                <w:iCs/>
                <w:color w:val="888888"/>
                <w:sz w:val="17"/>
                <w:szCs w:val="17"/>
              </w:rPr>
              <w:t xml:space="preserve">pesos MXN</w:t>
            </w:r>
          </w:p>
        </w:tc>
        <w:tc>
          <w:tcPr>
            <w:tcW w:type="dxa" w:w="3120"/>
            <w:tcBorders>
              <w:top w:val="single" w:color="CCCCCC" w:sz="1"/>
              <w:left w:val="single" w:color="CCCCCC" w:sz="1"/>
              <w:bottom w:val="single" w:color="CCCCCC" w:sz="1"/>
              <w:right w:val="single" w:color="CCCCCC" w:sz="1"/>
            </w:tcBorders>
            <w:shd w:fill="E3F2FD" w:val="clear"/>
            <w:tcMar>
              <w:top w:type="dxa" w:w="130"/>
              <w:left w:type="dxa" w:w="150"/>
              <w:bottom w:type="dxa" w:w="130"/>
              <w:right w:type="dxa" w:w="150"/>
            </w:tcMar>
          </w:tcPr>
          <w:p>
            <w:r>
              <w:rPr>
                <w:rFonts w:ascii="Arial" w:cs="Arial" w:eastAsia="Arial" w:hAnsi="Arial"/>
                <w:color w:val="1565C0"/>
                <w:sz w:val="18"/>
                <w:szCs w:val="18"/>
              </w:rPr>
              <w:t xml:space="preserve">Usuarios/día</w:t>
            </w:r>
          </w:p>
          <w:p>
            <w:pPr>
              <w:spacing w:before="40"/>
            </w:pPr>
            <w:r>
              <w:rPr>
                <w:rFonts w:ascii="Arial" w:cs="Arial" w:eastAsia="Arial" w:hAnsi="Arial"/>
                <w:b/>
                <w:bCs/>
                <w:color w:val="0D47A1"/>
                <w:sz w:val="30"/>
                <w:szCs w:val="30"/>
              </w:rPr>
              <w:t xml:space="preserve">2,156</w:t>
            </w:r>
          </w:p>
          <w:p>
            <w:r>
              <w:rPr>
                <w:rFonts w:ascii="Arial" w:cs="Arial" w:eastAsia="Arial" w:hAnsi="Arial"/>
                <w:i/>
                <w:iCs/>
                <w:color w:val="888888"/>
                <w:sz w:val="17"/>
                <w:szCs w:val="17"/>
              </w:rPr>
              <w:t xml:space="preserve">promedio transportados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Concepto</w:t>
            </w:r>
          </w:p>
        </w:tc>
        <w:tc>
          <w:tcPr>
            <w:tcW w:type="dxa" w:w="234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Monto mensual</w:t>
            </w:r>
          </w:p>
        </w:tc>
        <w:tc>
          <w:tcPr>
            <w:tcW w:type="dxa" w:w="234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 del total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Combustible (diesel)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$89,200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70%</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Mantenimiento de unidades</w:t>
            </w:r>
          </w:p>
        </w:tc>
        <w:tc>
          <w:tcPr>
            <w:tcW w:type="dxa" w:w="234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$28,500</w:t>
            </w:r>
          </w:p>
        </w:tc>
        <w:tc>
          <w:tcPr>
            <w:tcW w:type="dxa" w:w="234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22.4%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Operadores / choferes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$9,750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7.6%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$127,450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100%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Métrica operativa</w:t>
            </w:r>
          </w:p>
        </w:tc>
        <w:tc>
          <w:tcPr>
            <w:tcW w:type="dxa" w:w="468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Valor calculado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Consumo diario de combustible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420 litros (ambas unidades)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Km recorridos por día (ambas unidades)</w:t>
            </w:r>
          </w:p>
        </w:tc>
        <w:tc>
          <w:tcPr>
            <w:tcW w:type="dxa" w:w="468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1,247 km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Rendimiento operativo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3.2 km/litro (ciclo urbano-carretera)</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Eficiencia L/100km</w:t>
            </w:r>
          </w:p>
        </w:tc>
        <w:tc>
          <w:tcPr>
            <w:tcW w:type="dxa" w:w="468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33.7 litros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Consumo por vuelta completa (56 km)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17.5 litros</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Capacidad del tanque por unidad</w:t>
            </w:r>
          </w:p>
        </w:tc>
        <w:tc>
          <w:tcPr>
            <w:tcW w:type="dxa" w:w="468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250 litros (~3 días de autonomía)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Distancia a gasolinera desde Sendero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1.2 km (más 1.3 km de retorno)</w:t>
            </w:r>
          </w:p>
        </w:tc>
      </w:tr>
    </w:tbl>
    <w:p>
      <w:pPr>
        <w:spacing w:after="160" w:before="160"/>
      </w:pPr>
      <w:r>
        <w:t xml:space="preserve"/>
      </w:r>
    </w:p>
    <w:p>
      <w:pPr>
        <w:pStyle w:val="Heading2"/>
        <w:spacing w:after="100" w:before="260"/>
      </w:pPr>
      <w:r>
        <w:rPr>
          <w:rFonts w:ascii="Arial" w:cs="Arial" w:eastAsia="Arial" w:hAnsi="Arial"/>
          <w:b/>
          <w:bCs/>
          <w:color w:val="1565C0"/>
          <w:sz w:val="26"/>
          <w:szCs w:val="26"/>
        </w:rPr>
        <w:t xml:space="preserve">Módulo 4 — Indicadores clave (KPIs) y Mejoras</w:t>
      </w:r>
    </w:p>
    <w:p>
      <w:pPr>
        <w:spacing w:after="80" w:before="60"/>
      </w:pPr>
      <w:r>
        <w:rPr>
          <w:rFonts w:ascii="Arial" w:cs="Arial" w:eastAsia="Arial" w:hAnsi="Arial"/>
          <w:sz w:val="22"/>
          <w:szCs w:val="22"/>
        </w:rPr>
        <w:t xml:space="preserve">Panel de indicadores de rendimiento del servicio. Permite al municipio medir el desempeño actual, compararlo contra las metas establecidas e identificar oportunidades de mejora.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20"/>
        <w:gridCol w:w="2120"/>
        <w:gridCol w:w="2520"/>
      </w:tblGrid>
      <w:tr>
        <w:trPr>
          <w:tblHeader/>
        </w:trPr>
        <w:tc>
          <w:tcPr>
            <w:tcW w:type="dxa" w:w="260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Indicador (KPI)</w:t>
            </w:r>
          </w:p>
        </w:tc>
        <w:tc>
          <w:tcPr>
            <w:tcW w:type="dxa" w:w="212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Valor actual</w:t>
            </w:r>
          </w:p>
        </w:tc>
        <w:tc>
          <w:tcPr>
            <w:tcW w:type="dxa" w:w="212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Meta</w:t>
            </w:r>
          </w:p>
        </w:tc>
        <w:tc>
          <w:tcPr>
            <w:tcW w:type="dxa" w:w="252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Estado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Puntualidad de salidas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87%</w:t>
            </w:r>
          </w:p>
        </w:tc>
        <w:tc>
          <w:tcPr>
            <w:tcW w:type="dxa" w:w="2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90%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En progreso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Satisfacción de usuarios</w:t>
            </w:r>
          </w:p>
        </w:tc>
        <w:tc>
          <w:tcPr>
            <w:tcW w:type="dxa" w:w="212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8.2 / 10</w:t>
            </w:r>
          </w:p>
        </w:tc>
        <w:tc>
          <w:tcPr>
            <w:tcW w:type="dxa" w:w="212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9.0 / 10</w:t>
            </w:r>
          </w:p>
        </w:tc>
        <w:tc>
          <w:tcPr>
            <w:tcW w:type="dxa" w:w="252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En progreso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Ocupación media de unidades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79% cap.</w:t>
            </w:r>
          </w:p>
        </w:tc>
        <w:tc>
          <w:tcPr>
            <w:tcW w:type="dxa" w:w="2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85% cap.</w:t>
            </w:r>
          </w:p>
        </w:tc>
        <w:tc>
          <w:tcPr>
            <w:tcW w:type="dxa" w:w="25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En progreso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Ocupación en horario pico</w:t>
            </w:r>
          </w:p>
        </w:tc>
        <w:tc>
          <w:tcPr>
            <w:tcW w:type="dxa" w:w="212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94% cap.</w:t>
            </w:r>
          </w:p>
        </w:tc>
        <w:tc>
          <w:tcPr>
            <w:tcW w:type="dxa" w:w="212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w:t>
            </w:r>
          </w:p>
        </w:tc>
        <w:tc>
          <w:tcPr>
            <w:tcW w:type="dxa" w:w="252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Saturación detectada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Ahorro vs transporte privado</w:t>
            </w:r>
          </w:p>
        </w:tc>
        <w:tc>
          <w:tcPr>
            <w:tcW w:type="dxa" w:w="2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$890 / estudiante / mes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Positivo</w:t>
            </w:r>
          </w:p>
        </w:tc>
      </w:tr>
    </w:tbl>
    <w:p>
      <w:pPr>
        <w:spacing w:after="80" w:before="80"/>
      </w:pPr>
      <w:r>
        <w:t xml:space="preserve"/>
      </w:r>
    </w:p>
    <w:p>
      <w:pPr>
        <w:spacing w:after="60" w:before="180"/>
      </w:pPr>
      <w:r>
        <w:rPr>
          <w:rFonts w:ascii="Arial" w:cs="Arial" w:eastAsia="Arial" w:hAnsi="Arial"/>
          <w:b/>
          <w:bCs/>
          <w:color w:val="1976D2"/>
          <w:sz w:val="22"/>
          <w:szCs w:val="22"/>
        </w:rPr>
        <w:t xml:space="preserve">Recomendaciones generadas por el sistema</w:t>
      </w:r>
    </w:p>
    <w:p>
      <w:pPr>
        <w:pStyle w:val="ListParagraph"/>
        <w:numPr>
          <w:ilvl w:val="0"/>
          <w:numId w:val="2"/>
        </w:numPr>
        <w:spacing w:after="50" w:before="50"/>
      </w:pPr>
      <w:r>
        <w:rPr>
          <w:rFonts w:ascii="Arial" w:cs="Arial" w:eastAsia="Arial" w:hAnsi="Arial"/>
          <w:b w:val="false"/>
          <w:bCs w:val="false"/>
          <w:sz w:val="22"/>
          <w:szCs w:val="22"/>
        </w:rPr>
        <w:t xml:space="preserve">Redistribuir frecuencias de salida en horarios pico para reducir la saturación del 94%.</w:t>
      </w:r>
    </w:p>
    <w:p>
      <w:pPr>
        <w:pStyle w:val="ListParagraph"/>
        <w:numPr>
          <w:ilvl w:val="0"/>
          <w:numId w:val="2"/>
        </w:numPr>
        <w:spacing w:after="50" w:before="50"/>
      </w:pPr>
      <w:r>
        <w:rPr>
          <w:rFonts w:ascii="Arial" w:cs="Arial" w:eastAsia="Arial" w:hAnsi="Arial"/>
          <w:b w:val="false"/>
          <w:bCs w:val="false"/>
          <w:sz w:val="22"/>
          <w:szCs w:val="22"/>
        </w:rPr>
        <w:t xml:space="preserve">Evaluar la apertura de una nueva parada en zona industrial con demanda no atendida.</w:t>
      </w:r>
    </w:p>
    <w:p>
      <w:pPr>
        <w:pStyle w:val="ListParagraph"/>
        <w:numPr>
          <w:ilvl w:val="0"/>
          <w:numId w:val="2"/>
        </w:numPr>
        <w:spacing w:after="50" w:before="50"/>
      </w:pPr>
      <w:r>
        <w:rPr>
          <w:rFonts w:ascii="Arial" w:cs="Arial" w:eastAsia="Arial" w:hAnsi="Arial"/>
          <w:b w:val="false"/>
          <w:bCs w:val="false"/>
          <w:sz w:val="22"/>
          <w:szCs w:val="22"/>
        </w:rPr>
        <w:t xml:space="preserve">Implementar un sistema de reservas para controlar el nivel de ocupación por vuelta.</w:t>
      </w:r>
    </w:p>
    <w:p>
      <w:r>
        <w:br w:type="page"/>
      </w:r>
    </w:p>
    <w:p>
      <w:pPr>
        <w:pStyle w:val="Heading1"/>
        <w:pBdr>
          <w:bottom w:val="single" w:color="1565C0" w:sz="6" w:space="2"/>
        </w:pBdr>
        <w:spacing w:after="140" w:before="360"/>
      </w:pPr>
      <w:r>
        <w:rPr>
          <w:rFonts w:ascii="Arial" w:cs="Arial" w:eastAsia="Arial" w:hAnsi="Arial"/>
          <w:b/>
          <w:bCs/>
          <w:color w:val="0D47A1"/>
          <w:sz w:val="32"/>
          <w:szCs w:val="32"/>
        </w:rPr>
        <w:t xml:space="preserve">4. Análisis cuantitativo de la ruta</w:t>
      </w:r>
    </w:p>
    <w:p>
      <w:pPr>
        <w:pStyle w:val="Heading2"/>
        <w:spacing w:after="100" w:before="260"/>
      </w:pPr>
      <w:r>
        <w:rPr>
          <w:rFonts w:ascii="Arial" w:cs="Arial" w:eastAsia="Arial" w:hAnsi="Arial"/>
          <w:b/>
          <w:bCs/>
          <w:color w:val="1565C0"/>
          <w:sz w:val="26"/>
          <w:szCs w:val="26"/>
        </w:rPr>
        <w:t xml:space="preserve">4.1 Desglose de distancias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3F2FD" w:val="clear"/>
            <w:tcMar>
              <w:top w:type="dxa" w:w="130"/>
              <w:left w:type="dxa" w:w="150"/>
              <w:bottom w:type="dxa" w:w="130"/>
              <w:right w:type="dxa" w:w="150"/>
            </w:tcMar>
          </w:tcPr>
          <w:p>
            <w:r>
              <w:rPr>
                <w:rFonts w:ascii="Arial" w:cs="Arial" w:eastAsia="Arial" w:hAnsi="Arial"/>
                <w:color w:val="1565C0"/>
                <w:sz w:val="18"/>
                <w:szCs w:val="18"/>
              </w:rPr>
              <w:t xml:space="preserve">Circuito de colonias</w:t>
            </w:r>
          </w:p>
          <w:p>
            <w:pPr>
              <w:spacing w:before="40"/>
            </w:pPr>
            <w:r>
              <w:rPr>
                <w:rFonts w:ascii="Arial" w:cs="Arial" w:eastAsia="Arial" w:hAnsi="Arial"/>
                <w:b/>
                <w:bCs/>
                <w:color w:val="0D47A1"/>
                <w:sz w:val="30"/>
                <w:szCs w:val="30"/>
              </w:rPr>
              <w:t xml:space="preserve">13.2 km</w:t>
            </w:r>
          </w:p>
          <w:p>
            <w:r>
              <w:rPr>
                <w:rFonts w:ascii="Arial" w:cs="Arial" w:eastAsia="Arial" w:hAnsi="Arial"/>
                <w:i/>
                <w:iCs/>
                <w:color w:val="888888"/>
                <w:sz w:val="17"/>
                <w:szCs w:val="17"/>
              </w:rPr>
              <w:t xml:space="preserve">Portal Salinas → Aceromex</w:t>
            </w:r>
          </w:p>
        </w:tc>
        <w:tc>
          <w:tcPr>
            <w:tcW w:type="dxa" w:w="3120"/>
            <w:tcBorders>
              <w:top w:val="single" w:color="CCCCCC" w:sz="1"/>
              <w:left w:val="single" w:color="CCCCCC" w:sz="1"/>
              <w:bottom w:val="single" w:color="CCCCCC" w:sz="1"/>
              <w:right w:val="single" w:color="CCCCCC" w:sz="1"/>
            </w:tcBorders>
            <w:shd w:fill="E3F2FD" w:val="clear"/>
            <w:tcMar>
              <w:top w:type="dxa" w:w="130"/>
              <w:left w:type="dxa" w:w="150"/>
              <w:bottom w:type="dxa" w:w="130"/>
              <w:right w:type="dxa" w:w="150"/>
            </w:tcMar>
          </w:tcPr>
          <w:p>
            <w:r>
              <w:rPr>
                <w:rFonts w:ascii="Arial" w:cs="Arial" w:eastAsia="Arial" w:hAnsi="Arial"/>
                <w:color w:val="1565C0"/>
                <w:sz w:val="18"/>
                <w:szCs w:val="18"/>
              </w:rPr>
              <w:t xml:space="preserve">Tramo carretera</w:t>
            </w:r>
          </w:p>
          <w:p>
            <w:pPr>
              <w:spacing w:before="40"/>
            </w:pPr>
            <w:r>
              <w:rPr>
                <w:rFonts w:ascii="Arial" w:cs="Arial" w:eastAsia="Arial" w:hAnsi="Arial"/>
                <w:b/>
                <w:bCs/>
                <w:color w:val="0D47A1"/>
                <w:sz w:val="30"/>
                <w:szCs w:val="30"/>
              </w:rPr>
              <w:t xml:space="preserve">14.8 km</w:t>
            </w:r>
          </w:p>
          <w:p>
            <w:r>
              <w:rPr>
                <w:rFonts w:ascii="Arial" w:cs="Arial" w:eastAsia="Arial" w:hAnsi="Arial"/>
                <w:i/>
                <w:iCs/>
                <w:color w:val="888888"/>
                <w:sz w:val="17"/>
                <w:szCs w:val="17"/>
              </w:rPr>
              <w:t xml:space="preserve">Hacia Estación Sendero</w:t>
            </w:r>
          </w:p>
        </w:tc>
        <w:tc>
          <w:tcPr>
            <w:tcW w:type="dxa" w:w="3120"/>
            <w:tcBorders>
              <w:top w:val="single" w:color="CCCCCC" w:sz="1"/>
              <w:left w:val="single" w:color="CCCCCC" w:sz="1"/>
              <w:bottom w:val="single" w:color="CCCCCC" w:sz="1"/>
              <w:right w:val="single" w:color="CCCCCC" w:sz="1"/>
            </w:tcBorders>
            <w:shd w:fill="E3F2FD" w:val="clear"/>
            <w:tcMar>
              <w:top w:type="dxa" w:w="130"/>
              <w:left w:type="dxa" w:w="150"/>
              <w:bottom w:type="dxa" w:w="130"/>
              <w:right w:type="dxa" w:w="150"/>
            </w:tcMar>
          </w:tcPr>
          <w:p>
            <w:r>
              <w:rPr>
                <w:rFonts w:ascii="Arial" w:cs="Arial" w:eastAsia="Arial" w:hAnsi="Arial"/>
                <w:color w:val="1565C0"/>
                <w:sz w:val="18"/>
                <w:szCs w:val="18"/>
              </w:rPr>
              <w:t xml:space="preserve">Viaje sencillo total</w:t>
            </w:r>
          </w:p>
          <w:p>
            <w:pPr>
              <w:spacing w:before="40"/>
            </w:pPr>
            <w:r>
              <w:rPr>
                <w:rFonts w:ascii="Arial" w:cs="Arial" w:eastAsia="Arial" w:hAnsi="Arial"/>
                <w:b/>
                <w:bCs/>
                <w:color w:val="0D47A1"/>
                <w:sz w:val="30"/>
                <w:szCs w:val="30"/>
              </w:rPr>
              <w:t xml:space="preserve">28 km</w:t>
            </w:r>
          </w:p>
          <w:p>
            <w:r>
              <w:rPr>
                <w:rFonts w:ascii="Arial" w:cs="Arial" w:eastAsia="Arial" w:hAnsi="Arial"/>
                <w:i/>
                <w:iCs/>
                <w:color w:val="888888"/>
                <w:sz w:val="17"/>
                <w:szCs w:val="17"/>
              </w:rPr>
              <w:t xml:space="preserve">Por unidad por vuelta</w:t>
            </w:r>
          </w:p>
        </w:tc>
      </w:tr>
    </w:tbl>
    <w:p>
      <w:pPr>
        <w:spacing w:after="80" w:before="80"/>
      </w:pPr>
      <w:r>
        <w:t xml:space="preserve"/>
      </w:r>
    </w:p>
    <w:p>
      <w:pPr>
        <w:spacing w:after="80" w:before="60"/>
      </w:pPr>
      <w:r>
        <w:rPr>
          <w:rFonts w:ascii="Arial" w:cs="Arial" w:eastAsia="Arial" w:hAnsi="Arial"/>
          <w:sz w:val="22"/>
          <w:szCs w:val="22"/>
        </w:rPr>
        <w:t xml:space="preserve">El trayecto de colonias (13.2 km) presenta mayor consumo de combustible por la frecuencia de paradas y el flujo urbano. El tramo de carretera (14.8 km) es más eficiente en consumo pero el tiempo varía según el tráfico en el periodo del día.</w:t>
      </w:r>
    </w:p>
    <w:p>
      <w:pPr>
        <w:spacing w:after="80" w:before="80"/>
      </w:pPr>
      <w:r>
        <w:t xml:space="preserve"/>
      </w:r>
    </w:p>
    <w:p>
      <w:pPr>
        <w:pStyle w:val="Heading2"/>
        <w:spacing w:after="100" w:before="260"/>
      </w:pPr>
      <w:r>
        <w:rPr>
          <w:rFonts w:ascii="Arial" w:cs="Arial" w:eastAsia="Arial" w:hAnsi="Arial"/>
          <w:b/>
          <w:bCs/>
          <w:color w:val="1565C0"/>
          <w:sz w:val="26"/>
          <w:szCs w:val="26"/>
        </w:rPr>
        <w:t xml:space="preserve">4.2 Tabla de paradas y usuarios por vuelta</w:t>
      </w:r>
    </w:p>
    <w:p>
      <w:pPr>
        <w:spacing w:after="80" w:before="60"/>
      </w:pPr>
      <w:r>
        <w:rPr>
          <w:rFonts w:ascii="Arial" w:cs="Arial" w:eastAsia="Arial" w:hAnsi="Arial"/>
          <w:sz w:val="22"/>
          <w:szCs w:val="22"/>
        </w:rPr>
        <w:t xml:space="preserve">Herramienta de recolección de datos mediante observación de campo. Cada columna representa una vuelta del día. Al completarse, permitirá identificar paradas con alta y baja demanda para justificar o reorganizar puntos de encuentro.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950"/>
        <w:gridCol w:w="950"/>
        <w:gridCol w:w="950"/>
        <w:gridCol w:w="950"/>
        <w:gridCol w:w="950"/>
        <w:gridCol w:w="1450"/>
      </w:tblGrid>
      <w:tr>
        <w:trPr>
          <w:tblHeader/>
        </w:trPr>
        <w:tc>
          <w:tcPr>
            <w:tcW w:type="dxa" w:w="316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Parada</w:t>
            </w:r>
          </w:p>
        </w:tc>
        <w:tc>
          <w:tcPr>
            <w:tcW w:type="dxa" w:w="95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V1</w:t>
            </w:r>
          </w:p>
        </w:tc>
        <w:tc>
          <w:tcPr>
            <w:tcW w:type="dxa" w:w="95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V2</w:t>
            </w:r>
          </w:p>
        </w:tc>
        <w:tc>
          <w:tcPr>
            <w:tcW w:type="dxa" w:w="95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V3</w:t>
            </w:r>
          </w:p>
        </w:tc>
        <w:tc>
          <w:tcPr>
            <w:tcW w:type="dxa" w:w="95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V4</w:t>
            </w:r>
          </w:p>
        </w:tc>
        <w:tc>
          <w:tcPr>
            <w:tcW w:type="dxa" w:w="95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V5</w:t>
            </w:r>
          </w:p>
        </w:tc>
        <w:tc>
          <w:tcPr>
            <w:tcW w:type="dxa" w:w="145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Total / día</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Portal de las Salinas</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1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r>
      <w:tr>
        <w:tc>
          <w:tcPr>
            <w:tcW w:type="dxa" w:w="316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1er OXXO Ruiseñores</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14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Texanito / San Juan</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1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r>
      <w:tr>
        <w:tc>
          <w:tcPr>
            <w:tcW w:type="dxa" w:w="316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OXXO Progreso</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14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Parada Lomas</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1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r>
      <w:tr>
        <w:tc>
          <w:tcPr>
            <w:tcW w:type="dxa" w:w="316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Seven Centro</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14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Plaza Centro</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1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r>
      <w:tr>
        <w:tc>
          <w:tcPr>
            <w:tcW w:type="dxa" w:w="316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Santa Lucía</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14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Preparatoria 17</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1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r>
      <w:tr>
        <w:tc>
          <w:tcPr>
            <w:tcW w:type="dxa" w:w="316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Kesos y Kosas / Real del Sol</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14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Real del Sol 2° OXXO</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1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r>
      <w:tr>
        <w:tc>
          <w:tcPr>
            <w:tcW w:type="dxa" w:w="316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Villas de Alcalá / Bodega Aurrerá</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14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Villas de Alcalá OXXO</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14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w:t>
            </w:r>
          </w:p>
        </w:tc>
      </w:tr>
      <w:tr>
        <w:tc>
          <w:tcPr>
            <w:tcW w:type="dxa" w:w="316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Paseos del Roble / Aceromex</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9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c>
          <w:tcPr>
            <w:tcW w:type="dxa" w:w="145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w:t>
            </w:r>
          </w:p>
        </w:tc>
      </w:tr>
      <w:tr>
        <w:tc>
          <w:tcPr>
            <w:tcW w:type="dxa" w:w="3160"/>
            <w:tcBorders>
              <w:top w:val="single" w:color="CCCCCC" w:sz="1"/>
              <w:left w:val="single" w:color="CCCCCC" w:sz="1"/>
              <w:bottom w:val="single" w:color="CCCCCC" w:sz="1"/>
              <w:right w:val="single" w:color="CCCCCC" w:sz="1"/>
            </w:tcBorders>
            <w:shd w:fill="1565C0" w:val="clear"/>
            <w:tcMar>
              <w:top w:type="dxa" w:w="80"/>
              <w:left w:type="dxa" w:w="130"/>
              <w:bottom w:type="dxa" w:w="80"/>
              <w:right w:type="dxa" w:w="130"/>
            </w:tcMar>
          </w:tcPr>
          <w:p>
            <w:r>
              <w:rPr>
                <w:rFonts w:ascii="Arial" w:cs="Arial" w:eastAsia="Arial" w:hAnsi="Arial"/>
                <w:b/>
                <w:bCs/>
                <w:color w:val="FFFFFF"/>
                <w:sz w:val="20"/>
                <w:szCs w:val="20"/>
              </w:rPr>
              <w:t xml:space="preserve">TOTAL POR VUELTA</w:t>
            </w:r>
          </w:p>
        </w:tc>
        <w:tc>
          <w:tcPr>
            <w:tcW w:type="dxa" w:w="950"/>
            <w:tcBorders>
              <w:top w:val="single" w:color="CCCCCC" w:sz="1"/>
              <w:left w:val="single" w:color="CCCCCC" w:sz="1"/>
              <w:bottom w:val="single" w:color="CCCCCC" w:sz="1"/>
              <w:right w:val="single" w:color="CCCCCC" w:sz="1"/>
            </w:tcBorders>
            <w:shd w:fill="1565C0" w:val="clear"/>
            <w:tcMar>
              <w:top w:type="dxa" w:w="80"/>
              <w:left w:type="dxa" w:w="130"/>
              <w:bottom w:type="dxa" w:w="80"/>
              <w:right w:type="dxa" w:w="130"/>
            </w:tcMar>
          </w:tcPr>
          <w:p>
            <w:r>
              <w:rPr>
                <w:rFonts w:ascii="Arial" w:cs="Arial" w:eastAsia="Arial" w:hAnsi="Arial"/>
                <w:b/>
                <w:bCs/>
                <w:color w:val="FFFFFF"/>
                <w:sz w:val="20"/>
                <w:szCs w:val="20"/>
              </w:rPr>
              <w:t xml:space="preserve">___</w:t>
            </w:r>
          </w:p>
        </w:tc>
        <w:tc>
          <w:tcPr>
            <w:tcW w:type="dxa" w:w="950"/>
            <w:tcBorders>
              <w:top w:val="single" w:color="CCCCCC" w:sz="1"/>
              <w:left w:val="single" w:color="CCCCCC" w:sz="1"/>
              <w:bottom w:val="single" w:color="CCCCCC" w:sz="1"/>
              <w:right w:val="single" w:color="CCCCCC" w:sz="1"/>
            </w:tcBorders>
            <w:shd w:fill="1565C0" w:val="clear"/>
            <w:tcMar>
              <w:top w:type="dxa" w:w="80"/>
              <w:left w:type="dxa" w:w="130"/>
              <w:bottom w:type="dxa" w:w="80"/>
              <w:right w:type="dxa" w:w="130"/>
            </w:tcMar>
          </w:tcPr>
          <w:p>
            <w:r>
              <w:rPr>
                <w:rFonts w:ascii="Arial" w:cs="Arial" w:eastAsia="Arial" w:hAnsi="Arial"/>
                <w:b/>
                <w:bCs/>
                <w:color w:val="FFFFFF"/>
                <w:sz w:val="20"/>
                <w:szCs w:val="20"/>
              </w:rPr>
              <w:t xml:space="preserve">___</w:t>
            </w:r>
          </w:p>
        </w:tc>
        <w:tc>
          <w:tcPr>
            <w:tcW w:type="dxa" w:w="950"/>
            <w:tcBorders>
              <w:top w:val="single" w:color="CCCCCC" w:sz="1"/>
              <w:left w:val="single" w:color="CCCCCC" w:sz="1"/>
              <w:bottom w:val="single" w:color="CCCCCC" w:sz="1"/>
              <w:right w:val="single" w:color="CCCCCC" w:sz="1"/>
            </w:tcBorders>
            <w:shd w:fill="1565C0" w:val="clear"/>
            <w:tcMar>
              <w:top w:type="dxa" w:w="80"/>
              <w:left w:type="dxa" w:w="130"/>
              <w:bottom w:type="dxa" w:w="80"/>
              <w:right w:type="dxa" w:w="130"/>
            </w:tcMar>
          </w:tcPr>
          <w:p>
            <w:r>
              <w:rPr>
                <w:rFonts w:ascii="Arial" w:cs="Arial" w:eastAsia="Arial" w:hAnsi="Arial"/>
                <w:b/>
                <w:bCs/>
                <w:color w:val="FFFFFF"/>
                <w:sz w:val="20"/>
                <w:szCs w:val="20"/>
              </w:rPr>
              <w:t xml:space="preserve">___</w:t>
            </w:r>
          </w:p>
        </w:tc>
        <w:tc>
          <w:tcPr>
            <w:tcW w:type="dxa" w:w="950"/>
            <w:tcBorders>
              <w:top w:val="single" w:color="CCCCCC" w:sz="1"/>
              <w:left w:val="single" w:color="CCCCCC" w:sz="1"/>
              <w:bottom w:val="single" w:color="CCCCCC" w:sz="1"/>
              <w:right w:val="single" w:color="CCCCCC" w:sz="1"/>
            </w:tcBorders>
            <w:shd w:fill="1565C0" w:val="clear"/>
            <w:tcMar>
              <w:top w:type="dxa" w:w="80"/>
              <w:left w:type="dxa" w:w="130"/>
              <w:bottom w:type="dxa" w:w="80"/>
              <w:right w:type="dxa" w:w="130"/>
            </w:tcMar>
          </w:tcPr>
          <w:p>
            <w:r>
              <w:rPr>
                <w:rFonts w:ascii="Arial" w:cs="Arial" w:eastAsia="Arial" w:hAnsi="Arial"/>
                <w:b/>
                <w:bCs/>
                <w:color w:val="FFFFFF"/>
                <w:sz w:val="20"/>
                <w:szCs w:val="20"/>
              </w:rPr>
              <w:t xml:space="preserve">___</w:t>
            </w:r>
          </w:p>
        </w:tc>
        <w:tc>
          <w:tcPr>
            <w:tcW w:type="dxa" w:w="950"/>
            <w:tcBorders>
              <w:top w:val="single" w:color="CCCCCC" w:sz="1"/>
              <w:left w:val="single" w:color="CCCCCC" w:sz="1"/>
              <w:bottom w:val="single" w:color="CCCCCC" w:sz="1"/>
              <w:right w:val="single" w:color="CCCCCC" w:sz="1"/>
            </w:tcBorders>
            <w:shd w:fill="1565C0" w:val="clear"/>
            <w:tcMar>
              <w:top w:type="dxa" w:w="80"/>
              <w:left w:type="dxa" w:w="130"/>
              <w:bottom w:type="dxa" w:w="80"/>
              <w:right w:type="dxa" w:w="130"/>
            </w:tcMar>
          </w:tcPr>
          <w:p>
            <w:r>
              <w:rPr>
                <w:rFonts w:ascii="Arial" w:cs="Arial" w:eastAsia="Arial" w:hAnsi="Arial"/>
                <w:b/>
                <w:bCs/>
                <w:color w:val="FFFFFF"/>
                <w:sz w:val="20"/>
                <w:szCs w:val="20"/>
              </w:rPr>
              <w:t xml:space="preserve">___</w:t>
            </w:r>
          </w:p>
        </w:tc>
        <w:tc>
          <w:tcPr>
            <w:tcW w:type="dxa" w:w="1450"/>
            <w:tcBorders>
              <w:top w:val="single" w:color="CCCCCC" w:sz="1"/>
              <w:left w:val="single" w:color="CCCCCC" w:sz="1"/>
              <w:bottom w:val="single" w:color="CCCCCC" w:sz="1"/>
              <w:right w:val="single" w:color="CCCCCC" w:sz="1"/>
            </w:tcBorders>
            <w:shd w:fill="1565C0" w:val="clear"/>
            <w:tcMar>
              <w:top w:type="dxa" w:w="80"/>
              <w:left w:type="dxa" w:w="130"/>
              <w:bottom w:type="dxa" w:w="80"/>
              <w:right w:type="dxa" w:w="130"/>
            </w:tcMar>
          </w:tcPr>
          <w:p>
            <w:r>
              <w:rPr>
                <w:rFonts w:ascii="Arial" w:cs="Arial" w:eastAsia="Arial" w:hAnsi="Arial"/>
                <w:b/>
                <w:bCs/>
                <w:color w:val="FFFFFF"/>
                <w:sz w:val="20"/>
                <w:szCs w:val="20"/>
              </w:rPr>
              <w:t xml:space="preserve">___</w:t>
            </w:r>
          </w:p>
        </w:tc>
      </w:tr>
    </w:tbl>
    <w:p>
      <w:pPr>
        <w:spacing w:after="60" w:before="60"/>
      </w:pPr>
      <w:r>
        <w:rPr>
          <w:rFonts w:ascii="Arial" w:cs="Arial" w:eastAsia="Arial" w:hAnsi="Arial"/>
          <w:i/>
          <w:iCs/>
          <w:color w:val="666666"/>
          <w:sz w:val="19"/>
          <w:szCs w:val="19"/>
        </w:rPr>
        <w:t xml:space="preserve">Llenar mediante observación directa: un integrante del equipo sube al camión y cuenta los pasajeros que suben en cada parada.</w:t>
      </w:r>
    </w:p>
    <w:p>
      <w:pPr>
        <w:spacing w:after="80" w:before="80"/>
      </w:pPr>
      <w:r>
        <w:t xml:space="preserve"/>
      </w:r>
    </w:p>
    <w:p>
      <w:pPr>
        <w:pStyle w:val="Heading2"/>
        <w:spacing w:after="100" w:before="260"/>
      </w:pPr>
      <w:r>
        <w:rPr>
          <w:rFonts w:ascii="Arial" w:cs="Arial" w:eastAsia="Arial" w:hAnsi="Arial"/>
          <w:b/>
          <w:bCs/>
          <w:color w:val="1565C0"/>
          <w:sz w:val="26"/>
          <w:szCs w:val="26"/>
        </w:rPr>
        <w:t xml:space="preserve">4.3 Horarios y cálculo de horas de salida</w:t>
      </w:r>
    </w:p>
    <w:p>
      <w:pPr>
        <w:spacing w:after="80" w:before="60"/>
      </w:pPr>
      <w:r>
        <w:rPr>
          <w:rFonts w:ascii="Arial" w:cs="Arial" w:eastAsia="Arial" w:hAnsi="Arial"/>
          <w:sz w:val="22"/>
          <w:szCs w:val="22"/>
        </w:rPr>
        <w:t xml:space="preserve">Los tiempos de salida desde Ciénega de Flores se calcularon considerando el tráfico promedio por periodo del día, para garantizar la llegada a la hora acordada en Estación Sendero.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80"/>
        <w:gridCol w:w="2080"/>
      </w:tblGrid>
      <w:tr>
        <w:trPr>
          <w:tblHeader/>
        </w:trPr>
        <w:tc>
          <w:tcPr>
            <w:tcW w:type="dxa" w:w="260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Llegada deseada a Sendero</w:t>
            </w:r>
          </w:p>
        </w:tc>
        <w:tc>
          <w:tcPr>
            <w:tcW w:type="dxa" w:w="260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Salida desde Ciénega</w:t>
            </w:r>
          </w:p>
        </w:tc>
        <w:tc>
          <w:tcPr>
            <w:tcW w:type="dxa" w:w="208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Tiempo estimado</w:t>
            </w:r>
          </w:p>
        </w:tc>
        <w:tc>
          <w:tcPr>
            <w:tcW w:type="dxa" w:w="208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Factor de tráfico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1:00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12:10 pm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~50 min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Moderado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3:00 pm</w:t>
            </w:r>
          </w:p>
        </w:tc>
        <w:tc>
          <w:tcPr>
            <w:tcW w:type="dxa" w:w="26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2:00 pm</w:t>
            </w:r>
          </w:p>
        </w:tc>
        <w:tc>
          <w:tcPr>
            <w:tcW w:type="dxa" w:w="208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~60 min</w:t>
            </w:r>
          </w:p>
        </w:tc>
        <w:tc>
          <w:tcPr>
            <w:tcW w:type="dxa" w:w="208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Pesado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6:00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4:50 pm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~70 min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Alto + carga gasolina</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7:30 pm</w:t>
            </w:r>
          </w:p>
        </w:tc>
        <w:tc>
          <w:tcPr>
            <w:tcW w:type="dxa" w:w="26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6:20 pm</w:t>
            </w:r>
          </w:p>
        </w:tc>
        <w:tc>
          <w:tcPr>
            <w:tcW w:type="dxa" w:w="208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~70 min</w:t>
            </w:r>
          </w:p>
        </w:tc>
        <w:tc>
          <w:tcPr>
            <w:tcW w:type="dxa" w:w="208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Alto + carga gasolina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10:00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8:50 pm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~70 min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Ligero</w:t>
            </w:r>
          </w:p>
        </w:tc>
      </w:tr>
    </w:tbl>
    <w:p>
      <w:pPr>
        <w:spacing w:after="60" w:before="60"/>
      </w:pPr>
      <w:r>
        <w:t xml:space="preserve"/>
      </w:r>
    </w:p>
    <w:p>
      <w:pPr>
        <w:pBdr>
          <w:left w:val="single" w:color="1565C0" w:sz="12" w:space="4"/>
        </w:pBdr>
        <w:spacing w:after="60" w:before="60"/>
      </w:pPr>
      <w:r>
        <w:rPr>
          <w:rFonts w:ascii="Arial" w:cs="Arial" w:eastAsia="Arial" w:hAnsi="Arial"/>
          <w:b/>
          <w:bCs/>
          <w:sz w:val="21"/>
          <w:szCs w:val="21"/>
        </w:rPr>
        <w:t xml:space="preserve">Salidas L-V desde Ciénega: </w:t>
      </w:r>
      <w:r>
        <w:rPr>
          <w:rFonts w:ascii="Arial" w:cs="Arial" w:eastAsia="Arial" w:hAnsi="Arial"/>
          <w:sz w:val="21"/>
          <w:szCs w:val="21"/>
        </w:rPr>
        <w:t xml:space="preserve">5:00 · 6:40 · 9:00 · 11:40 · 13:00 hrs</w:t>
      </w:r>
    </w:p>
    <w:p>
      <w:pPr>
        <w:pBdr>
          <w:left w:val="single" w:color="1565C0" w:sz="12" w:space="4"/>
        </w:pBdr>
        <w:spacing w:after="60" w:before="40"/>
      </w:pPr>
      <w:r>
        <w:rPr>
          <w:rFonts w:ascii="Arial" w:cs="Arial" w:eastAsia="Arial" w:hAnsi="Arial"/>
          <w:b/>
          <w:bCs/>
          <w:sz w:val="21"/>
          <w:szCs w:val="21"/>
        </w:rPr>
        <w:t xml:space="preserve">Sábados: </w:t>
      </w:r>
      <w:r>
        <w:rPr>
          <w:rFonts w:ascii="Arial" w:cs="Arial" w:eastAsia="Arial" w:hAnsi="Arial"/>
          <w:sz w:val="21"/>
          <w:szCs w:val="21"/>
        </w:rPr>
        <w:t xml:space="preserve">Salidas 5:00 y 7:00 hrs · Regresos desde Sendero 1:30 y 3:30 pm</w:t>
      </w:r>
    </w:p>
    <w:p>
      <w:r>
        <w:br w:type="page"/>
      </w:r>
    </w:p>
    <w:p>
      <w:pPr>
        <w:pStyle w:val="Heading1"/>
        <w:pBdr>
          <w:bottom w:val="single" w:color="1565C0" w:sz="6" w:space="2"/>
        </w:pBdr>
        <w:spacing w:after="140" w:before="360"/>
      </w:pPr>
      <w:r>
        <w:rPr>
          <w:rFonts w:ascii="Arial" w:cs="Arial" w:eastAsia="Arial" w:hAnsi="Arial"/>
          <w:b/>
          <w:bCs/>
          <w:color w:val="0D47A1"/>
          <w:sz w:val="32"/>
          <w:szCs w:val="32"/>
        </w:rPr>
        <w:t xml:space="preserve">5. Metodología del proyecto</w:t>
      </w:r>
    </w:p>
    <w:p>
      <w:pPr>
        <w:spacing w:after="80" w:before="60"/>
      </w:pPr>
      <w:r>
        <w:rPr>
          <w:rFonts w:ascii="Arial" w:cs="Arial" w:eastAsia="Arial" w:hAnsi="Arial"/>
          <w:sz w:val="22"/>
          <w:szCs w:val="22"/>
        </w:rPr>
        <w:t xml:space="preserve">El proyecto sigue el modelo de simulación y análisis de sistemas dinámicos, estructurado en las siguientes fases: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rPr>
          <w:tblHeader/>
        </w:trPr>
        <w:tc>
          <w:tcPr>
            <w:tcW w:type="dxa" w:w="156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Fase</w:t>
            </w:r>
          </w:p>
        </w:tc>
        <w:tc>
          <w:tcPr>
            <w:tcW w:type="dxa" w:w="260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Etapa</w:t>
            </w:r>
          </w:p>
        </w:tc>
        <w:tc>
          <w:tcPr>
            <w:tcW w:type="dxa" w:w="520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Descripción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Definición del sistema</w:t>
            </w:r>
          </w:p>
        </w:tc>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Análisis del funcionamiento actual: usuarios, paradas, rutas, horarios y consumo de recursos.</w:t>
            </w:r>
          </w:p>
        </w:tc>
      </w:tr>
      <w:tr>
        <w:tc>
          <w:tcPr>
            <w:tcW w:type="dxa" w:w="156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Formulación del modelo</w:t>
            </w:r>
          </w:p>
        </w:tc>
        <w:tc>
          <w:tcPr>
            <w:tcW w:type="dxa" w:w="52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Modelo de datos que representa la relación entre estudiantes, paradas y operación de unidades.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Recolección de datos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Observación directa del servicio, registros existentes, formularios y estimaciones operativas.</w:t>
            </w:r>
          </w:p>
        </w:tc>
      </w:tr>
      <w:tr>
        <w:tc>
          <w:tcPr>
            <w:tcW w:type="dxa" w:w="156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Implementación</w:t>
            </w:r>
          </w:p>
        </w:tc>
        <w:tc>
          <w:tcPr>
            <w:tcW w:type="dxa" w:w="52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Desarrollo del sistema: base de datos, procesamiento de información y visualización en dashboard.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Validación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Comparación de resultados del sistema con datos reales y prueba piloto con usuarios.</w:t>
            </w:r>
          </w:p>
        </w:tc>
      </w:tr>
      <w:tr>
        <w:tc>
          <w:tcPr>
            <w:tcW w:type="dxa" w:w="156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Experimentación</w:t>
            </w:r>
          </w:p>
        </w:tc>
        <w:tc>
          <w:tcPr>
            <w:tcW w:type="dxa" w:w="52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Análisis de escenarios: cambios en rutas, ajuste de horarios, reubicación de paradas.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Interpretación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Generación de conclusiones y propuestas de mejora con base en los indicadores obtenidos.</w:t>
            </w:r>
          </w:p>
        </w:tc>
      </w:tr>
      <w:tr>
        <w:tc>
          <w:tcPr>
            <w:tcW w:type="dxa" w:w="156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Documentación</w:t>
            </w:r>
          </w:p>
        </w:tc>
        <w:tc>
          <w:tcPr>
            <w:tcW w:type="dxa" w:w="52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Elaboración de documentación técnica y manual de usuario del sistema.</w:t>
            </w:r>
          </w:p>
        </w:tc>
      </w:tr>
    </w:tbl>
    <w:p>
      <w:r>
        <w:br w:type="page"/>
      </w:r>
    </w:p>
    <w:p>
      <w:pPr>
        <w:pStyle w:val="Heading1"/>
        <w:pBdr>
          <w:bottom w:val="single" w:color="1565C0" w:sz="6" w:space="2"/>
        </w:pBdr>
        <w:spacing w:after="140" w:before="360"/>
      </w:pPr>
      <w:r>
        <w:rPr>
          <w:rFonts w:ascii="Arial" w:cs="Arial" w:eastAsia="Arial" w:hAnsi="Arial"/>
          <w:b/>
          <w:bCs/>
          <w:color w:val="0D47A1"/>
          <w:sz w:val="32"/>
          <w:szCs w:val="32"/>
        </w:rPr>
        <w:t xml:space="preserve">6. Procedimiento ante falla de unidad</w:t>
      </w:r>
    </w:p>
    <w:p>
      <w:pPr>
        <w:spacing w:after="80" w:before="60"/>
      </w:pPr>
      <w:r>
        <w:rPr>
          <w:rFonts w:ascii="Arial" w:cs="Arial" w:eastAsia="Arial" w:hAnsi="Arial"/>
          <w:sz w:val="22"/>
          <w:szCs w:val="22"/>
        </w:rPr>
        <w:t xml:space="preserve">Uno de los requerimientos señalados para el proyecto es definir el protocolo de acción cuando una unidad presenta una falla mecánica durante el servicio. El sistema registrará este procedimiento y lo hará accesible a choferes y administradores.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Paso</w:t>
            </w:r>
          </w:p>
        </w:tc>
        <w:tc>
          <w:tcPr>
            <w:tcW w:type="dxa" w:w="780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Acción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1</w:t>
            </w:r>
          </w:p>
        </w:tc>
        <w:tc>
          <w:tcPr>
            <w:tcW w:type="dxa" w:w="7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El chofer detecta la falla y detiene la unidad en el punto más seguro disponible.</w:t>
            </w:r>
          </w:p>
        </w:tc>
      </w:tr>
      <w:tr>
        <w:tc>
          <w:tcPr>
            <w:tcW w:type="dxa" w:w="156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2</w:t>
            </w:r>
          </w:p>
        </w:tc>
        <w:tc>
          <w:tcPr>
            <w:tcW w:type="dxa" w:w="78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El chofer notifica al administrador municipal por llamada directa.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3</w:t>
            </w:r>
          </w:p>
        </w:tc>
        <w:tc>
          <w:tcPr>
            <w:tcW w:type="dxa" w:w="7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Se evalúa el tipo de falla: menor (espera en parada cercana) o mayor (requiere grúa).</w:t>
            </w:r>
          </w:p>
        </w:tc>
      </w:tr>
      <w:tr>
        <w:tc>
          <w:tcPr>
            <w:tcW w:type="dxa" w:w="156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4</w:t>
            </w:r>
          </w:p>
        </w:tc>
        <w:tc>
          <w:tcPr>
            <w:tcW w:type="dxa" w:w="78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El administrador notifica al segundo chofer para que ajuste su ruta y recoja a los pasajeros pendientes.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5</w:t>
            </w:r>
          </w:p>
        </w:tc>
        <w:tc>
          <w:tcPr>
            <w:tcW w:type="dxa" w:w="7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Se notifica a los estudiantes mediante alerta en el sistema o WhatsApp si el retraso supera 20 min.</w:t>
            </w:r>
          </w:p>
        </w:tc>
      </w:tr>
      <w:tr>
        <w:tc>
          <w:tcPr>
            <w:tcW w:type="dxa" w:w="156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6</w:t>
            </w:r>
          </w:p>
        </w:tc>
        <w:tc>
          <w:tcPr>
            <w:tcW w:type="dxa" w:w="78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La unidad es trasladada al taller mecánico asignado: __________________ (pendiente confirmar).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7</w:t>
            </w:r>
          </w:p>
        </w:tc>
        <w:tc>
          <w:tcPr>
            <w:tcW w:type="dxa" w:w="7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El administrador registra el evento en el sistema para trazabilidad y planeación de mantenimiento.</w:t>
            </w:r>
          </w:p>
        </w:tc>
      </w:tr>
    </w:tbl>
    <w:p>
      <w:pPr>
        <w:spacing w:after="60" w:before="60"/>
      </w:pPr>
      <w:r>
        <w:rPr>
          <w:rFonts w:ascii="Arial" w:cs="Arial" w:eastAsia="Arial" w:hAnsi="Arial"/>
          <w:i/>
          <w:iCs/>
          <w:color w:val="666666"/>
          <w:sz w:val="19"/>
          <w:szCs w:val="19"/>
        </w:rPr>
        <w:t xml:space="preserve">La comunicación entre choferes se realiza por llamada directa. El sistema generará un registro automático de incidencias para programar mantenimiento preventivo.</w:t>
      </w:r>
    </w:p>
    <w:p>
      <w:r>
        <w:br w:type="page"/>
      </w:r>
    </w:p>
    <w:p>
      <w:pPr>
        <w:pStyle w:val="Heading1"/>
        <w:pBdr>
          <w:bottom w:val="single" w:color="1565C0" w:sz="6" w:space="2"/>
        </w:pBdr>
        <w:spacing w:after="140" w:before="360"/>
      </w:pPr>
      <w:r>
        <w:rPr>
          <w:rFonts w:ascii="Arial" w:cs="Arial" w:eastAsia="Arial" w:hAnsi="Arial"/>
          <w:b/>
          <w:bCs/>
          <w:color w:val="0D47A1"/>
          <w:sz w:val="32"/>
          <w:szCs w:val="32"/>
        </w:rPr>
        <w:t xml:space="preserve">7. Próximos pasos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rPr>
          <w:tblHeader/>
        </w:trPr>
        <w:tc>
          <w:tcPr>
            <w:tcW w:type="dxa" w:w="416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Actividad</w:t>
            </w:r>
          </w:p>
        </w:tc>
        <w:tc>
          <w:tcPr>
            <w:tcW w:type="dxa" w:w="260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Responsable</w:t>
            </w:r>
          </w:p>
        </w:tc>
        <w:tc>
          <w:tcPr>
            <w:tcW w:type="dxa" w:w="2600"/>
            <w:tcBorders>
              <w:top w:val="single" w:color="CCCCCC" w:sz="1"/>
              <w:left w:val="single" w:color="CCCCCC" w:sz="1"/>
              <w:bottom w:val="single" w:color="CCCCCC" w:sz="1"/>
              <w:right w:val="single" w:color="CCCCCC" w:sz="1"/>
            </w:tcBorders>
            <w:shd w:fill="1565C0"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Fecha estimada</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Observación de campo: contar usuarios por parada (al menos 2 vueltas)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___________</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___________</w:t>
            </w:r>
          </w:p>
        </w:tc>
      </w:tr>
      <w:tr>
        <w:tc>
          <w:tcPr>
            <w:tcW w:type="dxa" w:w="416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Verificar modelo y capacidad del tanque de cada unidad</w:t>
            </w:r>
          </w:p>
        </w:tc>
        <w:tc>
          <w:tcPr>
            <w:tcW w:type="dxa" w:w="26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___________</w:t>
            </w:r>
          </w:p>
        </w:tc>
        <w:tc>
          <w:tcPr>
            <w:tcW w:type="dxa" w:w="26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___________</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Confirmar nombre y ubicación del taller mecánico con el municipio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___________</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___________</w:t>
            </w:r>
          </w:p>
        </w:tc>
      </w:tr>
      <w:tr>
        <w:tc>
          <w:tcPr>
            <w:tcW w:type="dxa" w:w="416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Justificar cada parada con número real de usuarios que abordan</w:t>
            </w:r>
          </w:p>
        </w:tc>
        <w:tc>
          <w:tcPr>
            <w:tcW w:type="dxa" w:w="26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___________</w:t>
            </w:r>
          </w:p>
        </w:tc>
        <w:tc>
          <w:tcPr>
            <w:tcW w:type="dxa" w:w="26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___________</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Definir estructura de la base de datos (tablas: usuarios, paradas, vueltas)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___________</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___________</w:t>
            </w:r>
          </w:p>
        </w:tc>
      </w:tr>
      <w:tr>
        <w:tc>
          <w:tcPr>
            <w:tcW w:type="dxa" w:w="416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Elegir herramienta de desarrollo (Power BI / Python / Excel avanzado)</w:t>
            </w:r>
          </w:p>
        </w:tc>
        <w:tc>
          <w:tcPr>
            <w:tcW w:type="dxa" w:w="26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___________</w:t>
            </w:r>
          </w:p>
        </w:tc>
        <w:tc>
          <w:tcPr>
            <w:tcW w:type="dxa" w:w="26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___________</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Desarrollar prototipo del dashboard con datos reales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___________</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___________</w:t>
            </w:r>
          </w:p>
        </w:tc>
      </w:tr>
      <w:tr>
        <w:tc>
          <w:tcPr>
            <w:tcW w:type="dxa" w:w="416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Calcular costo por kilómetro recorrido con precio real del diesel</w:t>
            </w:r>
          </w:p>
        </w:tc>
        <w:tc>
          <w:tcPr>
            <w:tcW w:type="dxa" w:w="26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___________</w:t>
            </w:r>
          </w:p>
        </w:tc>
        <w:tc>
          <w:tcPr>
            <w:tcW w:type="dxa" w:w="2600"/>
            <w:tcBorders>
              <w:top w:val="single" w:color="CCCCCC" w:sz="1"/>
              <w:left w:val="single" w:color="CCCCCC" w:sz="1"/>
              <w:bottom w:val="single" w:color="CCCCCC" w:sz="1"/>
              <w:right w:val="single" w:color="CCCCCC" w:sz="1"/>
            </w:tcBorders>
            <w:shd w:fill="E3F2FD" w:val="clear"/>
            <w:tcMar>
              <w:top w:type="dxa" w:w="80"/>
              <w:left w:type="dxa" w:w="130"/>
              <w:bottom w:type="dxa" w:w="80"/>
              <w:right w:type="dxa" w:w="130"/>
            </w:tcMar>
            <w:vAlign w:val="center"/>
          </w:tcPr>
          <w:p>
            <w:r>
              <w:rPr>
                <w:rFonts w:ascii="Arial" w:cs="Arial" w:eastAsia="Arial" w:hAnsi="Arial"/>
                <w:sz w:val="20"/>
                <w:szCs w:val="20"/>
              </w:rPr>
              <w:t xml:space="preserve">___________</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Validar datos de consumo con los choferes del servicio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___________</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sz w:val="20"/>
                <w:szCs w:val="20"/>
              </w:rPr>
              <w:t xml:space="preserve">___________</w:t>
            </w:r>
          </w:p>
        </w:tc>
      </w:tr>
    </w:tbl>
    <w:p>
      <w:pPr>
        <w:spacing w:after="160" w:before="160"/>
      </w:pPr>
      <w:r>
        <w:t xml:space="preserve"/>
      </w:r>
    </w:p>
    <w:p>
      <w:pPr>
        <w:spacing w:after="40" w:before="200"/>
        <w:jc w:val="center"/>
      </w:pPr>
      <w:r>
        <w:rPr>
          <w:rFonts w:ascii="Arial" w:cs="Arial" w:eastAsia="Arial" w:hAnsi="Arial"/>
          <w:i/>
          <w:iCs/>
          <w:color w:val="AAAAAA"/>
          <w:sz w:val="20"/>
          <w:szCs w:val="20"/>
        </w:rPr>
        <w:t xml:space="preserve">— Fin del documento de avance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sz w:val="32"/>
      <w:szCs w:val="32"/>
    </w:rPr>
  </w:style>
  <w:style w:type="paragraph" w:styleId="Heading2">
    <w:name w:val="Heading 2"/>
    <w:basedOn w:val="Normal"/>
    <w:next w:val="Normal"/>
    <w:qFormat/>
    <w:pPr>
      <w:spacing w:after="100" w:before="2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2026-05-08T00:14:27.443Z</dcterms:created>
  <dcterms:modified xsi:type="dcterms:W3CDTF">2026-05-08T00:14:27.443Z</dcterms:modified>
</cp:coreProperties>
</file>

<file path=docProps/custom.xml><?xml version="1.0" encoding="utf-8"?>
<Properties xmlns="http://schemas.openxmlformats.org/officeDocument/2006/custom-properties" xmlns:vt="http://schemas.openxmlformats.org/officeDocument/2006/docPropsVTypes"/>
</file>