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8EAC5" w14:textId="77777777" w:rsidR="00A75B11" w:rsidRDefault="00000000">
      <w:pPr>
        <w:spacing w:after="420" w:line="317" w:lineRule="auto"/>
        <w:ind w:right="-12"/>
        <w:jc w:val="right"/>
      </w:pPr>
      <w:r>
        <w:rPr>
          <w:b/>
        </w:rPr>
        <w:t xml:space="preserve">23 de enero de 2025 </w:t>
      </w:r>
    </w:p>
    <w:p w14:paraId="5C932F0D" w14:textId="77777777" w:rsidR="00A75B11" w:rsidRDefault="00000000">
      <w:pPr>
        <w:spacing w:after="161" w:line="259" w:lineRule="auto"/>
        <w:ind w:left="-5" w:right="0"/>
        <w:jc w:val="left"/>
      </w:pPr>
      <w:r>
        <w:rPr>
          <w:b/>
        </w:rPr>
        <w:t xml:space="preserve">Prueba Gerente Modelador (a) de Riesgo de Crédito </w:t>
      </w:r>
    </w:p>
    <w:p w14:paraId="1580FB5E" w14:textId="77777777" w:rsidR="00A75B11" w:rsidRDefault="00000000">
      <w:pPr>
        <w:spacing w:after="153"/>
        <w:ind w:right="0"/>
      </w:pPr>
      <w:r>
        <w:t xml:space="preserve">El objetivo de esta prueba es conocer con mayor detalle la forma en que la candidata o el candidato aborda un problema, así como la congruencia y claridad del hilo conductor que se plantea para dar respuesta a las interrogantes de este ejercicio. </w:t>
      </w:r>
    </w:p>
    <w:p w14:paraId="1037F003" w14:textId="77777777" w:rsidR="00A75B11" w:rsidRDefault="00000000">
      <w:pPr>
        <w:spacing w:after="148"/>
        <w:ind w:right="0"/>
      </w:pPr>
      <w:r>
        <w:t xml:space="preserve">Se pide a quien aplica a la vacante que proporcione el material suficiente para que quien evalúa la prueba pueda entender el racional y los argumentos utilizados.  </w:t>
      </w:r>
    </w:p>
    <w:p w14:paraId="4CFF52AB" w14:textId="77777777" w:rsidR="00A75B11" w:rsidRDefault="00000000">
      <w:pPr>
        <w:spacing w:after="154"/>
        <w:ind w:right="0"/>
      </w:pPr>
      <w:r>
        <w:t xml:space="preserve">Es importante mencionar que este ejercicio no tiene respuestas únicas y aunque se proporcionan los elementos básicos para el análisis, no se restringe al participante el deseo de incluir elementos adicionales que a su consideración pudieran nutrir o robustecer sus respuestas. Tampoco se requiere algún lenguaje de programación en particular. </w:t>
      </w:r>
    </w:p>
    <w:p w14:paraId="7A135112" w14:textId="77777777" w:rsidR="00A75B11" w:rsidRDefault="00000000">
      <w:pPr>
        <w:spacing w:after="187"/>
        <w:ind w:right="0"/>
      </w:pPr>
      <w:r>
        <w:t xml:space="preserve">Finalmente, se solicita enviar las respuestas a más tardar el miércoles a las 9 am, y así dar agilidad para la revisión y transmisión de la retroalimentación correspondiente.  </w:t>
      </w:r>
    </w:p>
    <w:p w14:paraId="521A0F68" w14:textId="77777777" w:rsidR="00A75B11" w:rsidRDefault="00000000">
      <w:pPr>
        <w:spacing w:after="161" w:line="259" w:lineRule="auto"/>
        <w:ind w:left="-5" w:right="0"/>
        <w:jc w:val="left"/>
      </w:pPr>
      <w:r>
        <w:rPr>
          <w:b/>
        </w:rPr>
        <w:t xml:space="preserve">Planteamiento del problema </w:t>
      </w:r>
    </w:p>
    <w:p w14:paraId="4CCDE9F6" w14:textId="77777777" w:rsidR="00A75B11" w:rsidRDefault="00000000">
      <w:pPr>
        <w:spacing w:after="172"/>
        <w:ind w:right="0"/>
      </w:pPr>
      <w:r>
        <w:t>Dentro del paquete enviado para el ejercicio se incluye una base con series macroeconómicas, así como indicadores de crédito al consumo que serán el principal insumo para la actividad. Estas series se encuentran disponibles para distintas ventanas de información, por lo que, en primer lugar</w:t>
      </w:r>
      <w:r>
        <w:rPr>
          <w:b/>
        </w:rPr>
        <w:t>, el participante tendrá que definir la ventana que considere adecuada para realizar el ejercicio</w:t>
      </w:r>
      <w:r>
        <w:rPr>
          <w:b/>
          <w:vertAlign w:val="superscript"/>
        </w:rPr>
        <w:footnoteReference w:id="1"/>
      </w:r>
      <w:r>
        <w:rPr>
          <w:b/>
        </w:rPr>
        <w:t>.</w:t>
      </w:r>
      <w:r>
        <w:t xml:space="preserve"> </w:t>
      </w:r>
      <w:r>
        <w:rPr>
          <w:b/>
        </w:rPr>
        <w:t xml:space="preserve"> </w:t>
      </w:r>
    </w:p>
    <w:p w14:paraId="129572C3" w14:textId="77777777" w:rsidR="00A75B11" w:rsidRDefault="00000000">
      <w:pPr>
        <w:spacing w:after="152"/>
        <w:ind w:right="0"/>
      </w:pPr>
      <w:r>
        <w:t xml:space="preserve">Esta prueba se centra en </w:t>
      </w:r>
      <w:r>
        <w:rPr>
          <w:b/>
        </w:rPr>
        <w:t>el análisis de la variación anual del Índice de Morosidad (</w:t>
      </w:r>
      <w:proofErr w:type="spellStart"/>
      <w:r>
        <w:rPr>
          <w:b/>
        </w:rPr>
        <w:t>IMORA_YoY</w:t>
      </w:r>
      <w:proofErr w:type="spellEnd"/>
      <w:r>
        <w:rPr>
          <w:b/>
        </w:rPr>
        <w:t xml:space="preserve">) </w:t>
      </w:r>
      <w:r>
        <w:t xml:space="preserve">de la cartera consolidado de consumo para la Banca Múltiple, a partir de su propio comportamiento, así como de los factores externos que pudieran -o no- influir sobre cambios y posibles valores futuros de la serie. </w:t>
      </w:r>
      <w:r>
        <w:rPr>
          <w:b/>
        </w:rPr>
        <w:t xml:space="preserve">El objetivo final consiste en ofrecer un pronóstico de los valores de la serie para los siguientes dos años. </w:t>
      </w:r>
    </w:p>
    <w:p w14:paraId="0A606801" w14:textId="77777777" w:rsidR="00A75B11" w:rsidRDefault="00000000">
      <w:pPr>
        <w:spacing w:after="202"/>
        <w:ind w:right="0"/>
      </w:pPr>
      <w:r>
        <w:t xml:space="preserve">En este sentido, cada participante deberá abarcar los siguientes puntos de manera cualitativa y cuantitativa y dar respuesta a algunos cuestionamientos: </w:t>
      </w:r>
    </w:p>
    <w:p w14:paraId="2F829494" w14:textId="12220911" w:rsidR="00A75B11" w:rsidRDefault="00000000" w:rsidP="00E33CEF">
      <w:pPr>
        <w:numPr>
          <w:ilvl w:val="0"/>
          <w:numId w:val="1"/>
        </w:numPr>
        <w:ind w:right="0" w:hanging="360"/>
      </w:pPr>
      <w:r>
        <w:t xml:space="preserve">Apartado introductorio que detalle la metodología y los pasos seguidos para el desarrollo del </w:t>
      </w:r>
      <w:r w:rsidR="00F93CFC">
        <w:t xml:space="preserve">ejercicio; </w:t>
      </w:r>
      <w:r w:rsidR="00E33CEF">
        <w:t>(</w:t>
      </w:r>
      <w:r w:rsidR="00E33CEF" w:rsidRPr="00E33CEF">
        <w:rPr>
          <w:b/>
          <w:bCs/>
          <w:color w:val="000000" w:themeColor="text1"/>
        </w:rPr>
        <w:t>Toda</w:t>
      </w:r>
      <w:r w:rsidR="00F93CFC" w:rsidRPr="00E33CEF">
        <w:rPr>
          <w:b/>
          <w:bCs/>
          <w:color w:val="000000" w:themeColor="text1"/>
        </w:rPr>
        <w:t xml:space="preserve"> la información sobre este análisis la dejo anexada en el documento </w:t>
      </w:r>
      <w:r w:rsidR="00E33CEF" w:rsidRPr="00E33CEF">
        <w:rPr>
          <w:b/>
          <w:bCs/>
          <w:i/>
          <w:iCs/>
          <w:color w:val="FF0000"/>
        </w:rPr>
        <w:t xml:space="preserve">Respuesta Humberto Ortiz </w:t>
      </w:r>
      <w:proofErr w:type="spellStart"/>
      <w:proofErr w:type="gramStart"/>
      <w:r w:rsidR="00E33CEF" w:rsidRPr="00E33CEF">
        <w:rPr>
          <w:b/>
          <w:bCs/>
          <w:i/>
          <w:iCs/>
          <w:color w:val="FF0000"/>
        </w:rPr>
        <w:t>Espinosa</w:t>
      </w:r>
      <w:r w:rsidR="00E33CEF" w:rsidRPr="00E33CEF">
        <w:rPr>
          <w:b/>
          <w:bCs/>
          <w:i/>
          <w:iCs/>
          <w:color w:val="FF0000"/>
        </w:rPr>
        <w:t>.ipynb</w:t>
      </w:r>
      <w:proofErr w:type="spellEnd"/>
      <w:r w:rsidR="00E33CEF">
        <w:rPr>
          <w:b/>
          <w:bCs/>
          <w:color w:val="FF0000"/>
        </w:rPr>
        <w:t xml:space="preserve"> </w:t>
      </w:r>
      <w:r w:rsidR="00E33CEF" w:rsidRPr="00E33CEF">
        <w:rPr>
          <w:b/>
          <w:bCs/>
          <w:color w:val="000000" w:themeColor="text1"/>
        </w:rPr>
        <w:t>)</w:t>
      </w:r>
      <w:proofErr w:type="gramEnd"/>
    </w:p>
    <w:p w14:paraId="065648B9" w14:textId="43FDDC3D" w:rsidR="00CB501F" w:rsidRDefault="00CB501F" w:rsidP="00CB501F">
      <w:pPr>
        <w:numPr>
          <w:ilvl w:val="1"/>
          <w:numId w:val="1"/>
        </w:numPr>
        <w:ind w:right="0" w:hanging="360"/>
        <w:rPr>
          <w:b/>
          <w:bCs/>
          <w:sz w:val="20"/>
          <w:szCs w:val="22"/>
        </w:rPr>
      </w:pPr>
      <w:r w:rsidRPr="006461A0">
        <w:rPr>
          <w:b/>
          <w:bCs/>
          <w:sz w:val="20"/>
          <w:szCs w:val="22"/>
        </w:rPr>
        <w:t>R</w:t>
      </w:r>
      <w:r w:rsidR="006461A0" w:rsidRPr="006461A0">
        <w:rPr>
          <w:b/>
          <w:bCs/>
          <w:sz w:val="20"/>
          <w:szCs w:val="22"/>
        </w:rPr>
        <w:t xml:space="preserve">- La metodología utilizada para este ejercicio consistió en calcular la variación anual del Índice de Morosidad (IMORA) usando Python con la función </w:t>
      </w:r>
      <w:proofErr w:type="spellStart"/>
      <w:r w:rsidR="006461A0" w:rsidRPr="006461A0">
        <w:rPr>
          <w:b/>
          <w:bCs/>
          <w:sz w:val="20"/>
          <w:szCs w:val="22"/>
        </w:rPr>
        <w:t>pct_change</w:t>
      </w:r>
      <w:proofErr w:type="spellEnd"/>
      <w:r w:rsidR="006461A0" w:rsidRPr="006461A0">
        <w:rPr>
          <w:b/>
          <w:bCs/>
          <w:sz w:val="20"/>
          <w:szCs w:val="22"/>
        </w:rPr>
        <w:t xml:space="preserve"> para obtener su variación porcentual. Posteriormente, se gestionaron los </w:t>
      </w:r>
      <w:proofErr w:type="spellStart"/>
      <w:r w:rsidR="006461A0" w:rsidRPr="006461A0">
        <w:rPr>
          <w:b/>
          <w:bCs/>
          <w:sz w:val="20"/>
          <w:szCs w:val="22"/>
        </w:rPr>
        <w:t>outliers</w:t>
      </w:r>
      <w:proofErr w:type="spellEnd"/>
      <w:r w:rsidR="006461A0" w:rsidRPr="006461A0">
        <w:rPr>
          <w:b/>
          <w:bCs/>
          <w:sz w:val="20"/>
          <w:szCs w:val="22"/>
        </w:rPr>
        <w:t xml:space="preserve"> y se aplicaron transformaciones como logaritmo, Box-Cox y raíz cuadrada para suavizar los datos. Se analizó la tendencia de la información y se construyó una matriz de correlación para evaluar la relación de variables externas con el IMORA. Finalmente, se desarrollaron modelos de predicción, como ARIMA, </w:t>
      </w:r>
      <w:proofErr w:type="spellStart"/>
      <w:r w:rsidR="006461A0" w:rsidRPr="006461A0">
        <w:rPr>
          <w:b/>
          <w:bCs/>
          <w:sz w:val="20"/>
          <w:szCs w:val="22"/>
        </w:rPr>
        <w:t>Random</w:t>
      </w:r>
      <w:proofErr w:type="spellEnd"/>
      <w:r w:rsidR="006461A0" w:rsidRPr="006461A0">
        <w:rPr>
          <w:b/>
          <w:bCs/>
          <w:sz w:val="20"/>
          <w:szCs w:val="22"/>
        </w:rPr>
        <w:t xml:space="preserve"> Forest y LSTM, para predecir el IMORA en los años 2025 y 2026, optimizando los modelos con las variables más relevantes</w:t>
      </w:r>
    </w:p>
    <w:p w14:paraId="5C52EF14" w14:textId="77777777" w:rsidR="00C07BDF" w:rsidRPr="006461A0" w:rsidRDefault="00C07BDF" w:rsidP="00CB501F">
      <w:pPr>
        <w:numPr>
          <w:ilvl w:val="1"/>
          <w:numId w:val="1"/>
        </w:numPr>
        <w:ind w:right="0" w:hanging="360"/>
        <w:rPr>
          <w:b/>
          <w:bCs/>
          <w:sz w:val="20"/>
          <w:szCs w:val="22"/>
        </w:rPr>
      </w:pPr>
    </w:p>
    <w:p w14:paraId="489B2309" w14:textId="7FEABEB4" w:rsidR="00A75B11" w:rsidRDefault="00000000" w:rsidP="006461A0">
      <w:pPr>
        <w:numPr>
          <w:ilvl w:val="0"/>
          <w:numId w:val="1"/>
        </w:numPr>
        <w:ind w:right="0" w:hanging="360"/>
      </w:pPr>
      <w:r>
        <w:t>Análisis exploratorio de la serie objetivo (</w:t>
      </w:r>
      <w:proofErr w:type="spellStart"/>
      <w:r>
        <w:t>IMORA_YoY</w:t>
      </w:r>
      <w:proofErr w:type="spellEnd"/>
      <w:r>
        <w:t xml:space="preserve">), así como de las series explicativas que los aspirantes seleccionen como determinantes para el ejercicio;   </w:t>
      </w:r>
    </w:p>
    <w:p w14:paraId="187F0BD5" w14:textId="5C162E86" w:rsidR="006461A0" w:rsidRDefault="00000000" w:rsidP="006461A0">
      <w:pPr>
        <w:numPr>
          <w:ilvl w:val="1"/>
          <w:numId w:val="1"/>
        </w:numPr>
        <w:spacing w:after="11"/>
        <w:ind w:right="0" w:hanging="360"/>
      </w:pPr>
      <w:r>
        <w:t xml:space="preserve">¿Qué criterios se consideraron para esta decisión? </w:t>
      </w:r>
    </w:p>
    <w:p w14:paraId="029BE8EA" w14:textId="0C8FDD22" w:rsidR="00A75B11" w:rsidRPr="006461A0" w:rsidRDefault="006461A0" w:rsidP="006461A0">
      <w:pPr>
        <w:spacing w:after="11"/>
        <w:ind w:left="360" w:right="0" w:firstLine="0"/>
        <w:rPr>
          <w:b/>
          <w:bCs/>
          <w:sz w:val="20"/>
          <w:szCs w:val="22"/>
        </w:rPr>
      </w:pPr>
      <w:r w:rsidRPr="006461A0">
        <w:rPr>
          <w:b/>
          <w:bCs/>
          <w:sz w:val="20"/>
          <w:szCs w:val="22"/>
        </w:rPr>
        <w:t>R- Para el análisis exploratorio, se consideraron los siguientes criterios: Correlación con IMORA, se analizó la relación de cada serie explicativa con el IMORA utilizando una matriz de correlación; Disponibilidad y calidad de los datos: Se priorizaron las series que contaban con datos completos y consistentes a lo largo del tiempo, ya que la calidad de los datos es crucial para entrenar modelos precisos; Relevancia económica o financiera: Se seleccionaron variables externas que tuviesen un impacto directo sobre la morosidad, tales como tasas de interés, inflación, desempleo; Estabilidad temporal: Se consideraron series explicativas que tuvieran una evolución temporal coherente con el IMORA, es decir, aquellas que mostraran patrones estacionales o tendencias alineadas con el comportamiento histórico del IMORA.</w:t>
      </w:r>
    </w:p>
    <w:p w14:paraId="324307EA" w14:textId="77777777" w:rsidR="00A75B11" w:rsidRDefault="00000000">
      <w:pPr>
        <w:spacing w:after="53" w:line="259" w:lineRule="auto"/>
        <w:ind w:left="1440" w:right="0" w:firstLine="0"/>
        <w:jc w:val="left"/>
      </w:pPr>
      <w:r>
        <w:t xml:space="preserve"> </w:t>
      </w:r>
    </w:p>
    <w:p w14:paraId="50936A9C" w14:textId="77777777" w:rsidR="00A75B11" w:rsidRDefault="00000000">
      <w:pPr>
        <w:numPr>
          <w:ilvl w:val="0"/>
          <w:numId w:val="1"/>
        </w:numPr>
        <w:ind w:right="0" w:hanging="360"/>
      </w:pPr>
      <w:r>
        <w:t xml:space="preserve">Identificación de periodos de mayor adversidad económica (ventanas de información explícitas) para cada una de estas series (ej. La caída del Producto </w:t>
      </w:r>
    </w:p>
    <w:p w14:paraId="426DC1E8" w14:textId="77777777" w:rsidR="00A75B11" w:rsidRDefault="00000000">
      <w:pPr>
        <w:spacing w:after="0"/>
        <w:ind w:left="730" w:right="0"/>
      </w:pPr>
      <w:r>
        <w:t xml:space="preserve">Interno Bruto crisis sanitaria por COVID19);  </w:t>
      </w:r>
    </w:p>
    <w:p w14:paraId="07B4B5F4" w14:textId="77777777" w:rsidR="00A75B11" w:rsidRDefault="00000000">
      <w:pPr>
        <w:spacing w:after="38" w:line="259" w:lineRule="auto"/>
        <w:ind w:left="720" w:right="0" w:firstLine="0"/>
        <w:jc w:val="left"/>
      </w:pPr>
      <w:r>
        <w:t xml:space="preserve"> </w:t>
      </w:r>
    </w:p>
    <w:p w14:paraId="3AB50EDC" w14:textId="5EFA334E" w:rsidR="00A75B11" w:rsidRDefault="00000000">
      <w:pPr>
        <w:numPr>
          <w:ilvl w:val="1"/>
          <w:numId w:val="1"/>
        </w:numPr>
        <w:spacing w:after="57" w:line="259" w:lineRule="auto"/>
        <w:ind w:right="0" w:hanging="360"/>
      </w:pPr>
      <w:r>
        <w:t xml:space="preserve">¿Qué aspectos se tomaron en cuenta para esta esta decisión? </w:t>
      </w:r>
      <w:r w:rsidR="006461A0">
        <w:t xml:space="preserve"> </w:t>
      </w:r>
      <w:r w:rsidR="002C7938">
        <w:t>R1</w:t>
      </w:r>
    </w:p>
    <w:p w14:paraId="110451E5" w14:textId="3F8F1526" w:rsidR="002C7938" w:rsidRDefault="00000000">
      <w:pPr>
        <w:numPr>
          <w:ilvl w:val="1"/>
          <w:numId w:val="1"/>
        </w:numPr>
        <w:spacing w:after="19" w:line="259" w:lineRule="auto"/>
        <w:ind w:right="0" w:hanging="360"/>
      </w:pPr>
      <w:r>
        <w:t>¿Se realizó alguna transformación sobre las variables para dicho análisis?</w:t>
      </w:r>
      <w:r w:rsidR="002C7938">
        <w:t xml:space="preserve"> R2</w:t>
      </w:r>
    </w:p>
    <w:p w14:paraId="232A3C60" w14:textId="77777777" w:rsidR="002C7938" w:rsidRDefault="002C7938" w:rsidP="002C7938">
      <w:pPr>
        <w:spacing w:after="19" w:line="259" w:lineRule="auto"/>
        <w:ind w:left="1425" w:right="0" w:firstLine="0"/>
      </w:pPr>
    </w:p>
    <w:p w14:paraId="4C77B232" w14:textId="555CCD54" w:rsidR="002C7938" w:rsidRPr="002C7938" w:rsidRDefault="002C7938" w:rsidP="002C7938">
      <w:pPr>
        <w:spacing w:after="19" w:line="259" w:lineRule="auto"/>
        <w:ind w:right="0"/>
        <w:rPr>
          <w:b/>
          <w:bCs/>
          <w:sz w:val="20"/>
          <w:szCs w:val="22"/>
        </w:rPr>
      </w:pPr>
      <w:r w:rsidRPr="002C7938">
        <w:rPr>
          <w:b/>
          <w:bCs/>
          <w:sz w:val="20"/>
          <w:szCs w:val="22"/>
        </w:rPr>
        <w:t>R1</w:t>
      </w:r>
      <w:proofErr w:type="gramStart"/>
      <w:r w:rsidRPr="002C7938">
        <w:rPr>
          <w:b/>
          <w:bCs/>
          <w:sz w:val="20"/>
          <w:szCs w:val="22"/>
        </w:rPr>
        <w:t>-  Para</w:t>
      </w:r>
      <w:proofErr w:type="gramEnd"/>
      <w:r w:rsidRPr="002C7938">
        <w:rPr>
          <w:b/>
          <w:bCs/>
          <w:sz w:val="20"/>
          <w:szCs w:val="22"/>
        </w:rPr>
        <w:t xml:space="preserve"> identificar los periodos de mayor adversidad económica, se tomaron en cuenta los </w:t>
      </w:r>
      <w:proofErr w:type="spellStart"/>
      <w:r w:rsidRPr="002C7938">
        <w:rPr>
          <w:b/>
          <w:bCs/>
          <w:i/>
          <w:iCs/>
          <w:sz w:val="20"/>
          <w:szCs w:val="22"/>
        </w:rPr>
        <w:t>outliers</w:t>
      </w:r>
      <w:proofErr w:type="spellEnd"/>
      <w:r w:rsidRPr="002C7938">
        <w:rPr>
          <w:b/>
          <w:bCs/>
          <w:sz w:val="20"/>
          <w:szCs w:val="22"/>
        </w:rPr>
        <w:t xml:space="preserve"> en el Índice de Morosidad Anual (IMORA) durante eventos económicos clave, como la crisis de 2008 y la crisis sanitaria por COVID-19. En particular, la crisis de 2008 resultó en </w:t>
      </w:r>
      <w:proofErr w:type="spellStart"/>
      <w:r w:rsidRPr="002C7938">
        <w:rPr>
          <w:b/>
          <w:bCs/>
          <w:i/>
          <w:iCs/>
          <w:sz w:val="20"/>
          <w:szCs w:val="22"/>
        </w:rPr>
        <w:t>outliers</w:t>
      </w:r>
      <w:proofErr w:type="spellEnd"/>
      <w:r w:rsidRPr="002C7938">
        <w:rPr>
          <w:b/>
          <w:bCs/>
          <w:sz w:val="20"/>
          <w:szCs w:val="22"/>
        </w:rPr>
        <w:t xml:space="preserve"> extremadamente fuertes en el IMORA, tanto que estos valores distorsionan la capacidad de ver el impacto de otros eventos en años posteriores. Los valores fuera de los límites establecidos por el rango intercuartílico (IQR) fueron identificados como </w:t>
      </w:r>
      <w:proofErr w:type="spellStart"/>
      <w:r w:rsidRPr="002C7938">
        <w:rPr>
          <w:b/>
          <w:bCs/>
          <w:i/>
          <w:iCs/>
          <w:sz w:val="20"/>
          <w:szCs w:val="22"/>
        </w:rPr>
        <w:t>outliers</w:t>
      </w:r>
      <w:proofErr w:type="spellEnd"/>
      <w:r w:rsidRPr="002C7938">
        <w:rPr>
          <w:b/>
          <w:bCs/>
          <w:sz w:val="20"/>
          <w:szCs w:val="22"/>
        </w:rPr>
        <w:t>, y estos marcaron un aumento tan drástico en el IMORA que no permitieron que el análisis futuro reflejara con claridad los efectos de otras crisis económicas o eventos similares.</w:t>
      </w:r>
    </w:p>
    <w:p w14:paraId="3A446AA8" w14:textId="77777777" w:rsidR="002C7938" w:rsidRPr="002C7938" w:rsidRDefault="002C7938" w:rsidP="002C7938">
      <w:pPr>
        <w:spacing w:after="19" w:line="259" w:lineRule="auto"/>
        <w:ind w:left="0" w:right="0" w:firstLine="0"/>
        <w:rPr>
          <w:b/>
          <w:bCs/>
          <w:sz w:val="20"/>
          <w:szCs w:val="22"/>
        </w:rPr>
      </w:pPr>
    </w:p>
    <w:p w14:paraId="578C9BC4" w14:textId="3CBDA371" w:rsidR="00C42627" w:rsidRDefault="002C7938" w:rsidP="00C07BDF">
      <w:pPr>
        <w:spacing w:after="19" w:line="259" w:lineRule="auto"/>
        <w:ind w:right="0"/>
        <w:rPr>
          <w:b/>
          <w:bCs/>
          <w:sz w:val="20"/>
          <w:szCs w:val="22"/>
        </w:rPr>
      </w:pPr>
      <w:r w:rsidRPr="002C7938">
        <w:rPr>
          <w:b/>
          <w:bCs/>
          <w:sz w:val="20"/>
          <w:szCs w:val="22"/>
        </w:rPr>
        <w:t xml:space="preserve">R2- Se aplicaron transformaciones de suavización (logarítmica, Box-Cox y raíz cuadrada) para mitigar el efecto de estos </w:t>
      </w:r>
      <w:proofErr w:type="spellStart"/>
      <w:r w:rsidRPr="002C7938">
        <w:rPr>
          <w:b/>
          <w:bCs/>
          <w:i/>
          <w:iCs/>
          <w:sz w:val="20"/>
          <w:szCs w:val="22"/>
        </w:rPr>
        <w:t>outliers</w:t>
      </w:r>
      <w:proofErr w:type="spellEnd"/>
      <w:r w:rsidRPr="002C7938">
        <w:rPr>
          <w:b/>
          <w:bCs/>
          <w:sz w:val="20"/>
          <w:szCs w:val="22"/>
        </w:rPr>
        <w:t xml:space="preserve"> extremos y facilitar el análisis de tendencias a largo plazo. A pesar de estas transformaciones, los </w:t>
      </w:r>
      <w:proofErr w:type="spellStart"/>
      <w:r w:rsidRPr="002C7938">
        <w:rPr>
          <w:b/>
          <w:bCs/>
          <w:i/>
          <w:iCs/>
          <w:sz w:val="20"/>
          <w:szCs w:val="22"/>
        </w:rPr>
        <w:t>outliers</w:t>
      </w:r>
      <w:proofErr w:type="spellEnd"/>
      <w:r w:rsidRPr="002C7938">
        <w:rPr>
          <w:b/>
          <w:bCs/>
          <w:sz w:val="20"/>
          <w:szCs w:val="22"/>
        </w:rPr>
        <w:t xml:space="preserve"> de la crisis de 2008 siguen siendo tan representativos que afectan la distribución del IMORA, impidiendo que la serie de datos posterior capture el impacto de otras crisis con la misma intensidad. Además, se implementaron regresiones lineales y polinómicas para modelar la tendencia general del IMORA, destacando cómo las crisis impactaron la morosidad, especialmente durante el periodo de 2008.</w:t>
      </w:r>
    </w:p>
    <w:p w14:paraId="6F4B18AF" w14:textId="74AAB697" w:rsidR="00C42627" w:rsidRDefault="00C42627" w:rsidP="00897E36">
      <w:pPr>
        <w:spacing w:after="19" w:line="259" w:lineRule="auto"/>
        <w:ind w:left="0" w:right="0" w:firstLine="0"/>
        <w:rPr>
          <w:b/>
          <w:bCs/>
          <w:sz w:val="20"/>
          <w:szCs w:val="22"/>
        </w:rPr>
      </w:pPr>
    </w:p>
    <w:p w14:paraId="7A071877" w14:textId="5C9C1B8D" w:rsidR="00897E36" w:rsidRDefault="00897E36" w:rsidP="00897E36">
      <w:pPr>
        <w:spacing w:after="19" w:line="259" w:lineRule="auto"/>
        <w:ind w:left="0" w:right="0" w:firstLine="0"/>
        <w:rPr>
          <w:b/>
          <w:bCs/>
          <w:sz w:val="20"/>
          <w:szCs w:val="22"/>
        </w:rPr>
      </w:pPr>
      <w:r w:rsidRPr="00897E36">
        <w:rPr>
          <w:b/>
          <w:bCs/>
          <w:noProof/>
          <w:sz w:val="20"/>
          <w:szCs w:val="22"/>
        </w:rPr>
        <w:drawing>
          <wp:inline distT="0" distB="0" distL="0" distR="0" wp14:anchorId="6BD9D85F" wp14:editId="14D80127">
            <wp:extent cx="5615305" cy="1579245"/>
            <wp:effectExtent l="0" t="0" r="4445" b="1905"/>
            <wp:docPr id="185399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9302" name=""/>
                    <pic:cNvPicPr/>
                  </pic:nvPicPr>
                  <pic:blipFill>
                    <a:blip r:embed="rId7"/>
                    <a:stretch>
                      <a:fillRect/>
                    </a:stretch>
                  </pic:blipFill>
                  <pic:spPr>
                    <a:xfrm>
                      <a:off x="0" y="0"/>
                      <a:ext cx="5615305" cy="1579245"/>
                    </a:xfrm>
                    <a:prstGeom prst="rect">
                      <a:avLst/>
                    </a:prstGeom>
                  </pic:spPr>
                </pic:pic>
              </a:graphicData>
            </a:graphic>
          </wp:inline>
        </w:drawing>
      </w:r>
    </w:p>
    <w:p w14:paraId="20F1A981" w14:textId="77777777" w:rsidR="00C42627" w:rsidRPr="002C7938" w:rsidRDefault="00C42627" w:rsidP="002C7938">
      <w:pPr>
        <w:spacing w:after="19" w:line="259" w:lineRule="auto"/>
        <w:ind w:right="0"/>
        <w:rPr>
          <w:b/>
          <w:bCs/>
          <w:sz w:val="20"/>
          <w:szCs w:val="22"/>
        </w:rPr>
      </w:pPr>
    </w:p>
    <w:p w14:paraId="79E07D36" w14:textId="7017F23A" w:rsidR="00A75B11" w:rsidRDefault="002C7938" w:rsidP="002C7938">
      <w:pPr>
        <w:spacing w:after="115" w:line="259" w:lineRule="auto"/>
        <w:ind w:right="0"/>
        <w:jc w:val="left"/>
      </w:pPr>
      <w:r w:rsidRPr="002C7938">
        <w:rPr>
          <w:noProof/>
        </w:rPr>
        <w:drawing>
          <wp:inline distT="0" distB="0" distL="0" distR="0" wp14:anchorId="61B488C3" wp14:editId="68808EEB">
            <wp:extent cx="5615305" cy="3114675"/>
            <wp:effectExtent l="0" t="0" r="4445" b="9525"/>
            <wp:docPr id="288145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45430" name=""/>
                    <pic:cNvPicPr/>
                  </pic:nvPicPr>
                  <pic:blipFill>
                    <a:blip r:embed="rId8"/>
                    <a:stretch>
                      <a:fillRect/>
                    </a:stretch>
                  </pic:blipFill>
                  <pic:spPr>
                    <a:xfrm>
                      <a:off x="0" y="0"/>
                      <a:ext cx="5615305" cy="3114675"/>
                    </a:xfrm>
                    <a:prstGeom prst="rect">
                      <a:avLst/>
                    </a:prstGeom>
                  </pic:spPr>
                </pic:pic>
              </a:graphicData>
            </a:graphic>
          </wp:inline>
        </w:drawing>
      </w:r>
      <w:r>
        <w:t xml:space="preserve"> </w:t>
      </w:r>
    </w:p>
    <w:p w14:paraId="068BAC25" w14:textId="73A2095E" w:rsidR="002C7938" w:rsidRDefault="002C7938" w:rsidP="002C7938">
      <w:pPr>
        <w:spacing w:after="115" w:line="259" w:lineRule="auto"/>
        <w:ind w:right="0"/>
        <w:jc w:val="left"/>
      </w:pPr>
      <w:r w:rsidRPr="002C7938">
        <w:rPr>
          <w:noProof/>
        </w:rPr>
        <w:drawing>
          <wp:inline distT="0" distB="0" distL="0" distR="0" wp14:anchorId="2A4E6325" wp14:editId="7454A4F6">
            <wp:extent cx="5615305" cy="4189095"/>
            <wp:effectExtent l="0" t="0" r="4445" b="1905"/>
            <wp:docPr id="1739896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96012" name=""/>
                    <pic:cNvPicPr/>
                  </pic:nvPicPr>
                  <pic:blipFill>
                    <a:blip r:embed="rId9"/>
                    <a:stretch>
                      <a:fillRect/>
                    </a:stretch>
                  </pic:blipFill>
                  <pic:spPr>
                    <a:xfrm>
                      <a:off x="0" y="0"/>
                      <a:ext cx="5615305" cy="4189095"/>
                    </a:xfrm>
                    <a:prstGeom prst="rect">
                      <a:avLst/>
                    </a:prstGeom>
                  </pic:spPr>
                </pic:pic>
              </a:graphicData>
            </a:graphic>
          </wp:inline>
        </w:drawing>
      </w:r>
    </w:p>
    <w:p w14:paraId="34307F8C" w14:textId="77777777" w:rsidR="00A75B11" w:rsidRDefault="00000000">
      <w:pPr>
        <w:spacing w:after="0" w:line="259" w:lineRule="auto"/>
        <w:ind w:left="0" w:right="0" w:firstLine="0"/>
        <w:jc w:val="left"/>
      </w:pPr>
      <w:r>
        <w:rPr>
          <w:rFonts w:ascii="Calibri" w:eastAsia="Calibri" w:hAnsi="Calibri" w:cs="Calibri"/>
          <w:noProof/>
        </w:rPr>
        <mc:AlternateContent>
          <mc:Choice Requires="wpg">
            <w:drawing>
              <wp:inline distT="0" distB="0" distL="0" distR="0" wp14:anchorId="5325DEA3" wp14:editId="6EDAE52F">
                <wp:extent cx="1829054" cy="9144"/>
                <wp:effectExtent l="0" t="0" r="0" b="0"/>
                <wp:docPr id="2082" name="Group 2082"/>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2460" name="Shape 2460"/>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82" style="width:144.02pt;height:0.719971pt;mso-position-horizontal-relative:char;mso-position-vertical-relative:line" coordsize="18290,91">
                <v:shape id="Shape 2461"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rPr>
        <w:t xml:space="preserve"> </w:t>
      </w:r>
    </w:p>
    <w:p w14:paraId="4399EC4F" w14:textId="77777777" w:rsidR="00A75B11" w:rsidRDefault="00000000">
      <w:pPr>
        <w:spacing w:after="420" w:line="317" w:lineRule="auto"/>
        <w:ind w:right="-12"/>
        <w:jc w:val="right"/>
      </w:pPr>
      <w:r>
        <w:rPr>
          <w:b/>
        </w:rPr>
        <w:t xml:space="preserve">23 de enero de 2025 </w:t>
      </w:r>
    </w:p>
    <w:p w14:paraId="030B735C" w14:textId="77777777" w:rsidR="00A75B11" w:rsidRDefault="00000000">
      <w:pPr>
        <w:numPr>
          <w:ilvl w:val="0"/>
          <w:numId w:val="1"/>
        </w:numPr>
        <w:spacing w:after="9"/>
        <w:ind w:right="0" w:hanging="360"/>
      </w:pPr>
      <w:r>
        <w:t xml:space="preserve">Identificación de cambios estructurales en el comportamiento de las series; </w:t>
      </w:r>
    </w:p>
    <w:p w14:paraId="1447D40A" w14:textId="1072E0AC" w:rsidR="007A5354" w:rsidRPr="007A5354" w:rsidRDefault="007A5354" w:rsidP="007A5354">
      <w:pPr>
        <w:spacing w:after="9"/>
        <w:ind w:left="720" w:right="0" w:firstLine="0"/>
        <w:rPr>
          <w:b/>
          <w:bCs/>
          <w:sz w:val="20"/>
          <w:szCs w:val="22"/>
        </w:rPr>
      </w:pPr>
      <w:r w:rsidRPr="007A5354">
        <w:rPr>
          <w:b/>
          <w:bCs/>
          <w:sz w:val="20"/>
          <w:szCs w:val="22"/>
        </w:rPr>
        <w:lastRenderedPageBreak/>
        <w:t xml:space="preserve">R- Si, </w:t>
      </w:r>
      <w:r w:rsidRPr="007A5354">
        <w:rPr>
          <w:b/>
          <w:bCs/>
          <w:sz w:val="20"/>
          <w:szCs w:val="22"/>
        </w:rPr>
        <w:t xml:space="preserve">la identificación de cambios estructurales en el comportamiento de las series implica detectar eventos excepcionales que alteran significativamente su patrón, como la crisis financiera de 2008 o la pandemia de COVID-19. Estos cambios suelen reflejarse en </w:t>
      </w:r>
      <w:proofErr w:type="spellStart"/>
      <w:r w:rsidRPr="007A5354">
        <w:rPr>
          <w:b/>
          <w:bCs/>
          <w:sz w:val="20"/>
          <w:szCs w:val="22"/>
        </w:rPr>
        <w:t>outliers</w:t>
      </w:r>
      <w:proofErr w:type="spellEnd"/>
      <w:r w:rsidRPr="007A5354">
        <w:rPr>
          <w:b/>
          <w:bCs/>
          <w:sz w:val="20"/>
          <w:szCs w:val="22"/>
        </w:rPr>
        <w:t xml:space="preserve"> o fluctuaciones extremas que pueden distorsionar las predicciones. Para mitigar su impacto, se aplican transformaciones como logaritmo o Box-Cox, suavizando así los efectos de estos puntos atípicos y permitiendo una mejor identificación de las tendencias a largo plazo</w:t>
      </w:r>
    </w:p>
    <w:p w14:paraId="7E361A92" w14:textId="77777777" w:rsidR="007A5354" w:rsidRDefault="007A5354" w:rsidP="007A5354">
      <w:pPr>
        <w:spacing w:after="9"/>
        <w:ind w:left="720" w:right="0" w:firstLine="0"/>
      </w:pPr>
    </w:p>
    <w:p w14:paraId="4CC2F3B2" w14:textId="77777777" w:rsidR="009D7E23" w:rsidRPr="009D7E23" w:rsidRDefault="00000000" w:rsidP="00612CF6">
      <w:pPr>
        <w:pStyle w:val="Prrafodelista"/>
        <w:numPr>
          <w:ilvl w:val="0"/>
          <w:numId w:val="2"/>
        </w:numPr>
        <w:ind w:right="0"/>
        <w:rPr>
          <w:b/>
          <w:bCs/>
          <w:sz w:val="20"/>
          <w:szCs w:val="22"/>
        </w:rPr>
      </w:pPr>
      <w:r>
        <w:t xml:space="preserve">Métricas de relación y/o causalidad entre la serie objetivo y las series explicativas; </w:t>
      </w:r>
    </w:p>
    <w:p w14:paraId="58A63F34" w14:textId="56EDD915" w:rsidR="009D7E23" w:rsidRPr="009D7E23" w:rsidRDefault="009D7E23" w:rsidP="009D7E23">
      <w:pPr>
        <w:pStyle w:val="Prrafodelista"/>
        <w:ind w:right="0" w:firstLine="0"/>
        <w:rPr>
          <w:b/>
          <w:bCs/>
          <w:sz w:val="20"/>
          <w:szCs w:val="22"/>
        </w:rPr>
      </w:pPr>
      <w:r>
        <w:rPr>
          <w:b/>
          <w:bCs/>
          <w:sz w:val="20"/>
          <w:szCs w:val="22"/>
        </w:rPr>
        <w:t>R- P</w:t>
      </w:r>
      <w:r w:rsidRPr="009D7E23">
        <w:rPr>
          <w:b/>
          <w:bCs/>
          <w:sz w:val="20"/>
          <w:szCs w:val="22"/>
        </w:rPr>
        <w:t xml:space="preserve">ara la relación y causalidad entre la serie objetivo (IMORA) y las series </w:t>
      </w:r>
      <w:r>
        <w:rPr>
          <w:b/>
          <w:bCs/>
          <w:sz w:val="20"/>
          <w:szCs w:val="22"/>
        </w:rPr>
        <w:t>externas</w:t>
      </w:r>
      <w:r w:rsidRPr="009D7E23">
        <w:rPr>
          <w:b/>
          <w:bCs/>
          <w:sz w:val="20"/>
          <w:szCs w:val="22"/>
        </w:rPr>
        <w:t>, se realizó un análisis de correlación mediante un mapa de calor, que muestra la</w:t>
      </w:r>
      <w:r>
        <w:rPr>
          <w:b/>
          <w:bCs/>
          <w:sz w:val="20"/>
          <w:szCs w:val="22"/>
        </w:rPr>
        <w:t xml:space="preserve"> relación con estas variables. </w:t>
      </w:r>
      <w:r w:rsidRPr="009D7E23">
        <w:rPr>
          <w:b/>
          <w:bCs/>
          <w:sz w:val="20"/>
          <w:szCs w:val="22"/>
        </w:rPr>
        <w:t xml:space="preserve"> </w:t>
      </w:r>
    </w:p>
    <w:p w14:paraId="5CDCBEF4" w14:textId="6E0BE03C" w:rsidR="009D7E23" w:rsidRPr="009D7E23" w:rsidRDefault="00000000" w:rsidP="009D7E23">
      <w:pPr>
        <w:ind w:left="360" w:right="0" w:firstLine="348"/>
        <w:rPr>
          <w:b/>
          <w:bCs/>
          <w:sz w:val="20"/>
          <w:szCs w:val="22"/>
        </w:rPr>
      </w:pPr>
      <w:r w:rsidRPr="009D7E23">
        <w:rPr>
          <w:rFonts w:ascii="Courier New" w:eastAsia="Courier New" w:hAnsi="Courier New" w:cs="Courier New"/>
        </w:rPr>
        <w:t>o</w:t>
      </w:r>
      <w:r>
        <w:t xml:space="preserve"> ¿Qué variables guardan mayor relación con la serie objetivo</w:t>
      </w:r>
      <w:r w:rsidRPr="009D7E23">
        <w:rPr>
          <w:b/>
          <w:bCs/>
          <w:sz w:val="20"/>
          <w:szCs w:val="22"/>
        </w:rPr>
        <w:t>?</w:t>
      </w:r>
    </w:p>
    <w:p w14:paraId="788DAC03" w14:textId="02E85886" w:rsidR="009D7E23" w:rsidRPr="009D7E23" w:rsidRDefault="009D7E23" w:rsidP="009D7E23">
      <w:pPr>
        <w:pStyle w:val="Prrafodelista"/>
        <w:numPr>
          <w:ilvl w:val="1"/>
          <w:numId w:val="2"/>
        </w:numPr>
        <w:ind w:right="0"/>
      </w:pPr>
      <w:r>
        <w:t xml:space="preserve">¿Qué variables guardan mayor relación causal con la serie objetivo? </w:t>
      </w:r>
    </w:p>
    <w:p w14:paraId="69555009" w14:textId="4C2259D3" w:rsidR="00A75B11" w:rsidRPr="00612CF6" w:rsidRDefault="00612CF6" w:rsidP="00612CF6">
      <w:pPr>
        <w:pStyle w:val="Prrafodelista"/>
        <w:numPr>
          <w:ilvl w:val="0"/>
          <w:numId w:val="2"/>
        </w:numPr>
        <w:ind w:right="0"/>
        <w:rPr>
          <w:b/>
          <w:bCs/>
          <w:sz w:val="20"/>
          <w:szCs w:val="22"/>
        </w:rPr>
      </w:pPr>
      <w:r w:rsidRPr="00612CF6">
        <w:rPr>
          <w:b/>
          <w:bCs/>
          <w:sz w:val="20"/>
          <w:szCs w:val="22"/>
        </w:rPr>
        <w:t xml:space="preserve"> R- Índice</w:t>
      </w:r>
      <w:r w:rsidRPr="00612CF6">
        <w:rPr>
          <w:b/>
          <w:bCs/>
          <w:sz w:val="20"/>
          <w:szCs w:val="22"/>
        </w:rPr>
        <w:t xml:space="preserve"> Nacional de Precios al Productor, Tasa de desocupación, Créditos al consumo (valores en </w:t>
      </w:r>
      <w:proofErr w:type="spellStart"/>
      <w:r w:rsidRPr="00612CF6">
        <w:rPr>
          <w:b/>
          <w:bCs/>
          <w:sz w:val="20"/>
          <w:szCs w:val="22"/>
        </w:rPr>
        <w:t>abs</w:t>
      </w:r>
      <w:proofErr w:type="spellEnd"/>
      <w:r w:rsidRPr="00612CF6">
        <w:rPr>
          <w:b/>
          <w:bCs/>
          <w:sz w:val="20"/>
          <w:szCs w:val="22"/>
        </w:rPr>
        <w:t>)</w:t>
      </w:r>
    </w:p>
    <w:tbl>
      <w:tblPr>
        <w:tblW w:w="6060" w:type="dxa"/>
        <w:tblCellMar>
          <w:left w:w="70" w:type="dxa"/>
          <w:right w:w="70" w:type="dxa"/>
        </w:tblCellMar>
        <w:tblLook w:val="04A0" w:firstRow="1" w:lastRow="0" w:firstColumn="1" w:lastColumn="0" w:noHBand="0" w:noVBand="1"/>
      </w:tblPr>
      <w:tblGrid>
        <w:gridCol w:w="4860"/>
        <w:gridCol w:w="1200"/>
      </w:tblGrid>
      <w:tr w:rsidR="00612CF6" w:rsidRPr="00612CF6" w14:paraId="08E0F491" w14:textId="77777777" w:rsidTr="00612CF6">
        <w:trPr>
          <w:trHeight w:val="300"/>
        </w:trPr>
        <w:tc>
          <w:tcPr>
            <w:tcW w:w="4860" w:type="dxa"/>
            <w:tcBorders>
              <w:top w:val="nil"/>
              <w:left w:val="nil"/>
              <w:bottom w:val="nil"/>
              <w:right w:val="nil"/>
            </w:tcBorders>
            <w:shd w:val="clear" w:color="auto" w:fill="auto"/>
            <w:noWrap/>
            <w:vAlign w:val="bottom"/>
            <w:hideMark/>
          </w:tcPr>
          <w:p w14:paraId="5D0BCE4D" w14:textId="77777777" w:rsidR="00612CF6" w:rsidRPr="00612CF6" w:rsidRDefault="00612CF6" w:rsidP="00612CF6">
            <w:pPr>
              <w:spacing w:after="0" w:line="240" w:lineRule="auto"/>
              <w:ind w:left="0" w:right="0" w:firstLine="0"/>
              <w:jc w:val="lef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Tasa de desocupación</w:t>
            </w:r>
          </w:p>
        </w:tc>
        <w:tc>
          <w:tcPr>
            <w:tcW w:w="1200" w:type="dxa"/>
            <w:tcBorders>
              <w:top w:val="nil"/>
              <w:left w:val="nil"/>
              <w:bottom w:val="nil"/>
              <w:right w:val="nil"/>
            </w:tcBorders>
            <w:shd w:val="clear" w:color="auto" w:fill="auto"/>
            <w:noWrap/>
            <w:vAlign w:val="bottom"/>
            <w:hideMark/>
          </w:tcPr>
          <w:p w14:paraId="28F63877" w14:textId="77777777" w:rsidR="00612CF6" w:rsidRPr="00612CF6" w:rsidRDefault="00612CF6" w:rsidP="00612CF6">
            <w:pPr>
              <w:spacing w:after="0" w:line="240" w:lineRule="auto"/>
              <w:ind w:left="0" w:right="0" w:firstLine="0"/>
              <w:jc w:val="righ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0.683729</w:t>
            </w:r>
          </w:p>
        </w:tc>
      </w:tr>
      <w:tr w:rsidR="00612CF6" w:rsidRPr="00612CF6" w14:paraId="4D4D0CDE" w14:textId="77777777" w:rsidTr="00612CF6">
        <w:trPr>
          <w:trHeight w:val="300"/>
        </w:trPr>
        <w:tc>
          <w:tcPr>
            <w:tcW w:w="4860" w:type="dxa"/>
            <w:tcBorders>
              <w:top w:val="nil"/>
              <w:left w:val="nil"/>
              <w:bottom w:val="nil"/>
              <w:right w:val="nil"/>
            </w:tcBorders>
            <w:shd w:val="clear" w:color="auto" w:fill="auto"/>
            <w:noWrap/>
            <w:vAlign w:val="bottom"/>
            <w:hideMark/>
          </w:tcPr>
          <w:p w14:paraId="39130F28" w14:textId="77777777" w:rsidR="00612CF6" w:rsidRPr="00612CF6" w:rsidRDefault="00612CF6" w:rsidP="00612CF6">
            <w:pPr>
              <w:spacing w:after="0" w:line="240" w:lineRule="auto"/>
              <w:ind w:left="0" w:right="0" w:firstLine="0"/>
              <w:jc w:val="lef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 xml:space="preserve">Índice Global de Actividad Económica </w:t>
            </w:r>
          </w:p>
        </w:tc>
        <w:tc>
          <w:tcPr>
            <w:tcW w:w="1200" w:type="dxa"/>
            <w:tcBorders>
              <w:top w:val="nil"/>
              <w:left w:val="nil"/>
              <w:bottom w:val="nil"/>
              <w:right w:val="nil"/>
            </w:tcBorders>
            <w:shd w:val="clear" w:color="auto" w:fill="auto"/>
            <w:noWrap/>
            <w:vAlign w:val="bottom"/>
            <w:hideMark/>
          </w:tcPr>
          <w:p w14:paraId="2B393904" w14:textId="77777777" w:rsidR="00612CF6" w:rsidRPr="00612CF6" w:rsidRDefault="00612CF6" w:rsidP="00612CF6">
            <w:pPr>
              <w:spacing w:after="0" w:line="240" w:lineRule="auto"/>
              <w:ind w:left="0" w:right="0" w:firstLine="0"/>
              <w:jc w:val="righ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0.05809</w:t>
            </w:r>
          </w:p>
        </w:tc>
      </w:tr>
      <w:tr w:rsidR="00612CF6" w:rsidRPr="00612CF6" w14:paraId="22DFF2DB" w14:textId="77777777" w:rsidTr="00612CF6">
        <w:trPr>
          <w:trHeight w:val="300"/>
        </w:trPr>
        <w:tc>
          <w:tcPr>
            <w:tcW w:w="4860" w:type="dxa"/>
            <w:tcBorders>
              <w:top w:val="nil"/>
              <w:left w:val="nil"/>
              <w:bottom w:val="nil"/>
              <w:right w:val="nil"/>
            </w:tcBorders>
            <w:shd w:val="clear" w:color="auto" w:fill="auto"/>
            <w:noWrap/>
            <w:vAlign w:val="bottom"/>
            <w:hideMark/>
          </w:tcPr>
          <w:p w14:paraId="1FF38641" w14:textId="77777777" w:rsidR="00612CF6" w:rsidRPr="00612CF6" w:rsidRDefault="00612CF6" w:rsidP="00612CF6">
            <w:pPr>
              <w:spacing w:after="0" w:line="240" w:lineRule="auto"/>
              <w:ind w:left="0" w:right="0" w:firstLine="0"/>
              <w:jc w:val="lef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 xml:space="preserve">Índice Mensual de Consumo Privado     </w:t>
            </w:r>
          </w:p>
        </w:tc>
        <w:tc>
          <w:tcPr>
            <w:tcW w:w="1200" w:type="dxa"/>
            <w:tcBorders>
              <w:top w:val="nil"/>
              <w:left w:val="nil"/>
              <w:bottom w:val="nil"/>
              <w:right w:val="nil"/>
            </w:tcBorders>
            <w:shd w:val="clear" w:color="auto" w:fill="auto"/>
            <w:noWrap/>
            <w:vAlign w:val="bottom"/>
            <w:hideMark/>
          </w:tcPr>
          <w:p w14:paraId="5C722AC7" w14:textId="77777777" w:rsidR="00612CF6" w:rsidRPr="00612CF6" w:rsidRDefault="00612CF6" w:rsidP="00612CF6">
            <w:pPr>
              <w:spacing w:after="0" w:line="240" w:lineRule="auto"/>
              <w:ind w:left="0" w:right="0" w:firstLine="0"/>
              <w:jc w:val="righ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0.02042</w:t>
            </w:r>
          </w:p>
        </w:tc>
      </w:tr>
      <w:tr w:rsidR="00612CF6" w:rsidRPr="00612CF6" w14:paraId="24652F0A" w14:textId="77777777" w:rsidTr="00612CF6">
        <w:trPr>
          <w:trHeight w:val="300"/>
        </w:trPr>
        <w:tc>
          <w:tcPr>
            <w:tcW w:w="4860" w:type="dxa"/>
            <w:tcBorders>
              <w:top w:val="nil"/>
              <w:left w:val="nil"/>
              <w:bottom w:val="nil"/>
              <w:right w:val="nil"/>
            </w:tcBorders>
            <w:shd w:val="clear" w:color="auto" w:fill="auto"/>
            <w:noWrap/>
            <w:vAlign w:val="bottom"/>
            <w:hideMark/>
          </w:tcPr>
          <w:p w14:paraId="047477E1" w14:textId="77777777" w:rsidR="00612CF6" w:rsidRPr="00612CF6" w:rsidRDefault="00612CF6" w:rsidP="00612CF6">
            <w:pPr>
              <w:spacing w:after="0" w:line="240" w:lineRule="auto"/>
              <w:ind w:left="0" w:right="0" w:firstLine="0"/>
              <w:jc w:val="lef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 xml:space="preserve">Población Económicamente No Activa     </w:t>
            </w:r>
          </w:p>
        </w:tc>
        <w:tc>
          <w:tcPr>
            <w:tcW w:w="1200" w:type="dxa"/>
            <w:tcBorders>
              <w:top w:val="nil"/>
              <w:left w:val="nil"/>
              <w:bottom w:val="nil"/>
              <w:right w:val="nil"/>
            </w:tcBorders>
            <w:shd w:val="clear" w:color="auto" w:fill="auto"/>
            <w:noWrap/>
            <w:vAlign w:val="bottom"/>
            <w:hideMark/>
          </w:tcPr>
          <w:p w14:paraId="0327AEAF" w14:textId="77777777" w:rsidR="00612CF6" w:rsidRPr="00612CF6" w:rsidRDefault="00612CF6" w:rsidP="00612CF6">
            <w:pPr>
              <w:spacing w:after="0" w:line="240" w:lineRule="auto"/>
              <w:ind w:left="0" w:right="0" w:firstLine="0"/>
              <w:jc w:val="righ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0.006042</w:t>
            </w:r>
          </w:p>
        </w:tc>
      </w:tr>
      <w:tr w:rsidR="00612CF6" w:rsidRPr="00612CF6" w14:paraId="2264AB99" w14:textId="77777777" w:rsidTr="00612CF6">
        <w:trPr>
          <w:trHeight w:val="300"/>
        </w:trPr>
        <w:tc>
          <w:tcPr>
            <w:tcW w:w="4860" w:type="dxa"/>
            <w:tcBorders>
              <w:top w:val="nil"/>
              <w:left w:val="nil"/>
              <w:bottom w:val="nil"/>
              <w:right w:val="nil"/>
            </w:tcBorders>
            <w:shd w:val="clear" w:color="auto" w:fill="auto"/>
            <w:noWrap/>
            <w:vAlign w:val="bottom"/>
            <w:hideMark/>
          </w:tcPr>
          <w:p w14:paraId="58CA66B4" w14:textId="77777777" w:rsidR="00612CF6" w:rsidRPr="00612CF6" w:rsidRDefault="00612CF6" w:rsidP="00612CF6">
            <w:pPr>
              <w:spacing w:after="0" w:line="240" w:lineRule="auto"/>
              <w:ind w:left="0" w:right="0" w:firstLine="0"/>
              <w:jc w:val="lef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 xml:space="preserve">Población Económicamente Activa          </w:t>
            </w:r>
          </w:p>
        </w:tc>
        <w:tc>
          <w:tcPr>
            <w:tcW w:w="1200" w:type="dxa"/>
            <w:tcBorders>
              <w:top w:val="nil"/>
              <w:left w:val="nil"/>
              <w:bottom w:val="nil"/>
              <w:right w:val="nil"/>
            </w:tcBorders>
            <w:shd w:val="clear" w:color="auto" w:fill="auto"/>
            <w:noWrap/>
            <w:vAlign w:val="bottom"/>
            <w:hideMark/>
          </w:tcPr>
          <w:p w14:paraId="67D2F096" w14:textId="77777777" w:rsidR="00612CF6" w:rsidRPr="00612CF6" w:rsidRDefault="00612CF6" w:rsidP="00612CF6">
            <w:pPr>
              <w:spacing w:after="0" w:line="240" w:lineRule="auto"/>
              <w:ind w:left="0" w:right="0" w:firstLine="0"/>
              <w:jc w:val="righ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-0.006042</w:t>
            </w:r>
          </w:p>
        </w:tc>
      </w:tr>
      <w:tr w:rsidR="00612CF6" w:rsidRPr="00612CF6" w14:paraId="57C96382" w14:textId="77777777" w:rsidTr="00612CF6">
        <w:trPr>
          <w:trHeight w:val="300"/>
        </w:trPr>
        <w:tc>
          <w:tcPr>
            <w:tcW w:w="4860" w:type="dxa"/>
            <w:tcBorders>
              <w:top w:val="nil"/>
              <w:left w:val="nil"/>
              <w:bottom w:val="nil"/>
              <w:right w:val="nil"/>
            </w:tcBorders>
            <w:shd w:val="clear" w:color="auto" w:fill="auto"/>
            <w:noWrap/>
            <w:vAlign w:val="bottom"/>
            <w:hideMark/>
          </w:tcPr>
          <w:p w14:paraId="0B17BECA" w14:textId="77777777" w:rsidR="00612CF6" w:rsidRPr="00612CF6" w:rsidRDefault="00612CF6" w:rsidP="00612CF6">
            <w:pPr>
              <w:spacing w:after="0" w:line="240" w:lineRule="auto"/>
              <w:ind w:left="0" w:right="0" w:firstLine="0"/>
              <w:jc w:val="lef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 xml:space="preserve">Índice Mensual de Actividad Industrial  </w:t>
            </w:r>
          </w:p>
        </w:tc>
        <w:tc>
          <w:tcPr>
            <w:tcW w:w="1200" w:type="dxa"/>
            <w:tcBorders>
              <w:top w:val="nil"/>
              <w:left w:val="nil"/>
              <w:bottom w:val="nil"/>
              <w:right w:val="nil"/>
            </w:tcBorders>
            <w:shd w:val="clear" w:color="auto" w:fill="auto"/>
            <w:noWrap/>
            <w:vAlign w:val="bottom"/>
            <w:hideMark/>
          </w:tcPr>
          <w:p w14:paraId="28FEF352" w14:textId="77777777" w:rsidR="00612CF6" w:rsidRPr="00612CF6" w:rsidRDefault="00612CF6" w:rsidP="00612CF6">
            <w:pPr>
              <w:spacing w:after="0" w:line="240" w:lineRule="auto"/>
              <w:ind w:left="0" w:right="0" w:firstLine="0"/>
              <w:jc w:val="righ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-0.030485</w:t>
            </w:r>
          </w:p>
        </w:tc>
      </w:tr>
      <w:tr w:rsidR="00612CF6" w:rsidRPr="00612CF6" w14:paraId="1DCB557C" w14:textId="77777777" w:rsidTr="00612CF6">
        <w:trPr>
          <w:trHeight w:val="300"/>
        </w:trPr>
        <w:tc>
          <w:tcPr>
            <w:tcW w:w="4860" w:type="dxa"/>
            <w:tcBorders>
              <w:top w:val="nil"/>
              <w:left w:val="nil"/>
              <w:bottom w:val="nil"/>
              <w:right w:val="nil"/>
            </w:tcBorders>
            <w:shd w:val="clear" w:color="auto" w:fill="auto"/>
            <w:noWrap/>
            <w:vAlign w:val="bottom"/>
            <w:hideMark/>
          </w:tcPr>
          <w:p w14:paraId="63FB6072" w14:textId="77777777" w:rsidR="00612CF6" w:rsidRPr="00612CF6" w:rsidRDefault="00612CF6" w:rsidP="00612CF6">
            <w:pPr>
              <w:spacing w:after="0" w:line="240" w:lineRule="auto"/>
              <w:ind w:left="0" w:right="0" w:firstLine="0"/>
              <w:jc w:val="lef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 xml:space="preserve">Tipo de Cambio                            </w:t>
            </w:r>
          </w:p>
        </w:tc>
        <w:tc>
          <w:tcPr>
            <w:tcW w:w="1200" w:type="dxa"/>
            <w:tcBorders>
              <w:top w:val="nil"/>
              <w:left w:val="nil"/>
              <w:bottom w:val="nil"/>
              <w:right w:val="nil"/>
            </w:tcBorders>
            <w:shd w:val="clear" w:color="auto" w:fill="auto"/>
            <w:noWrap/>
            <w:vAlign w:val="bottom"/>
            <w:hideMark/>
          </w:tcPr>
          <w:p w14:paraId="3DAFD6AC" w14:textId="77777777" w:rsidR="00612CF6" w:rsidRPr="00612CF6" w:rsidRDefault="00612CF6" w:rsidP="00612CF6">
            <w:pPr>
              <w:spacing w:after="0" w:line="240" w:lineRule="auto"/>
              <w:ind w:left="0" w:right="0" w:firstLine="0"/>
              <w:jc w:val="righ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-0.541231</w:t>
            </w:r>
          </w:p>
        </w:tc>
      </w:tr>
      <w:tr w:rsidR="00612CF6" w:rsidRPr="00612CF6" w14:paraId="6A12F34B" w14:textId="77777777" w:rsidTr="00612CF6">
        <w:trPr>
          <w:trHeight w:val="300"/>
        </w:trPr>
        <w:tc>
          <w:tcPr>
            <w:tcW w:w="4860" w:type="dxa"/>
            <w:tcBorders>
              <w:top w:val="nil"/>
              <w:left w:val="nil"/>
              <w:bottom w:val="nil"/>
              <w:right w:val="nil"/>
            </w:tcBorders>
            <w:shd w:val="clear" w:color="auto" w:fill="auto"/>
            <w:noWrap/>
            <w:vAlign w:val="bottom"/>
            <w:hideMark/>
          </w:tcPr>
          <w:p w14:paraId="1C9B3716" w14:textId="77777777" w:rsidR="00612CF6" w:rsidRPr="00612CF6" w:rsidRDefault="00612CF6" w:rsidP="00612CF6">
            <w:pPr>
              <w:spacing w:after="0" w:line="240" w:lineRule="auto"/>
              <w:ind w:left="0" w:right="0" w:firstLine="0"/>
              <w:jc w:val="lef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 xml:space="preserve">Exportaciones totales                      </w:t>
            </w:r>
          </w:p>
        </w:tc>
        <w:tc>
          <w:tcPr>
            <w:tcW w:w="1200" w:type="dxa"/>
            <w:tcBorders>
              <w:top w:val="nil"/>
              <w:left w:val="nil"/>
              <w:bottom w:val="nil"/>
              <w:right w:val="nil"/>
            </w:tcBorders>
            <w:shd w:val="clear" w:color="auto" w:fill="auto"/>
            <w:noWrap/>
            <w:vAlign w:val="bottom"/>
            <w:hideMark/>
          </w:tcPr>
          <w:p w14:paraId="099D13F2" w14:textId="77777777" w:rsidR="00612CF6" w:rsidRPr="00612CF6" w:rsidRDefault="00612CF6" w:rsidP="00612CF6">
            <w:pPr>
              <w:spacing w:after="0" w:line="240" w:lineRule="auto"/>
              <w:ind w:left="0" w:right="0" w:firstLine="0"/>
              <w:jc w:val="righ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-0.582672</w:t>
            </w:r>
          </w:p>
        </w:tc>
      </w:tr>
      <w:tr w:rsidR="00612CF6" w:rsidRPr="00612CF6" w14:paraId="3AE11C20" w14:textId="77777777" w:rsidTr="00612CF6">
        <w:trPr>
          <w:trHeight w:val="300"/>
        </w:trPr>
        <w:tc>
          <w:tcPr>
            <w:tcW w:w="4860" w:type="dxa"/>
            <w:tcBorders>
              <w:top w:val="nil"/>
              <w:left w:val="nil"/>
              <w:bottom w:val="nil"/>
              <w:right w:val="nil"/>
            </w:tcBorders>
            <w:shd w:val="clear" w:color="auto" w:fill="auto"/>
            <w:noWrap/>
            <w:vAlign w:val="bottom"/>
            <w:hideMark/>
          </w:tcPr>
          <w:p w14:paraId="740C6FEA" w14:textId="77777777" w:rsidR="00612CF6" w:rsidRPr="00612CF6" w:rsidRDefault="00612CF6" w:rsidP="00612CF6">
            <w:pPr>
              <w:spacing w:after="0" w:line="240" w:lineRule="auto"/>
              <w:ind w:left="0" w:right="0" w:firstLine="0"/>
              <w:jc w:val="lef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 xml:space="preserve">Créditos a la vivienda                             </w:t>
            </w:r>
          </w:p>
        </w:tc>
        <w:tc>
          <w:tcPr>
            <w:tcW w:w="1200" w:type="dxa"/>
            <w:tcBorders>
              <w:top w:val="nil"/>
              <w:left w:val="nil"/>
              <w:bottom w:val="nil"/>
              <w:right w:val="nil"/>
            </w:tcBorders>
            <w:shd w:val="clear" w:color="auto" w:fill="auto"/>
            <w:noWrap/>
            <w:vAlign w:val="bottom"/>
            <w:hideMark/>
          </w:tcPr>
          <w:p w14:paraId="1C2E64E3" w14:textId="77777777" w:rsidR="00612CF6" w:rsidRPr="00612CF6" w:rsidRDefault="00612CF6" w:rsidP="00612CF6">
            <w:pPr>
              <w:spacing w:after="0" w:line="240" w:lineRule="auto"/>
              <w:ind w:left="0" w:right="0" w:firstLine="0"/>
              <w:jc w:val="righ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-0.663411</w:t>
            </w:r>
          </w:p>
        </w:tc>
      </w:tr>
      <w:tr w:rsidR="00612CF6" w:rsidRPr="00612CF6" w14:paraId="39ED6B1B" w14:textId="77777777" w:rsidTr="00612CF6">
        <w:trPr>
          <w:trHeight w:val="300"/>
        </w:trPr>
        <w:tc>
          <w:tcPr>
            <w:tcW w:w="4860" w:type="dxa"/>
            <w:tcBorders>
              <w:top w:val="nil"/>
              <w:left w:val="nil"/>
              <w:bottom w:val="nil"/>
              <w:right w:val="nil"/>
            </w:tcBorders>
            <w:shd w:val="clear" w:color="auto" w:fill="auto"/>
            <w:noWrap/>
            <w:vAlign w:val="bottom"/>
            <w:hideMark/>
          </w:tcPr>
          <w:p w14:paraId="6900D249" w14:textId="77777777" w:rsidR="00612CF6" w:rsidRPr="00612CF6" w:rsidRDefault="00612CF6" w:rsidP="00612CF6">
            <w:pPr>
              <w:spacing w:after="0" w:line="240" w:lineRule="auto"/>
              <w:ind w:left="0" w:right="0" w:firstLine="0"/>
              <w:jc w:val="lef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Activo Crédito al Consumo Total de Banca Múltiple</w:t>
            </w:r>
          </w:p>
        </w:tc>
        <w:tc>
          <w:tcPr>
            <w:tcW w:w="1200" w:type="dxa"/>
            <w:tcBorders>
              <w:top w:val="nil"/>
              <w:left w:val="nil"/>
              <w:bottom w:val="nil"/>
              <w:right w:val="nil"/>
            </w:tcBorders>
            <w:shd w:val="clear" w:color="auto" w:fill="auto"/>
            <w:noWrap/>
            <w:vAlign w:val="bottom"/>
            <w:hideMark/>
          </w:tcPr>
          <w:p w14:paraId="5F90327A" w14:textId="77777777" w:rsidR="00612CF6" w:rsidRPr="00612CF6" w:rsidRDefault="00612CF6" w:rsidP="00612CF6">
            <w:pPr>
              <w:spacing w:after="0" w:line="240" w:lineRule="auto"/>
              <w:ind w:left="0" w:right="0" w:firstLine="0"/>
              <w:jc w:val="righ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-0.668783</w:t>
            </w:r>
          </w:p>
        </w:tc>
      </w:tr>
      <w:tr w:rsidR="00612CF6" w:rsidRPr="00612CF6" w14:paraId="5F382424" w14:textId="77777777" w:rsidTr="00612CF6">
        <w:trPr>
          <w:trHeight w:val="300"/>
        </w:trPr>
        <w:tc>
          <w:tcPr>
            <w:tcW w:w="4860" w:type="dxa"/>
            <w:tcBorders>
              <w:top w:val="nil"/>
              <w:left w:val="nil"/>
              <w:bottom w:val="nil"/>
              <w:right w:val="nil"/>
            </w:tcBorders>
            <w:shd w:val="clear" w:color="auto" w:fill="auto"/>
            <w:noWrap/>
            <w:vAlign w:val="bottom"/>
            <w:hideMark/>
          </w:tcPr>
          <w:p w14:paraId="6432BD27" w14:textId="77777777" w:rsidR="00612CF6" w:rsidRPr="00612CF6" w:rsidRDefault="00612CF6" w:rsidP="00612CF6">
            <w:pPr>
              <w:spacing w:after="0" w:line="240" w:lineRule="auto"/>
              <w:ind w:left="0" w:right="0" w:firstLine="0"/>
              <w:jc w:val="lef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 xml:space="preserve">Índice Nacional de Precios al Consumidor          </w:t>
            </w:r>
          </w:p>
        </w:tc>
        <w:tc>
          <w:tcPr>
            <w:tcW w:w="1200" w:type="dxa"/>
            <w:tcBorders>
              <w:top w:val="nil"/>
              <w:left w:val="nil"/>
              <w:bottom w:val="nil"/>
              <w:right w:val="nil"/>
            </w:tcBorders>
            <w:shd w:val="clear" w:color="auto" w:fill="auto"/>
            <w:noWrap/>
            <w:vAlign w:val="bottom"/>
            <w:hideMark/>
          </w:tcPr>
          <w:p w14:paraId="098F72EA" w14:textId="77777777" w:rsidR="00612CF6" w:rsidRPr="00612CF6" w:rsidRDefault="00612CF6" w:rsidP="00612CF6">
            <w:pPr>
              <w:spacing w:after="0" w:line="240" w:lineRule="auto"/>
              <w:ind w:left="0" w:right="0" w:firstLine="0"/>
              <w:jc w:val="righ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-0.670028</w:t>
            </w:r>
          </w:p>
        </w:tc>
      </w:tr>
      <w:tr w:rsidR="00612CF6" w:rsidRPr="00612CF6" w14:paraId="6FA7C80A" w14:textId="77777777" w:rsidTr="00612CF6">
        <w:trPr>
          <w:trHeight w:val="300"/>
        </w:trPr>
        <w:tc>
          <w:tcPr>
            <w:tcW w:w="4860" w:type="dxa"/>
            <w:tcBorders>
              <w:top w:val="nil"/>
              <w:left w:val="nil"/>
              <w:bottom w:val="nil"/>
              <w:right w:val="nil"/>
            </w:tcBorders>
            <w:shd w:val="clear" w:color="auto" w:fill="auto"/>
            <w:noWrap/>
            <w:vAlign w:val="bottom"/>
            <w:hideMark/>
          </w:tcPr>
          <w:p w14:paraId="07CF6E92" w14:textId="77777777" w:rsidR="00612CF6" w:rsidRPr="00612CF6" w:rsidRDefault="00612CF6" w:rsidP="00612CF6">
            <w:pPr>
              <w:spacing w:after="0" w:line="240" w:lineRule="auto"/>
              <w:ind w:left="0" w:right="0" w:firstLine="0"/>
              <w:jc w:val="lef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 xml:space="preserve">Créditos al consumo                                </w:t>
            </w:r>
          </w:p>
        </w:tc>
        <w:tc>
          <w:tcPr>
            <w:tcW w:w="1200" w:type="dxa"/>
            <w:tcBorders>
              <w:top w:val="nil"/>
              <w:left w:val="nil"/>
              <w:bottom w:val="nil"/>
              <w:right w:val="nil"/>
            </w:tcBorders>
            <w:shd w:val="clear" w:color="auto" w:fill="auto"/>
            <w:noWrap/>
            <w:vAlign w:val="bottom"/>
            <w:hideMark/>
          </w:tcPr>
          <w:p w14:paraId="3BD18353" w14:textId="77777777" w:rsidR="00612CF6" w:rsidRPr="00612CF6" w:rsidRDefault="00612CF6" w:rsidP="00612CF6">
            <w:pPr>
              <w:spacing w:after="0" w:line="240" w:lineRule="auto"/>
              <w:ind w:left="0" w:right="0" w:firstLine="0"/>
              <w:jc w:val="righ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-0.674731</w:t>
            </w:r>
          </w:p>
        </w:tc>
      </w:tr>
      <w:tr w:rsidR="00612CF6" w:rsidRPr="00612CF6" w14:paraId="3B539CE9" w14:textId="77777777" w:rsidTr="00612CF6">
        <w:trPr>
          <w:trHeight w:val="300"/>
        </w:trPr>
        <w:tc>
          <w:tcPr>
            <w:tcW w:w="4860" w:type="dxa"/>
            <w:tcBorders>
              <w:top w:val="nil"/>
              <w:left w:val="nil"/>
              <w:bottom w:val="nil"/>
              <w:right w:val="nil"/>
            </w:tcBorders>
            <w:shd w:val="clear" w:color="auto" w:fill="auto"/>
            <w:noWrap/>
            <w:vAlign w:val="bottom"/>
            <w:hideMark/>
          </w:tcPr>
          <w:p w14:paraId="12B20D04" w14:textId="77777777" w:rsidR="00612CF6" w:rsidRPr="00612CF6" w:rsidRDefault="00612CF6" w:rsidP="00612CF6">
            <w:pPr>
              <w:spacing w:after="0" w:line="240" w:lineRule="auto"/>
              <w:ind w:left="0" w:right="0" w:firstLine="0"/>
              <w:jc w:val="lef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 xml:space="preserve">Índice Nacional de Precios al Productor             </w:t>
            </w:r>
          </w:p>
        </w:tc>
        <w:tc>
          <w:tcPr>
            <w:tcW w:w="1200" w:type="dxa"/>
            <w:tcBorders>
              <w:top w:val="nil"/>
              <w:left w:val="nil"/>
              <w:bottom w:val="nil"/>
              <w:right w:val="nil"/>
            </w:tcBorders>
            <w:shd w:val="clear" w:color="auto" w:fill="auto"/>
            <w:noWrap/>
            <w:vAlign w:val="bottom"/>
            <w:hideMark/>
          </w:tcPr>
          <w:p w14:paraId="53A9FCC9" w14:textId="77777777" w:rsidR="00612CF6" w:rsidRPr="00612CF6" w:rsidRDefault="00612CF6" w:rsidP="00612CF6">
            <w:pPr>
              <w:spacing w:after="0" w:line="240" w:lineRule="auto"/>
              <w:ind w:left="0" w:right="0" w:firstLine="0"/>
              <w:jc w:val="right"/>
              <w:rPr>
                <w:rFonts w:ascii="Calibri" w:eastAsia="Times New Roman" w:hAnsi="Calibri" w:cs="Calibri"/>
                <w:kern w:val="0"/>
                <w:szCs w:val="22"/>
                <w14:ligatures w14:val="none"/>
              </w:rPr>
            </w:pPr>
            <w:r w:rsidRPr="00612CF6">
              <w:rPr>
                <w:rFonts w:ascii="Calibri" w:eastAsia="Times New Roman" w:hAnsi="Calibri" w:cs="Calibri"/>
                <w:kern w:val="0"/>
                <w:szCs w:val="22"/>
                <w14:ligatures w14:val="none"/>
              </w:rPr>
              <w:t>-0.7002</w:t>
            </w:r>
          </w:p>
        </w:tc>
      </w:tr>
    </w:tbl>
    <w:p w14:paraId="24EDCEB6" w14:textId="77777777" w:rsidR="00612CF6" w:rsidRDefault="00612CF6" w:rsidP="00612CF6">
      <w:pPr>
        <w:ind w:left="720" w:right="0" w:firstLine="0"/>
      </w:pPr>
    </w:p>
    <w:p w14:paraId="5D07F5A7" w14:textId="5B15F1EA" w:rsidR="007A5354" w:rsidRDefault="00000000" w:rsidP="00612CF6">
      <w:pPr>
        <w:pStyle w:val="Prrafodelista"/>
        <w:numPr>
          <w:ilvl w:val="1"/>
          <w:numId w:val="2"/>
        </w:numPr>
        <w:ind w:right="0"/>
      </w:pPr>
      <w:r>
        <w:t xml:space="preserve">¿Qué variables guardan mayor relación causal con la serie objetivo? </w:t>
      </w:r>
    </w:p>
    <w:p w14:paraId="251A7E3E" w14:textId="69E67A5A" w:rsidR="009D7E23" w:rsidRPr="009D7E23" w:rsidRDefault="009D7E23" w:rsidP="009D7E23">
      <w:pPr>
        <w:pStyle w:val="Prrafodelista"/>
        <w:ind w:left="1440" w:right="0" w:firstLine="0"/>
        <w:rPr>
          <w:b/>
          <w:bCs/>
          <w:sz w:val="20"/>
          <w:szCs w:val="22"/>
        </w:rPr>
      </w:pPr>
      <w:r w:rsidRPr="009D7E23">
        <w:rPr>
          <w:b/>
          <w:bCs/>
          <w:sz w:val="20"/>
          <w:szCs w:val="22"/>
        </w:rPr>
        <w:t xml:space="preserve">R- </w:t>
      </w:r>
      <w:r w:rsidRPr="009D7E23">
        <w:rPr>
          <w:b/>
          <w:bCs/>
          <w:sz w:val="20"/>
          <w:szCs w:val="22"/>
        </w:rPr>
        <w:t>las variables como Créditos al consumo y el Índice Nacional de Precios al Productor parecen tener una relación causal más pronunciada, dado su impacto negativo en la morosidad, lo que podría sugerir que el aumento en estas variables genera un incremento en el índice de morosidad.</w:t>
      </w:r>
    </w:p>
    <w:p w14:paraId="37B61E8C" w14:textId="77777777" w:rsidR="007A5354" w:rsidRDefault="007A5354" w:rsidP="00612CF6">
      <w:pPr>
        <w:ind w:right="0"/>
      </w:pPr>
    </w:p>
    <w:p w14:paraId="6C10C3BF" w14:textId="77777777" w:rsidR="00A75B11" w:rsidRDefault="00000000">
      <w:pPr>
        <w:numPr>
          <w:ilvl w:val="1"/>
          <w:numId w:val="1"/>
        </w:numPr>
        <w:ind w:right="0" w:hanging="360"/>
      </w:pPr>
      <w:r>
        <w:t xml:space="preserve">¿Los dos puntos anteriores conducen a la misma respuesta? </w:t>
      </w:r>
      <w:r>
        <w:rPr>
          <w:rFonts w:ascii="Courier New" w:eastAsia="Courier New" w:hAnsi="Courier New" w:cs="Courier New"/>
        </w:rPr>
        <w:t>o</w:t>
      </w:r>
      <w:r>
        <w:t xml:space="preserve"> ¿Existen relaciones entre las variables explicativas? ¿Esto podría generar problemas en el desarrollo del modelo?  </w:t>
      </w:r>
    </w:p>
    <w:p w14:paraId="45BEDBA8" w14:textId="18C771B2" w:rsidR="007A5354" w:rsidRPr="009D7E23" w:rsidRDefault="009D7E23" w:rsidP="009D7E23">
      <w:pPr>
        <w:ind w:left="1425" w:right="0" w:firstLine="0"/>
        <w:rPr>
          <w:b/>
          <w:bCs/>
          <w:sz w:val="20"/>
          <w:szCs w:val="22"/>
        </w:rPr>
      </w:pPr>
      <w:r w:rsidRPr="009D7E23">
        <w:rPr>
          <w:b/>
          <w:bCs/>
          <w:sz w:val="20"/>
          <w:szCs w:val="22"/>
        </w:rPr>
        <w:t xml:space="preserve">R- </w:t>
      </w:r>
      <w:r w:rsidRPr="009D7E23">
        <w:rPr>
          <w:b/>
          <w:bCs/>
          <w:sz w:val="20"/>
          <w:szCs w:val="22"/>
        </w:rPr>
        <w:t>Los resultados de correlación y causalidad no siempre conducen a la misma respuesta, ya que la correlación no implica causalidad. Las relaciones entre variables explicativas también pueden generar problemas de multicolinealidad</w:t>
      </w:r>
      <w:r>
        <w:rPr>
          <w:b/>
          <w:bCs/>
          <w:sz w:val="20"/>
          <w:szCs w:val="22"/>
        </w:rPr>
        <w:t>, afectando</w:t>
      </w:r>
      <w:r w:rsidRPr="009D7E23">
        <w:rPr>
          <w:b/>
          <w:bCs/>
          <w:sz w:val="20"/>
          <w:szCs w:val="22"/>
        </w:rPr>
        <w:t xml:space="preserve"> el rendimiento de los modelos predictivos.</w:t>
      </w:r>
      <w:r>
        <w:rPr>
          <w:b/>
          <w:bCs/>
          <w:sz w:val="20"/>
          <w:szCs w:val="22"/>
        </w:rPr>
        <w:t xml:space="preserve"> También se tiene que considerar </w:t>
      </w:r>
      <w:r w:rsidRPr="009D7E23">
        <w:rPr>
          <w:b/>
          <w:bCs/>
          <w:sz w:val="20"/>
          <w:szCs w:val="22"/>
        </w:rPr>
        <w:t xml:space="preserve">para evitar sesgos en los resultados </w:t>
      </w:r>
      <w:proofErr w:type="spellStart"/>
      <w:r w:rsidRPr="009D7E23">
        <w:rPr>
          <w:b/>
          <w:bCs/>
          <w:sz w:val="20"/>
          <w:szCs w:val="22"/>
        </w:rPr>
        <w:t>y</w:t>
      </w:r>
      <w:r>
        <w:rPr>
          <w:b/>
          <w:bCs/>
          <w:sz w:val="20"/>
          <w:szCs w:val="22"/>
        </w:rPr>
        <w:t>no</w:t>
      </w:r>
      <w:proofErr w:type="spellEnd"/>
      <w:r>
        <w:rPr>
          <w:b/>
          <w:bCs/>
          <w:sz w:val="20"/>
          <w:szCs w:val="22"/>
        </w:rPr>
        <w:t xml:space="preserve"> crear sobreajustes</w:t>
      </w:r>
      <w:r w:rsidRPr="009D7E23">
        <w:rPr>
          <w:b/>
          <w:bCs/>
          <w:sz w:val="20"/>
          <w:szCs w:val="22"/>
        </w:rPr>
        <w:t>.</w:t>
      </w:r>
    </w:p>
    <w:p w14:paraId="2B5A49F9" w14:textId="5EB3654D" w:rsidR="007A5354" w:rsidRDefault="007A5354" w:rsidP="007A5354">
      <w:pPr>
        <w:ind w:left="720" w:right="0" w:firstLine="0"/>
      </w:pPr>
      <w:r w:rsidRPr="007A5354">
        <w:lastRenderedPageBreak/>
        <w:drawing>
          <wp:inline distT="0" distB="0" distL="0" distR="0" wp14:anchorId="23421A6F" wp14:editId="3427938D">
            <wp:extent cx="5615305" cy="4747895"/>
            <wp:effectExtent l="0" t="0" r="4445" b="0"/>
            <wp:docPr id="1301544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44824" name=""/>
                    <pic:cNvPicPr/>
                  </pic:nvPicPr>
                  <pic:blipFill>
                    <a:blip r:embed="rId10"/>
                    <a:stretch>
                      <a:fillRect/>
                    </a:stretch>
                  </pic:blipFill>
                  <pic:spPr>
                    <a:xfrm>
                      <a:off x="0" y="0"/>
                      <a:ext cx="5615305" cy="4747895"/>
                    </a:xfrm>
                    <a:prstGeom prst="rect">
                      <a:avLst/>
                    </a:prstGeom>
                  </pic:spPr>
                </pic:pic>
              </a:graphicData>
            </a:graphic>
          </wp:inline>
        </w:drawing>
      </w:r>
    </w:p>
    <w:p w14:paraId="5A32783C" w14:textId="77777777" w:rsidR="00A75B11" w:rsidRDefault="00000000">
      <w:pPr>
        <w:numPr>
          <w:ilvl w:val="0"/>
          <w:numId w:val="1"/>
        </w:numPr>
        <w:ind w:right="0" w:hanging="360"/>
      </w:pPr>
      <w:r>
        <w:t xml:space="preserve">Pronóstico del valor del </w:t>
      </w:r>
      <w:proofErr w:type="spellStart"/>
      <w:r>
        <w:t>IMORA_YoY</w:t>
      </w:r>
      <w:proofErr w:type="spellEnd"/>
      <w:r>
        <w:t xml:space="preserve"> e IMORA para los siguientes dos años a partir de las variables explicativas; </w:t>
      </w:r>
    </w:p>
    <w:p w14:paraId="5D3B8DC1" w14:textId="1CFBEC5A" w:rsidR="00A75B11" w:rsidRDefault="00F93CFC">
      <w:pPr>
        <w:spacing w:after="36" w:line="259" w:lineRule="auto"/>
        <w:ind w:left="720" w:right="0" w:firstLine="0"/>
        <w:jc w:val="left"/>
      </w:pPr>
      <w:r w:rsidRPr="00F93CFC">
        <w:rPr>
          <w:b/>
          <w:bCs/>
          <w:sz w:val="20"/>
          <w:szCs w:val="22"/>
        </w:rPr>
        <w:t xml:space="preserve">R- </w:t>
      </w:r>
      <w:r w:rsidR="009D7E23" w:rsidRPr="00F93CFC">
        <w:rPr>
          <w:b/>
          <w:bCs/>
          <w:sz w:val="20"/>
          <w:szCs w:val="22"/>
        </w:rPr>
        <w:t xml:space="preserve">Se utilizaron los Modelos ARIMA y LSTM para evaluar </w:t>
      </w:r>
      <w:r w:rsidRPr="00F93CFC">
        <w:rPr>
          <w:b/>
          <w:bCs/>
          <w:sz w:val="20"/>
          <w:szCs w:val="22"/>
        </w:rPr>
        <w:t xml:space="preserve">las proyecciones en </w:t>
      </w:r>
      <w:r w:rsidR="009D7E23" w:rsidRPr="00F93CFC">
        <w:rPr>
          <w:b/>
          <w:bCs/>
          <w:sz w:val="20"/>
          <w:szCs w:val="22"/>
        </w:rPr>
        <w:t>los próximos dos años</w:t>
      </w:r>
      <w:r w:rsidRPr="00F93CFC">
        <w:rPr>
          <w:b/>
          <w:bCs/>
          <w:sz w:val="20"/>
          <w:szCs w:val="22"/>
        </w:rPr>
        <w:t>, basándonos en las variables explicativas más relevantes identificadas en el análisis de correlación y causalidad</w:t>
      </w:r>
      <w:r w:rsidRPr="00F93CFC">
        <w:t>.</w:t>
      </w:r>
    </w:p>
    <w:p w14:paraId="2A35005B" w14:textId="77777777" w:rsidR="00F93CFC" w:rsidRDefault="00F93CFC" w:rsidP="00F93CFC">
      <w:pPr>
        <w:spacing w:after="36" w:line="259" w:lineRule="auto"/>
        <w:ind w:left="0" w:right="0" w:firstLine="0"/>
        <w:jc w:val="left"/>
      </w:pPr>
    </w:p>
    <w:p w14:paraId="246F10C6" w14:textId="7D16ED00" w:rsidR="00F93CFC" w:rsidRPr="00F93CFC" w:rsidRDefault="00F93CFC">
      <w:pPr>
        <w:spacing w:after="36" w:line="259" w:lineRule="auto"/>
        <w:ind w:left="720" w:right="0" w:firstLine="0"/>
        <w:jc w:val="left"/>
        <w:rPr>
          <w:b/>
          <w:bCs/>
        </w:rPr>
      </w:pPr>
      <w:r w:rsidRPr="00F93CFC">
        <w:rPr>
          <w:b/>
          <w:bCs/>
          <w:sz w:val="20"/>
          <w:szCs w:val="22"/>
        </w:rPr>
        <w:t xml:space="preserve">Anexo los resultados del modelo ARIMA de efectividad: </w:t>
      </w:r>
    </w:p>
    <w:p w14:paraId="171C7955" w14:textId="63C8D7D1" w:rsidR="00F93CFC" w:rsidRDefault="00F93CFC">
      <w:pPr>
        <w:spacing w:after="36" w:line="259" w:lineRule="auto"/>
        <w:ind w:left="720" w:right="0" w:firstLine="0"/>
        <w:jc w:val="left"/>
      </w:pPr>
      <w:r w:rsidRPr="00F93CFC">
        <w:drawing>
          <wp:inline distT="0" distB="0" distL="0" distR="0" wp14:anchorId="2B0C670F" wp14:editId="15DA8723">
            <wp:extent cx="3915321" cy="971686"/>
            <wp:effectExtent l="0" t="0" r="0" b="0"/>
            <wp:docPr id="1554097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97999" name=""/>
                    <pic:cNvPicPr/>
                  </pic:nvPicPr>
                  <pic:blipFill>
                    <a:blip r:embed="rId11"/>
                    <a:stretch>
                      <a:fillRect/>
                    </a:stretch>
                  </pic:blipFill>
                  <pic:spPr>
                    <a:xfrm>
                      <a:off x="0" y="0"/>
                      <a:ext cx="3915321" cy="971686"/>
                    </a:xfrm>
                    <a:prstGeom prst="rect">
                      <a:avLst/>
                    </a:prstGeom>
                  </pic:spPr>
                </pic:pic>
              </a:graphicData>
            </a:graphic>
          </wp:inline>
        </w:drawing>
      </w:r>
    </w:p>
    <w:p w14:paraId="547EA95C" w14:textId="77777777" w:rsidR="00F93CFC" w:rsidRPr="00F93CFC" w:rsidRDefault="00F93CFC">
      <w:pPr>
        <w:spacing w:after="36" w:line="259" w:lineRule="auto"/>
        <w:ind w:left="720" w:right="0" w:firstLine="0"/>
        <w:jc w:val="left"/>
        <w:rPr>
          <w:b/>
          <w:bCs/>
        </w:rPr>
      </w:pPr>
    </w:p>
    <w:p w14:paraId="5AE2B05A" w14:textId="6BEE5F94" w:rsidR="00F93CFC" w:rsidRPr="00F93CFC" w:rsidRDefault="00F93CFC">
      <w:pPr>
        <w:spacing w:after="36" w:line="259" w:lineRule="auto"/>
        <w:ind w:left="720" w:right="0" w:firstLine="0"/>
        <w:jc w:val="left"/>
        <w:rPr>
          <w:b/>
          <w:bCs/>
        </w:rPr>
      </w:pPr>
      <w:r w:rsidRPr="00F93CFC">
        <w:rPr>
          <w:b/>
          <w:bCs/>
        </w:rPr>
        <w:t>Modelos Entrenamiento comportamiento:</w:t>
      </w:r>
    </w:p>
    <w:p w14:paraId="46A03DB5" w14:textId="3C030624" w:rsidR="00F93CFC" w:rsidRDefault="00F93CFC">
      <w:pPr>
        <w:spacing w:after="36" w:line="259" w:lineRule="auto"/>
        <w:ind w:left="720" w:right="0" w:firstLine="0"/>
        <w:jc w:val="left"/>
      </w:pPr>
      <w:r>
        <w:rPr>
          <w:noProof/>
        </w:rPr>
        <w:lastRenderedPageBreak/>
        <w:drawing>
          <wp:inline distT="0" distB="0" distL="0" distR="0" wp14:anchorId="5B0F760F" wp14:editId="6492304C">
            <wp:extent cx="4390845" cy="2421593"/>
            <wp:effectExtent l="0" t="0" r="0" b="0"/>
            <wp:docPr id="837496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96369" name=""/>
                    <pic:cNvPicPr/>
                  </pic:nvPicPr>
                  <pic:blipFill>
                    <a:blip r:embed="rId12"/>
                    <a:stretch>
                      <a:fillRect/>
                    </a:stretch>
                  </pic:blipFill>
                  <pic:spPr>
                    <a:xfrm>
                      <a:off x="0" y="0"/>
                      <a:ext cx="4393915" cy="2423286"/>
                    </a:xfrm>
                    <a:prstGeom prst="rect">
                      <a:avLst/>
                    </a:prstGeom>
                  </pic:spPr>
                </pic:pic>
              </a:graphicData>
            </a:graphic>
          </wp:inline>
        </w:drawing>
      </w:r>
    </w:p>
    <w:p w14:paraId="4D311BF5" w14:textId="45E8A080" w:rsidR="00F93CFC" w:rsidRDefault="00F93CFC">
      <w:pPr>
        <w:spacing w:after="36" w:line="259" w:lineRule="auto"/>
        <w:ind w:left="720" w:right="0" w:firstLine="0"/>
        <w:jc w:val="left"/>
      </w:pPr>
      <w:r>
        <w:rPr>
          <w:noProof/>
        </w:rPr>
        <w:drawing>
          <wp:inline distT="0" distB="0" distL="0" distR="0" wp14:anchorId="0862196F" wp14:editId="4E13FBDA">
            <wp:extent cx="4502989" cy="2483442"/>
            <wp:effectExtent l="0" t="0" r="0" b="0"/>
            <wp:docPr id="1016874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74649" name=""/>
                    <pic:cNvPicPr/>
                  </pic:nvPicPr>
                  <pic:blipFill>
                    <a:blip r:embed="rId13"/>
                    <a:stretch>
                      <a:fillRect/>
                    </a:stretch>
                  </pic:blipFill>
                  <pic:spPr>
                    <a:xfrm>
                      <a:off x="0" y="0"/>
                      <a:ext cx="4508822" cy="2486659"/>
                    </a:xfrm>
                    <a:prstGeom prst="rect">
                      <a:avLst/>
                    </a:prstGeom>
                  </pic:spPr>
                </pic:pic>
              </a:graphicData>
            </a:graphic>
          </wp:inline>
        </w:drawing>
      </w:r>
    </w:p>
    <w:p w14:paraId="230E9426" w14:textId="77777777" w:rsidR="00F93CFC" w:rsidRDefault="00F93CFC">
      <w:pPr>
        <w:spacing w:after="36" w:line="259" w:lineRule="auto"/>
        <w:ind w:left="720" w:right="0" w:firstLine="0"/>
        <w:jc w:val="left"/>
      </w:pPr>
    </w:p>
    <w:p w14:paraId="50BA1DE6" w14:textId="77777777" w:rsidR="00A75B11" w:rsidRDefault="00000000">
      <w:pPr>
        <w:numPr>
          <w:ilvl w:val="1"/>
          <w:numId w:val="1"/>
        </w:numPr>
        <w:ind w:right="0" w:hanging="360"/>
      </w:pPr>
      <w:r>
        <w:t xml:space="preserve">¿Se cumplen con todos los supuestos de la metodología utilizada? </w:t>
      </w:r>
    </w:p>
    <w:p w14:paraId="7562AB34" w14:textId="4A3EBFF6" w:rsidR="00F93CFC" w:rsidRPr="00F93CFC" w:rsidRDefault="00F93CFC" w:rsidP="00F93CFC">
      <w:pPr>
        <w:ind w:left="1425" w:right="0" w:firstLine="0"/>
        <w:rPr>
          <w:b/>
          <w:bCs/>
          <w:sz w:val="20"/>
          <w:szCs w:val="22"/>
        </w:rPr>
      </w:pPr>
      <w:r w:rsidRPr="00F93CFC">
        <w:rPr>
          <w:b/>
          <w:bCs/>
          <w:sz w:val="20"/>
          <w:szCs w:val="22"/>
        </w:rPr>
        <w:t>En el caso del modelo ARIMA, se cumplen los supuestos de estacionariedad y ausencia de autocorrelación en los residuos. Sin embargo, el modelo LSTM no requiere estacionariedad de la serie, por lo que fue adecuado para capturar patrones no lineales a largo plazo. Ambos modelos mostraron un buen ajuste a los datos históricos, lo que sugiere que los supuestos metodológicos se cumplen en el contexto del análisis.</w:t>
      </w:r>
    </w:p>
    <w:p w14:paraId="0F19D2E7" w14:textId="268D934E" w:rsidR="00A75B11" w:rsidRPr="00F93CFC" w:rsidRDefault="00000000">
      <w:pPr>
        <w:numPr>
          <w:ilvl w:val="1"/>
          <w:numId w:val="1"/>
        </w:numPr>
        <w:ind w:right="0" w:hanging="360"/>
      </w:pPr>
      <w:r>
        <w:t xml:space="preserve">¿El pronóstico a dos años resulta alentador? </w:t>
      </w:r>
      <w:r w:rsidR="00F93CFC" w:rsidRPr="00F93CFC">
        <w:rPr>
          <w:b/>
          <w:bCs/>
          <w:sz w:val="20"/>
          <w:szCs w:val="22"/>
        </w:rPr>
        <w:t xml:space="preserve">Si, </w:t>
      </w:r>
      <w:r w:rsidR="00F53FC1" w:rsidRPr="00F53FC1">
        <w:rPr>
          <w:b/>
          <w:bCs/>
          <w:sz w:val="20"/>
          <w:szCs w:val="22"/>
        </w:rPr>
        <w:t>muestra una leve tendencia al alza en el IMORA, lo que podría indicar una posible recuperación de la morosidad</w:t>
      </w:r>
    </w:p>
    <w:p w14:paraId="760A9A5B" w14:textId="12CC2019" w:rsidR="00F93CFC" w:rsidRDefault="00F93CFC" w:rsidP="00F93CFC">
      <w:pPr>
        <w:ind w:left="1425" w:right="0" w:firstLine="0"/>
      </w:pPr>
      <w:r w:rsidRPr="00F93CFC">
        <w:lastRenderedPageBreak/>
        <w:drawing>
          <wp:inline distT="0" distB="0" distL="0" distR="0" wp14:anchorId="3BF82A63" wp14:editId="0954970E">
            <wp:extent cx="4132053" cy="2255971"/>
            <wp:effectExtent l="0" t="0" r="1905" b="0"/>
            <wp:docPr id="275050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50273" name=""/>
                    <pic:cNvPicPr/>
                  </pic:nvPicPr>
                  <pic:blipFill>
                    <a:blip r:embed="rId14"/>
                    <a:stretch>
                      <a:fillRect/>
                    </a:stretch>
                  </pic:blipFill>
                  <pic:spPr>
                    <a:xfrm>
                      <a:off x="0" y="0"/>
                      <a:ext cx="4142799" cy="2261838"/>
                    </a:xfrm>
                    <a:prstGeom prst="rect">
                      <a:avLst/>
                    </a:prstGeom>
                  </pic:spPr>
                </pic:pic>
              </a:graphicData>
            </a:graphic>
          </wp:inline>
        </w:drawing>
      </w:r>
    </w:p>
    <w:p w14:paraId="3EFCA1C2" w14:textId="15B36351" w:rsidR="00F93CFC" w:rsidRDefault="00F93CFC" w:rsidP="00F93CFC">
      <w:pPr>
        <w:ind w:left="1425" w:right="0" w:firstLine="0"/>
      </w:pPr>
      <w:r w:rsidRPr="00F93CFC">
        <w:drawing>
          <wp:inline distT="0" distB="0" distL="0" distR="0" wp14:anchorId="1DF5E4AF" wp14:editId="2030C73F">
            <wp:extent cx="4097548" cy="2237132"/>
            <wp:effectExtent l="0" t="0" r="0" b="0"/>
            <wp:docPr id="361585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5478" name=""/>
                    <pic:cNvPicPr/>
                  </pic:nvPicPr>
                  <pic:blipFill>
                    <a:blip r:embed="rId15"/>
                    <a:stretch>
                      <a:fillRect/>
                    </a:stretch>
                  </pic:blipFill>
                  <pic:spPr>
                    <a:xfrm>
                      <a:off x="0" y="0"/>
                      <a:ext cx="4105343" cy="2241388"/>
                    </a:xfrm>
                    <a:prstGeom prst="rect">
                      <a:avLst/>
                    </a:prstGeom>
                  </pic:spPr>
                </pic:pic>
              </a:graphicData>
            </a:graphic>
          </wp:inline>
        </w:drawing>
      </w:r>
    </w:p>
    <w:p w14:paraId="02210FB5" w14:textId="77777777" w:rsidR="00F93CFC" w:rsidRDefault="00F93CFC" w:rsidP="00F93CFC">
      <w:pPr>
        <w:ind w:left="1065" w:right="0" w:firstLine="0"/>
      </w:pPr>
    </w:p>
    <w:p w14:paraId="6CBCB34B" w14:textId="4486FA5A" w:rsidR="00A75B11" w:rsidRDefault="00000000">
      <w:pPr>
        <w:numPr>
          <w:ilvl w:val="1"/>
          <w:numId w:val="1"/>
        </w:numPr>
        <w:spacing w:after="12"/>
        <w:ind w:right="0" w:hanging="360"/>
      </w:pPr>
      <w:r>
        <w:t>¿Sería posible realizar un pronóstico a 10 años? ¿Sería correcto?</w:t>
      </w:r>
      <w:r w:rsidR="009D7E23">
        <w:t xml:space="preserve"> </w:t>
      </w:r>
      <w:r w:rsidR="00F53FC1" w:rsidRPr="00F53FC1">
        <w:rPr>
          <w:b/>
          <w:bCs/>
          <w:sz w:val="20"/>
          <w:szCs w:val="22"/>
        </w:rPr>
        <w:t>Si bien es posible realizar un pronóstico a 10 años, este podría no ser correcto o confiable debido a la alta incertidumbre a largo plazo. Las condiciones económicas pueden cambiar drásticamente, afectando las variables explicativas que influyen en el IMORA.</w:t>
      </w:r>
    </w:p>
    <w:p w14:paraId="1E373A1C" w14:textId="77777777" w:rsidR="00A75B11" w:rsidRDefault="00000000">
      <w:pPr>
        <w:spacing w:after="50" w:line="259" w:lineRule="auto"/>
        <w:ind w:left="1440" w:right="0" w:firstLine="0"/>
        <w:jc w:val="left"/>
      </w:pPr>
      <w:r>
        <w:t xml:space="preserve"> </w:t>
      </w:r>
    </w:p>
    <w:p w14:paraId="47BD135F" w14:textId="77777777" w:rsidR="00A75B11" w:rsidRDefault="00000000">
      <w:pPr>
        <w:numPr>
          <w:ilvl w:val="0"/>
          <w:numId w:val="1"/>
        </w:numPr>
        <w:ind w:right="0" w:hanging="360"/>
      </w:pPr>
      <w:r>
        <w:t xml:space="preserve">Pronóstico del valor del </w:t>
      </w:r>
      <w:proofErr w:type="spellStart"/>
      <w:r>
        <w:t>IMORA_YoY</w:t>
      </w:r>
      <w:proofErr w:type="spellEnd"/>
      <w:r>
        <w:t xml:space="preserve"> e IMORA para los siguientes dos años a partir de su propio comportamiento; </w:t>
      </w:r>
    </w:p>
    <w:p w14:paraId="3B9CFD20" w14:textId="27FEEE40" w:rsidR="00A75B11" w:rsidRDefault="00000000">
      <w:pPr>
        <w:spacing w:after="38" w:line="259" w:lineRule="auto"/>
        <w:ind w:left="720" w:right="0" w:firstLine="0"/>
        <w:jc w:val="left"/>
        <w:rPr>
          <w:b/>
          <w:bCs/>
          <w:sz w:val="20"/>
          <w:szCs w:val="22"/>
        </w:rPr>
      </w:pPr>
      <w:r w:rsidRPr="00DC2611">
        <w:rPr>
          <w:b/>
          <w:bCs/>
          <w:sz w:val="20"/>
          <w:szCs w:val="22"/>
        </w:rPr>
        <w:t xml:space="preserve"> </w:t>
      </w:r>
      <w:r w:rsidR="00DC2611" w:rsidRPr="00DC2611">
        <w:rPr>
          <w:b/>
          <w:bCs/>
          <w:sz w:val="20"/>
          <w:szCs w:val="22"/>
        </w:rPr>
        <w:t xml:space="preserve">Utilizando un modelo ARIMA basado únicamente en el comportamiento histórico de IMORA e </w:t>
      </w:r>
      <w:proofErr w:type="spellStart"/>
      <w:r w:rsidR="00DC2611" w:rsidRPr="00DC2611">
        <w:rPr>
          <w:b/>
          <w:bCs/>
          <w:sz w:val="20"/>
          <w:szCs w:val="22"/>
        </w:rPr>
        <w:t>IMORA_</w:t>
      </w:r>
      <w:proofErr w:type="gramStart"/>
      <w:r w:rsidR="00DC2611" w:rsidRPr="00DC2611">
        <w:rPr>
          <w:b/>
          <w:bCs/>
          <w:sz w:val="20"/>
          <w:szCs w:val="22"/>
        </w:rPr>
        <w:t>YoY</w:t>
      </w:r>
      <w:proofErr w:type="spellEnd"/>
      <w:r w:rsidR="00DC2611" w:rsidRPr="00DC2611">
        <w:rPr>
          <w:b/>
          <w:bCs/>
          <w:sz w:val="20"/>
          <w:szCs w:val="22"/>
        </w:rPr>
        <w:t xml:space="preserve">, </w:t>
      </w:r>
      <w:r w:rsidR="00DC2611">
        <w:rPr>
          <w:b/>
          <w:bCs/>
          <w:sz w:val="20"/>
          <w:szCs w:val="22"/>
        </w:rPr>
        <w:t xml:space="preserve"> se</w:t>
      </w:r>
      <w:proofErr w:type="gramEnd"/>
      <w:r w:rsidR="00DC2611">
        <w:rPr>
          <w:b/>
          <w:bCs/>
          <w:sz w:val="20"/>
          <w:szCs w:val="22"/>
        </w:rPr>
        <w:t xml:space="preserve"> </w:t>
      </w:r>
      <w:proofErr w:type="spellStart"/>
      <w:r w:rsidR="00DC2611">
        <w:rPr>
          <w:b/>
          <w:bCs/>
          <w:sz w:val="20"/>
          <w:szCs w:val="22"/>
        </w:rPr>
        <w:t>genero</w:t>
      </w:r>
      <w:proofErr w:type="spellEnd"/>
      <w:r w:rsidR="00DC2611">
        <w:rPr>
          <w:b/>
          <w:bCs/>
          <w:sz w:val="20"/>
          <w:szCs w:val="22"/>
        </w:rPr>
        <w:t xml:space="preserve"> </w:t>
      </w:r>
      <w:r w:rsidR="00DC2611" w:rsidRPr="00DC2611">
        <w:rPr>
          <w:b/>
          <w:bCs/>
          <w:sz w:val="20"/>
          <w:szCs w:val="22"/>
        </w:rPr>
        <w:t>pronóstico para los próximos dos años.</w:t>
      </w:r>
    </w:p>
    <w:p w14:paraId="29CEA400" w14:textId="77777777" w:rsidR="00DC2611" w:rsidRDefault="00DC2611">
      <w:pPr>
        <w:spacing w:after="38" w:line="259" w:lineRule="auto"/>
        <w:ind w:left="720" w:right="0" w:firstLine="0"/>
        <w:jc w:val="left"/>
        <w:rPr>
          <w:b/>
          <w:bCs/>
          <w:sz w:val="20"/>
          <w:szCs w:val="22"/>
        </w:rPr>
      </w:pPr>
    </w:p>
    <w:p w14:paraId="1169F06F" w14:textId="39B097A7" w:rsidR="00DC2611" w:rsidRPr="00DC2611" w:rsidRDefault="00DC2611">
      <w:pPr>
        <w:spacing w:after="38" w:line="259" w:lineRule="auto"/>
        <w:ind w:left="720" w:right="0" w:firstLine="0"/>
        <w:jc w:val="left"/>
        <w:rPr>
          <w:b/>
          <w:bCs/>
          <w:sz w:val="20"/>
          <w:szCs w:val="22"/>
        </w:rPr>
      </w:pPr>
      <w:r>
        <w:rPr>
          <w:noProof/>
        </w:rPr>
        <w:lastRenderedPageBreak/>
        <w:drawing>
          <wp:inline distT="0" distB="0" distL="0" distR="0" wp14:anchorId="46B6A3E8" wp14:editId="5C3EA56E">
            <wp:extent cx="4183811" cy="2625350"/>
            <wp:effectExtent l="0" t="0" r="7620" b="3810"/>
            <wp:docPr id="1675395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95207" name=""/>
                    <pic:cNvPicPr/>
                  </pic:nvPicPr>
                  <pic:blipFill>
                    <a:blip r:embed="rId16"/>
                    <a:stretch>
                      <a:fillRect/>
                    </a:stretch>
                  </pic:blipFill>
                  <pic:spPr>
                    <a:xfrm>
                      <a:off x="0" y="0"/>
                      <a:ext cx="4191183" cy="2629976"/>
                    </a:xfrm>
                    <a:prstGeom prst="rect">
                      <a:avLst/>
                    </a:prstGeom>
                  </pic:spPr>
                </pic:pic>
              </a:graphicData>
            </a:graphic>
          </wp:inline>
        </w:drawing>
      </w:r>
    </w:p>
    <w:p w14:paraId="6E646092" w14:textId="77777777" w:rsidR="00DC2611" w:rsidRPr="00DC2611" w:rsidRDefault="00000000" w:rsidP="00DC2611">
      <w:pPr>
        <w:numPr>
          <w:ilvl w:val="1"/>
          <w:numId w:val="1"/>
        </w:numPr>
        <w:ind w:right="0" w:hanging="360"/>
      </w:pPr>
      <w:r>
        <w:t>¿Se cumplen con todos los supuestos de la metodología utilizada?</w:t>
      </w:r>
      <w:r w:rsidR="00DC2611" w:rsidRPr="00DC2611">
        <w:rPr>
          <w:rFonts w:ascii="Times New Roman" w:eastAsia="Times New Roman" w:hAnsi="Times New Roman" w:cs="Times New Roman"/>
          <w:color w:val="auto"/>
          <w:kern w:val="0"/>
          <w:sz w:val="24"/>
          <w14:ligatures w14:val="none"/>
        </w:rPr>
        <w:t xml:space="preserve"> </w:t>
      </w:r>
    </w:p>
    <w:p w14:paraId="6B8B4581" w14:textId="25756B71" w:rsidR="00DC2611" w:rsidRPr="00DC2611" w:rsidRDefault="00DC2611" w:rsidP="00DC2611">
      <w:pPr>
        <w:tabs>
          <w:tab w:val="num" w:pos="720"/>
        </w:tabs>
        <w:ind w:left="1425" w:right="0" w:firstLine="0"/>
        <w:rPr>
          <w:b/>
          <w:bCs/>
          <w:sz w:val="20"/>
          <w:szCs w:val="22"/>
        </w:rPr>
      </w:pPr>
      <w:r w:rsidRPr="00DC2611">
        <w:rPr>
          <w:b/>
          <w:bCs/>
          <w:sz w:val="20"/>
          <w:szCs w:val="22"/>
        </w:rPr>
        <w:t>R-S</w:t>
      </w:r>
      <w:r w:rsidRPr="00DC2611">
        <w:rPr>
          <w:b/>
          <w:bCs/>
          <w:sz w:val="20"/>
          <w:szCs w:val="22"/>
        </w:rPr>
        <w:t>í, el modelo ARIMA desarrollado cumple con los principales supuestos:</w:t>
      </w:r>
      <w:r w:rsidRPr="00DC2611">
        <w:rPr>
          <w:b/>
          <w:bCs/>
          <w:sz w:val="20"/>
          <w:szCs w:val="22"/>
        </w:rPr>
        <w:t xml:space="preserve"> </w:t>
      </w:r>
      <w:r w:rsidRPr="00DC2611">
        <w:rPr>
          <w:b/>
          <w:bCs/>
          <w:sz w:val="20"/>
          <w:szCs w:val="22"/>
        </w:rPr>
        <w:t>Estacionariedad</w:t>
      </w:r>
      <w:r w:rsidRPr="00DC2611">
        <w:rPr>
          <w:b/>
          <w:bCs/>
          <w:sz w:val="20"/>
          <w:szCs w:val="22"/>
        </w:rPr>
        <w:t xml:space="preserve">, </w:t>
      </w:r>
      <w:r w:rsidRPr="00DC2611">
        <w:rPr>
          <w:b/>
          <w:bCs/>
          <w:sz w:val="20"/>
          <w:szCs w:val="22"/>
        </w:rPr>
        <w:t>Ruido blanco en los residuos</w:t>
      </w:r>
      <w:r w:rsidRPr="00DC2611">
        <w:rPr>
          <w:b/>
          <w:bCs/>
          <w:sz w:val="20"/>
          <w:szCs w:val="22"/>
        </w:rPr>
        <w:t xml:space="preserve"> y </w:t>
      </w:r>
      <w:r w:rsidRPr="00DC2611">
        <w:rPr>
          <w:b/>
          <w:bCs/>
          <w:sz w:val="20"/>
          <w:szCs w:val="22"/>
        </w:rPr>
        <w:t>Parámetros significativos</w:t>
      </w:r>
    </w:p>
    <w:p w14:paraId="10A797C2" w14:textId="20D33F55" w:rsidR="00A75B11" w:rsidRDefault="00DC2611" w:rsidP="00DC2611">
      <w:pPr>
        <w:ind w:left="1425" w:right="0" w:firstLine="0"/>
      </w:pPr>
      <w:r>
        <w:rPr>
          <w:noProof/>
        </w:rPr>
        <w:drawing>
          <wp:inline distT="0" distB="0" distL="0" distR="0" wp14:anchorId="63315719" wp14:editId="21887A0A">
            <wp:extent cx="2389517" cy="1821586"/>
            <wp:effectExtent l="0" t="0" r="0" b="7620"/>
            <wp:docPr id="130083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3501" name=""/>
                    <pic:cNvPicPr/>
                  </pic:nvPicPr>
                  <pic:blipFill>
                    <a:blip r:embed="rId17"/>
                    <a:stretch>
                      <a:fillRect/>
                    </a:stretch>
                  </pic:blipFill>
                  <pic:spPr>
                    <a:xfrm>
                      <a:off x="0" y="0"/>
                      <a:ext cx="2395007" cy="1825771"/>
                    </a:xfrm>
                    <a:prstGeom prst="rect">
                      <a:avLst/>
                    </a:prstGeom>
                  </pic:spPr>
                </pic:pic>
              </a:graphicData>
            </a:graphic>
          </wp:inline>
        </w:drawing>
      </w:r>
    </w:p>
    <w:p w14:paraId="1BFEDF16" w14:textId="17061C55" w:rsidR="00DC2611" w:rsidRDefault="00DC2611" w:rsidP="00DC2611">
      <w:pPr>
        <w:ind w:left="1425" w:right="0" w:firstLine="0"/>
      </w:pPr>
      <w:r>
        <w:rPr>
          <w:noProof/>
        </w:rPr>
        <w:drawing>
          <wp:inline distT="0" distB="0" distL="0" distR="0" wp14:anchorId="6079B48E" wp14:editId="53E22593">
            <wp:extent cx="2277374" cy="1736096"/>
            <wp:effectExtent l="0" t="0" r="8890" b="0"/>
            <wp:docPr id="455916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16157" name=""/>
                    <pic:cNvPicPr/>
                  </pic:nvPicPr>
                  <pic:blipFill>
                    <a:blip r:embed="rId18"/>
                    <a:stretch>
                      <a:fillRect/>
                    </a:stretch>
                  </pic:blipFill>
                  <pic:spPr>
                    <a:xfrm>
                      <a:off x="0" y="0"/>
                      <a:ext cx="2282206" cy="1739779"/>
                    </a:xfrm>
                    <a:prstGeom prst="rect">
                      <a:avLst/>
                    </a:prstGeom>
                  </pic:spPr>
                </pic:pic>
              </a:graphicData>
            </a:graphic>
          </wp:inline>
        </w:drawing>
      </w:r>
    </w:p>
    <w:p w14:paraId="0875ACDF" w14:textId="76B5D20E" w:rsidR="00A75B11" w:rsidRPr="000B16EE" w:rsidRDefault="00000000">
      <w:pPr>
        <w:numPr>
          <w:ilvl w:val="1"/>
          <w:numId w:val="1"/>
        </w:numPr>
        <w:ind w:right="0" w:hanging="360"/>
        <w:rPr>
          <w:b/>
          <w:bCs/>
          <w:sz w:val="20"/>
          <w:szCs w:val="22"/>
        </w:rPr>
      </w:pPr>
      <w:r>
        <w:t xml:space="preserve">¿El pronóstico a dos años resulta alentador? </w:t>
      </w:r>
      <w:r w:rsidR="000B16EE" w:rsidRPr="000B16EE">
        <w:rPr>
          <w:b/>
          <w:bCs/>
          <w:sz w:val="20"/>
          <w:szCs w:val="22"/>
        </w:rPr>
        <w:t xml:space="preserve">R- </w:t>
      </w:r>
      <w:r w:rsidR="000B16EE" w:rsidRPr="000B16EE">
        <w:rPr>
          <w:b/>
          <w:bCs/>
          <w:sz w:val="20"/>
          <w:szCs w:val="22"/>
        </w:rPr>
        <w:t>no se esperan incrementos abruptos en el índice de morosidad en los próximos dos años.</w:t>
      </w:r>
    </w:p>
    <w:p w14:paraId="25758DC0" w14:textId="4974A9FF" w:rsidR="00A75B11" w:rsidRDefault="00000000">
      <w:pPr>
        <w:numPr>
          <w:ilvl w:val="1"/>
          <w:numId w:val="1"/>
        </w:numPr>
        <w:spacing w:after="11"/>
        <w:ind w:right="0" w:hanging="360"/>
      </w:pPr>
      <w:r>
        <w:t xml:space="preserve">¿Sería posible realizar un pronóstico a 10 años? ¿Sería correcto? </w:t>
      </w:r>
      <w:r w:rsidR="000B16EE" w:rsidRPr="000B16EE">
        <w:rPr>
          <w:b/>
          <w:bCs/>
          <w:sz w:val="20"/>
          <w:szCs w:val="22"/>
        </w:rPr>
        <w:t xml:space="preserve">R- </w:t>
      </w:r>
      <w:r w:rsidR="000B16EE" w:rsidRPr="000B16EE">
        <w:rPr>
          <w:b/>
          <w:bCs/>
          <w:sz w:val="18"/>
          <w:szCs w:val="20"/>
        </w:rPr>
        <w:t xml:space="preserve">De </w:t>
      </w:r>
      <w:r w:rsidR="000B16EE" w:rsidRPr="000B16EE">
        <w:rPr>
          <w:b/>
          <w:bCs/>
          <w:sz w:val="20"/>
          <w:szCs w:val="22"/>
        </w:rPr>
        <w:t>igual manera es posible pero no seria correcto.</w:t>
      </w:r>
      <w:r w:rsidR="000B16EE" w:rsidRPr="000B16EE">
        <w:rPr>
          <w:sz w:val="20"/>
          <w:szCs w:val="22"/>
        </w:rPr>
        <w:t xml:space="preserve"> </w:t>
      </w:r>
    </w:p>
    <w:p w14:paraId="29CBD512" w14:textId="77777777" w:rsidR="00A75B11" w:rsidRDefault="00000000">
      <w:pPr>
        <w:spacing w:after="39" w:line="259" w:lineRule="auto"/>
        <w:ind w:left="1440" w:right="0" w:firstLine="0"/>
        <w:jc w:val="left"/>
      </w:pPr>
      <w:r>
        <w:t xml:space="preserve"> </w:t>
      </w:r>
    </w:p>
    <w:p w14:paraId="0BB9D09C" w14:textId="77777777" w:rsidR="00A75B11" w:rsidRDefault="00000000">
      <w:pPr>
        <w:numPr>
          <w:ilvl w:val="1"/>
          <w:numId w:val="1"/>
        </w:numPr>
        <w:ind w:right="0" w:hanging="360"/>
      </w:pPr>
      <w:r>
        <w:t xml:space="preserve">¿Existe relación entre el pronóstico hecho a partir de factores externos y el que se desarrolla con base en el comportamiento de la serie? </w:t>
      </w:r>
    </w:p>
    <w:p w14:paraId="751FF2EA" w14:textId="77777777" w:rsidR="000B16EE" w:rsidRDefault="000B16EE" w:rsidP="000B16EE">
      <w:pPr>
        <w:pStyle w:val="Prrafodelista"/>
      </w:pPr>
    </w:p>
    <w:p w14:paraId="4A288B1D" w14:textId="2C8430B3" w:rsidR="000B16EE" w:rsidRPr="000B16EE" w:rsidRDefault="000B16EE" w:rsidP="000B16EE">
      <w:pPr>
        <w:ind w:left="1425" w:right="0" w:firstLine="0"/>
        <w:rPr>
          <w:b/>
          <w:bCs/>
          <w:sz w:val="20"/>
          <w:szCs w:val="22"/>
        </w:rPr>
      </w:pPr>
      <w:r>
        <w:rPr>
          <w:b/>
          <w:bCs/>
          <w:sz w:val="20"/>
          <w:szCs w:val="22"/>
        </w:rPr>
        <w:lastRenderedPageBreak/>
        <w:t xml:space="preserve">R- </w:t>
      </w:r>
      <w:r w:rsidRPr="000B16EE">
        <w:rPr>
          <w:b/>
          <w:bCs/>
          <w:sz w:val="20"/>
          <w:szCs w:val="22"/>
        </w:rPr>
        <w:t xml:space="preserve">Sí, existe una relación entre ambos enfoques, </w:t>
      </w:r>
      <w:r w:rsidRPr="000B16EE">
        <w:rPr>
          <w:b/>
          <w:bCs/>
          <w:sz w:val="20"/>
          <w:szCs w:val="22"/>
        </w:rPr>
        <w:t>a</w:t>
      </w:r>
      <w:r w:rsidRPr="000B16EE">
        <w:rPr>
          <w:b/>
          <w:bCs/>
          <w:sz w:val="20"/>
          <w:szCs w:val="22"/>
        </w:rPr>
        <w:t>mbos modelos capturan patrones generales de estabilización en el IMORA, lo que sugiere que el índice está determinado, en parte, por su comportamiento pasado.</w:t>
      </w:r>
      <w:r w:rsidRPr="000B16EE">
        <w:rPr>
          <w:b/>
          <w:bCs/>
          <w:sz w:val="20"/>
          <w:szCs w:val="22"/>
        </w:rPr>
        <w:t xml:space="preserve"> </w:t>
      </w:r>
      <w:r w:rsidRPr="000B16EE">
        <w:rPr>
          <w:b/>
          <w:bCs/>
          <w:sz w:val="20"/>
          <w:szCs w:val="22"/>
        </w:rPr>
        <w:t>Diferencias</w:t>
      </w:r>
      <w:r w:rsidRPr="000B16EE">
        <w:rPr>
          <w:b/>
          <w:bCs/>
          <w:sz w:val="20"/>
          <w:szCs w:val="22"/>
        </w:rPr>
        <w:t>,</w:t>
      </w:r>
      <w:r w:rsidRPr="000B16EE">
        <w:rPr>
          <w:b/>
          <w:bCs/>
          <w:sz w:val="20"/>
          <w:szCs w:val="22"/>
        </w:rPr>
        <w:t xml:space="preserve"> </w:t>
      </w:r>
      <w:r w:rsidRPr="000B16EE">
        <w:rPr>
          <w:b/>
          <w:bCs/>
          <w:sz w:val="20"/>
          <w:szCs w:val="22"/>
        </w:rPr>
        <w:t>e</w:t>
      </w:r>
      <w:r w:rsidRPr="000B16EE">
        <w:rPr>
          <w:b/>
          <w:bCs/>
          <w:sz w:val="20"/>
          <w:szCs w:val="22"/>
        </w:rPr>
        <w:t xml:space="preserve">l modelo con variables externas puede capturar </w:t>
      </w:r>
      <w:r w:rsidRPr="000B16EE">
        <w:rPr>
          <w:b/>
          <w:bCs/>
          <w:sz w:val="20"/>
          <w:szCs w:val="22"/>
        </w:rPr>
        <w:t>mejores eventos específicos</w:t>
      </w:r>
      <w:r w:rsidRPr="000B16EE">
        <w:rPr>
          <w:b/>
          <w:bCs/>
          <w:sz w:val="20"/>
          <w:szCs w:val="22"/>
        </w:rPr>
        <w:t xml:space="preserve"> (como </w:t>
      </w:r>
      <w:r>
        <w:rPr>
          <w:b/>
          <w:bCs/>
          <w:sz w:val="20"/>
          <w:szCs w:val="22"/>
        </w:rPr>
        <w:t>crisis</w:t>
      </w:r>
      <w:r w:rsidRPr="000B16EE">
        <w:rPr>
          <w:b/>
          <w:bCs/>
          <w:sz w:val="20"/>
          <w:szCs w:val="22"/>
        </w:rPr>
        <w:t xml:space="preserve"> económic</w:t>
      </w:r>
      <w:r>
        <w:rPr>
          <w:b/>
          <w:bCs/>
          <w:sz w:val="20"/>
          <w:szCs w:val="22"/>
        </w:rPr>
        <w:t>a</w:t>
      </w:r>
      <w:r w:rsidRPr="000B16EE">
        <w:rPr>
          <w:b/>
          <w:bCs/>
          <w:sz w:val="20"/>
          <w:szCs w:val="22"/>
        </w:rPr>
        <w:t>s o variaciones en tasas de interés) que un modelo puramente histórico no considera. En este sentido, el enfoque con variables externas podría proporcionar pronósticos más ajustados en entornos dinámicos.</w:t>
      </w:r>
    </w:p>
    <w:p w14:paraId="7284A592" w14:textId="664D12AD" w:rsidR="00A75B11" w:rsidRDefault="00A75B11" w:rsidP="000B16EE">
      <w:pPr>
        <w:spacing w:after="39" w:line="259" w:lineRule="auto"/>
        <w:ind w:left="0" w:right="0" w:firstLine="0"/>
        <w:jc w:val="left"/>
      </w:pPr>
    </w:p>
    <w:p w14:paraId="54B6B058" w14:textId="77777777" w:rsidR="00B876F0" w:rsidRDefault="00000000" w:rsidP="00B876F0">
      <w:pPr>
        <w:numPr>
          <w:ilvl w:val="1"/>
          <w:numId w:val="1"/>
        </w:numPr>
        <w:spacing w:after="144"/>
        <w:ind w:right="0" w:hanging="360"/>
      </w:pPr>
      <w:r>
        <w:t xml:space="preserve">Respecto a los valores observados durante 2024 ¿Qué tan preciso es el pronóstico? </w:t>
      </w:r>
    </w:p>
    <w:p w14:paraId="12BD58B6" w14:textId="28014B69" w:rsidR="00A75B11" w:rsidRPr="00B876F0" w:rsidRDefault="00B876F0" w:rsidP="00B876F0">
      <w:pPr>
        <w:spacing w:after="144"/>
        <w:ind w:left="1425" w:right="0" w:firstLine="0"/>
        <w:rPr>
          <w:b/>
          <w:bCs/>
          <w:sz w:val="20"/>
          <w:szCs w:val="22"/>
        </w:rPr>
      </w:pPr>
      <w:r w:rsidRPr="00B876F0">
        <w:rPr>
          <w:b/>
          <w:bCs/>
          <w:sz w:val="20"/>
          <w:szCs w:val="22"/>
        </w:rPr>
        <w:t xml:space="preserve">El pronóstico generado para 2024 muestra un error porcentual absoluto promedio (MAPE) del 2.05%, lo cual indica un nivel de precisión muy alto en la predicción. Esto significa que las diferencias entre los valores observados y los estimados son mínimas </w:t>
      </w:r>
      <w:r w:rsidR="00000000" w:rsidRPr="00B876F0">
        <w:rPr>
          <w:b/>
          <w:bCs/>
          <w:sz w:val="20"/>
          <w:szCs w:val="22"/>
        </w:rPr>
        <w:t xml:space="preserve"> </w:t>
      </w:r>
    </w:p>
    <w:p w14:paraId="0500F412" w14:textId="77777777" w:rsidR="00A75B11" w:rsidRDefault="00000000">
      <w:pPr>
        <w:spacing w:after="160" w:line="259" w:lineRule="auto"/>
        <w:ind w:left="0" w:right="0" w:firstLine="0"/>
        <w:jc w:val="left"/>
      </w:pPr>
      <w:r>
        <w:t xml:space="preserve"> </w:t>
      </w:r>
    </w:p>
    <w:p w14:paraId="10A001A0" w14:textId="77777777" w:rsidR="00A75B11" w:rsidRDefault="00000000">
      <w:pPr>
        <w:spacing w:after="0" w:line="259" w:lineRule="auto"/>
        <w:ind w:left="720" w:right="0" w:firstLine="0"/>
        <w:jc w:val="left"/>
      </w:pPr>
      <w:r>
        <w:t xml:space="preserve"> </w:t>
      </w:r>
    </w:p>
    <w:p w14:paraId="656B1B9C" w14:textId="77777777" w:rsidR="00A75B11" w:rsidRDefault="00000000">
      <w:pPr>
        <w:spacing w:after="158" w:line="259" w:lineRule="auto"/>
        <w:ind w:left="720" w:right="0" w:firstLine="0"/>
        <w:jc w:val="left"/>
      </w:pPr>
      <w:r>
        <w:t xml:space="preserve"> </w:t>
      </w:r>
    </w:p>
    <w:p w14:paraId="590F0A42" w14:textId="77777777" w:rsidR="00A75B11" w:rsidRDefault="00000000">
      <w:pPr>
        <w:spacing w:after="160" w:line="259" w:lineRule="auto"/>
        <w:ind w:left="0" w:right="0" w:firstLine="0"/>
        <w:jc w:val="left"/>
      </w:pPr>
      <w:r>
        <w:t xml:space="preserve"> </w:t>
      </w:r>
    </w:p>
    <w:p w14:paraId="310976F8" w14:textId="77777777" w:rsidR="00A75B11" w:rsidRDefault="00000000">
      <w:pPr>
        <w:spacing w:after="0" w:line="259" w:lineRule="auto"/>
        <w:ind w:left="0" w:right="0" w:firstLine="0"/>
        <w:jc w:val="left"/>
      </w:pPr>
      <w:r>
        <w:t xml:space="preserve"> </w:t>
      </w:r>
    </w:p>
    <w:sectPr w:rsidR="00A75B11">
      <w:footnotePr>
        <w:numRestart w:val="eachPage"/>
      </w:footnotePr>
      <w:pgSz w:w="12240" w:h="15840"/>
      <w:pgMar w:top="753" w:right="1695" w:bottom="1413"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9BA61" w14:textId="77777777" w:rsidR="009B26F7" w:rsidRDefault="009B26F7">
      <w:pPr>
        <w:spacing w:after="0" w:line="240" w:lineRule="auto"/>
      </w:pPr>
      <w:r>
        <w:separator/>
      </w:r>
    </w:p>
  </w:endnote>
  <w:endnote w:type="continuationSeparator" w:id="0">
    <w:p w14:paraId="6EB226D4" w14:textId="77777777" w:rsidR="009B26F7" w:rsidRDefault="009B2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436C9" w14:textId="77777777" w:rsidR="009B26F7" w:rsidRDefault="009B26F7">
      <w:pPr>
        <w:spacing w:after="0" w:line="265" w:lineRule="auto"/>
        <w:ind w:left="0" w:right="0" w:firstLine="0"/>
        <w:jc w:val="left"/>
      </w:pPr>
      <w:r>
        <w:separator/>
      </w:r>
    </w:p>
  </w:footnote>
  <w:footnote w:type="continuationSeparator" w:id="0">
    <w:p w14:paraId="3D0912A9" w14:textId="77777777" w:rsidR="009B26F7" w:rsidRDefault="009B26F7">
      <w:pPr>
        <w:spacing w:after="0" w:line="265" w:lineRule="auto"/>
        <w:ind w:left="0" w:right="0" w:firstLine="0"/>
        <w:jc w:val="left"/>
      </w:pPr>
      <w:r>
        <w:continuationSeparator/>
      </w:r>
    </w:p>
  </w:footnote>
  <w:footnote w:id="1">
    <w:p w14:paraId="0AA3325B" w14:textId="77777777" w:rsidR="00A75B11" w:rsidRDefault="00000000">
      <w:pPr>
        <w:pStyle w:val="footnotedescription"/>
      </w:pPr>
      <w:r>
        <w:rPr>
          <w:rStyle w:val="footnotemark"/>
        </w:rPr>
        <w:footnoteRef/>
      </w:r>
      <w:r>
        <w:t xml:space="preserve"> La serie objetivo deberá ser modelada utilizando la información hasta diciembre de 2023, ya que, se busca analizar qué tan precisa es la proyección respecto a los valores observados de 2024.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26A2"/>
    <w:multiLevelType w:val="multilevel"/>
    <w:tmpl w:val="B218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C2D75"/>
    <w:multiLevelType w:val="hybridMultilevel"/>
    <w:tmpl w:val="560A2C6C"/>
    <w:lvl w:ilvl="0" w:tplc="9ABEDA9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10E374">
      <w:start w:val="1"/>
      <w:numFmt w:val="bullet"/>
      <w:lvlText w:val="o"/>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BEEE8E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08A8B0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5D6CF4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59C5A3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4F61E3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0CCE24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27045E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D871681"/>
    <w:multiLevelType w:val="multilevel"/>
    <w:tmpl w:val="12E2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587A10"/>
    <w:multiLevelType w:val="hybridMultilevel"/>
    <w:tmpl w:val="361C38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92631761">
    <w:abstractNumId w:val="1"/>
  </w:num>
  <w:num w:numId="2" w16cid:durableId="1908419182">
    <w:abstractNumId w:val="3"/>
  </w:num>
  <w:num w:numId="3" w16cid:durableId="1371762239">
    <w:abstractNumId w:val="0"/>
  </w:num>
  <w:num w:numId="4" w16cid:durableId="101773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B11"/>
    <w:rsid w:val="000B16EE"/>
    <w:rsid w:val="002C7938"/>
    <w:rsid w:val="00404905"/>
    <w:rsid w:val="005A15F7"/>
    <w:rsid w:val="00612CF6"/>
    <w:rsid w:val="006461A0"/>
    <w:rsid w:val="007A5354"/>
    <w:rsid w:val="00897E36"/>
    <w:rsid w:val="009B26F7"/>
    <w:rsid w:val="009D7E23"/>
    <w:rsid w:val="00A75B11"/>
    <w:rsid w:val="00B876F0"/>
    <w:rsid w:val="00C07BDF"/>
    <w:rsid w:val="00C42627"/>
    <w:rsid w:val="00C762EB"/>
    <w:rsid w:val="00CB501F"/>
    <w:rsid w:val="00DC2611"/>
    <w:rsid w:val="00E33CEF"/>
    <w:rsid w:val="00F53FC1"/>
    <w:rsid w:val="00F93C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1C3F"/>
  <w15:docId w15:val="{1C0F4451-1165-4EC4-AE4B-164204C0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67" w:lineRule="auto"/>
      <w:ind w:left="10" w:right="6" w:hanging="10"/>
      <w:jc w:val="both"/>
    </w:pPr>
    <w:rPr>
      <w:rFonts w:ascii="Arial" w:eastAsia="Arial" w:hAnsi="Arial" w:cs="Arial"/>
      <w:color w:val="000000"/>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line="265" w:lineRule="auto"/>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paragraph" w:styleId="NormalWeb">
    <w:name w:val="Normal (Web)"/>
    <w:basedOn w:val="Normal"/>
    <w:uiPriority w:val="99"/>
    <w:semiHidden/>
    <w:unhideWhenUsed/>
    <w:rsid w:val="002C7938"/>
    <w:rPr>
      <w:rFonts w:ascii="Times New Roman" w:hAnsi="Times New Roman" w:cs="Times New Roman"/>
      <w:sz w:val="24"/>
    </w:rPr>
  </w:style>
  <w:style w:type="paragraph" w:styleId="Prrafodelista">
    <w:name w:val="List Paragraph"/>
    <w:basedOn w:val="Normal"/>
    <w:uiPriority w:val="34"/>
    <w:qFormat/>
    <w:rsid w:val="00612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29986">
      <w:bodyDiv w:val="1"/>
      <w:marLeft w:val="0"/>
      <w:marRight w:val="0"/>
      <w:marTop w:val="0"/>
      <w:marBottom w:val="0"/>
      <w:divBdr>
        <w:top w:val="none" w:sz="0" w:space="0" w:color="auto"/>
        <w:left w:val="none" w:sz="0" w:space="0" w:color="auto"/>
        <w:bottom w:val="none" w:sz="0" w:space="0" w:color="auto"/>
        <w:right w:val="none" w:sz="0" w:space="0" w:color="auto"/>
      </w:divBdr>
    </w:div>
    <w:div w:id="306983648">
      <w:bodyDiv w:val="1"/>
      <w:marLeft w:val="0"/>
      <w:marRight w:val="0"/>
      <w:marTop w:val="0"/>
      <w:marBottom w:val="0"/>
      <w:divBdr>
        <w:top w:val="none" w:sz="0" w:space="0" w:color="auto"/>
        <w:left w:val="none" w:sz="0" w:space="0" w:color="auto"/>
        <w:bottom w:val="none" w:sz="0" w:space="0" w:color="auto"/>
        <w:right w:val="none" w:sz="0" w:space="0" w:color="auto"/>
      </w:divBdr>
    </w:div>
    <w:div w:id="393937017">
      <w:bodyDiv w:val="1"/>
      <w:marLeft w:val="0"/>
      <w:marRight w:val="0"/>
      <w:marTop w:val="0"/>
      <w:marBottom w:val="0"/>
      <w:divBdr>
        <w:top w:val="none" w:sz="0" w:space="0" w:color="auto"/>
        <w:left w:val="none" w:sz="0" w:space="0" w:color="auto"/>
        <w:bottom w:val="none" w:sz="0" w:space="0" w:color="auto"/>
        <w:right w:val="none" w:sz="0" w:space="0" w:color="auto"/>
      </w:divBdr>
    </w:div>
    <w:div w:id="717439012">
      <w:bodyDiv w:val="1"/>
      <w:marLeft w:val="0"/>
      <w:marRight w:val="0"/>
      <w:marTop w:val="0"/>
      <w:marBottom w:val="0"/>
      <w:divBdr>
        <w:top w:val="none" w:sz="0" w:space="0" w:color="auto"/>
        <w:left w:val="none" w:sz="0" w:space="0" w:color="auto"/>
        <w:bottom w:val="none" w:sz="0" w:space="0" w:color="auto"/>
        <w:right w:val="none" w:sz="0" w:space="0" w:color="auto"/>
      </w:divBdr>
    </w:div>
    <w:div w:id="740057972">
      <w:bodyDiv w:val="1"/>
      <w:marLeft w:val="0"/>
      <w:marRight w:val="0"/>
      <w:marTop w:val="0"/>
      <w:marBottom w:val="0"/>
      <w:divBdr>
        <w:top w:val="none" w:sz="0" w:space="0" w:color="auto"/>
        <w:left w:val="none" w:sz="0" w:space="0" w:color="auto"/>
        <w:bottom w:val="none" w:sz="0" w:space="0" w:color="auto"/>
        <w:right w:val="none" w:sz="0" w:space="0" w:color="auto"/>
      </w:divBdr>
    </w:div>
    <w:div w:id="936406703">
      <w:bodyDiv w:val="1"/>
      <w:marLeft w:val="0"/>
      <w:marRight w:val="0"/>
      <w:marTop w:val="0"/>
      <w:marBottom w:val="0"/>
      <w:divBdr>
        <w:top w:val="none" w:sz="0" w:space="0" w:color="auto"/>
        <w:left w:val="none" w:sz="0" w:space="0" w:color="auto"/>
        <w:bottom w:val="none" w:sz="0" w:space="0" w:color="auto"/>
        <w:right w:val="none" w:sz="0" w:space="0" w:color="auto"/>
      </w:divBdr>
    </w:div>
    <w:div w:id="1138300448">
      <w:bodyDiv w:val="1"/>
      <w:marLeft w:val="0"/>
      <w:marRight w:val="0"/>
      <w:marTop w:val="0"/>
      <w:marBottom w:val="0"/>
      <w:divBdr>
        <w:top w:val="none" w:sz="0" w:space="0" w:color="auto"/>
        <w:left w:val="none" w:sz="0" w:space="0" w:color="auto"/>
        <w:bottom w:val="none" w:sz="0" w:space="0" w:color="auto"/>
        <w:right w:val="none" w:sz="0" w:space="0" w:color="auto"/>
      </w:divBdr>
    </w:div>
    <w:div w:id="1289972916">
      <w:bodyDiv w:val="1"/>
      <w:marLeft w:val="0"/>
      <w:marRight w:val="0"/>
      <w:marTop w:val="0"/>
      <w:marBottom w:val="0"/>
      <w:divBdr>
        <w:top w:val="none" w:sz="0" w:space="0" w:color="auto"/>
        <w:left w:val="none" w:sz="0" w:space="0" w:color="auto"/>
        <w:bottom w:val="none" w:sz="0" w:space="0" w:color="auto"/>
        <w:right w:val="none" w:sz="0" w:space="0" w:color="auto"/>
      </w:divBdr>
    </w:div>
    <w:div w:id="1478452983">
      <w:bodyDiv w:val="1"/>
      <w:marLeft w:val="0"/>
      <w:marRight w:val="0"/>
      <w:marTop w:val="0"/>
      <w:marBottom w:val="0"/>
      <w:divBdr>
        <w:top w:val="none" w:sz="0" w:space="0" w:color="auto"/>
        <w:left w:val="none" w:sz="0" w:space="0" w:color="auto"/>
        <w:bottom w:val="none" w:sz="0" w:space="0" w:color="auto"/>
        <w:right w:val="none" w:sz="0" w:space="0" w:color="auto"/>
      </w:divBdr>
    </w:div>
    <w:div w:id="1500578444">
      <w:bodyDiv w:val="1"/>
      <w:marLeft w:val="0"/>
      <w:marRight w:val="0"/>
      <w:marTop w:val="0"/>
      <w:marBottom w:val="0"/>
      <w:divBdr>
        <w:top w:val="none" w:sz="0" w:space="0" w:color="auto"/>
        <w:left w:val="none" w:sz="0" w:space="0" w:color="auto"/>
        <w:bottom w:val="none" w:sz="0" w:space="0" w:color="auto"/>
        <w:right w:val="none" w:sz="0" w:space="0" w:color="auto"/>
      </w:divBdr>
    </w:div>
    <w:div w:id="1832793911">
      <w:bodyDiv w:val="1"/>
      <w:marLeft w:val="0"/>
      <w:marRight w:val="0"/>
      <w:marTop w:val="0"/>
      <w:marBottom w:val="0"/>
      <w:divBdr>
        <w:top w:val="none" w:sz="0" w:space="0" w:color="auto"/>
        <w:left w:val="none" w:sz="0" w:space="0" w:color="auto"/>
        <w:bottom w:val="none" w:sz="0" w:space="0" w:color="auto"/>
        <w:right w:val="none" w:sz="0" w:space="0" w:color="auto"/>
      </w:divBdr>
    </w:div>
    <w:div w:id="2128964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325</TotalTime>
  <Pages>9</Pages>
  <Words>1781</Words>
  <Characters>9797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GUTIERREZ RIVERA</dc:creator>
  <cp:keywords/>
  <cp:lastModifiedBy>Humberto Ortiz Espinoza</cp:lastModifiedBy>
  <cp:revision>4</cp:revision>
  <dcterms:created xsi:type="dcterms:W3CDTF">2025-01-27T23:25:00Z</dcterms:created>
  <dcterms:modified xsi:type="dcterms:W3CDTF">2025-01-28T22:11:00Z</dcterms:modified>
</cp:coreProperties>
</file>