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eastAsia="黑体"/>
          <w:b/>
          <w:color w:val="000000"/>
          <w:sz w:val="44"/>
        </w:rPr>
        <w:t>无人机遂行编队飞行中的纯方位无源定位</w:t>
      </w:r>
    </w:p>
    <w:p>
      <w:pPr>
        <w:pStyle w:val="Heading1"/>
        <w:spacing w:before="360" w:after="200"/>
      </w:pPr>
      <w:r>
        <w:rPr>
          <w:rFonts w:ascii="Calibri" w:hAnsi="Calibri" w:eastAsia="黑体"/>
          <w:b/>
          <w:color w:val="2E74B5"/>
          <w:sz w:val="32"/>
        </w:rPr>
        <w:t>摘  要</w:t>
      </w:r>
    </w:p>
    <w:p>
      <w:pPr>
        <w:spacing w:before="0" w:after="160" w:line="320" w:lineRule="auto"/>
        <w:jc w:val="both"/>
      </w:pPr>
      <w:r>
        <w:rPr>
          <w:rFonts w:ascii="Calibri" w:hAnsi="Calibri" w:eastAsia="宋体"/>
          <w:b w:val="0"/>
          <w:sz w:val="22"/>
        </w:rPr>
        <w:t>本文针对无人机编队飞行中“保持电磁静默、仅通过方向夹角完成定位与队形调整”的问题，建立基于极坐标的纯方位无源定位模型，并给出可执行的编队调整方案。</w:t>
      </w:r>
    </w:p>
    <w:p>
      <w:pPr>
        <w:spacing w:before="0" w:after="160" w:line="320" w:lineRule="auto"/>
        <w:jc w:val="both"/>
      </w:pPr>
      <w:r>
        <w:rPr>
          <w:rFonts w:ascii="Calibri" w:hAnsi="Calibri" w:eastAsia="宋体"/>
          <w:b w:val="0"/>
          <w:sz w:val="22"/>
        </w:rPr>
        <w:t>针对问题一(1)，以圆心处 FY00 为极点，将被动接收无人机的位置记为极坐标 (r,θ)。利用发射机与接收机之间的距离、点积在极坐标下的表达式，把两两发射机形成的方向夹角写为关于 (r,θ) 的非线性方程，构造最小二乘模型，以名义理想极坐标为初值求解。数值验证表明，该模型能从 FY00、FY01、FY03 的夹角信息准确恢复存在偏差的 FY02，定位误差低于 10⁻⁸ m。</w:t>
      </w:r>
    </w:p>
    <w:p>
      <w:pPr>
        <w:spacing w:before="0" w:after="160" w:line="320" w:lineRule="auto"/>
        <w:jc w:val="both"/>
      </w:pPr>
      <w:r>
        <w:rPr>
          <w:rFonts w:ascii="Calibri" w:hAnsi="Calibri" w:eastAsia="宋体"/>
          <w:b w:val="0"/>
          <w:sz w:val="22"/>
        </w:rPr>
        <w:t>针对问题一(2)，在 FY00、FY01 已知的前提下，穷举“未知编号发射机”的所有可能组合，比较候选组合能否与全部夹角观测一致。结果显示：只增加 1 架编号未知的发射机时，7 种候选中有 6 种仍与观测一致；增加 2 架编号未知的发射机时，21 种候选中仅真实组合与观测一致。因此除 FY00 和 FY01 外，还需要 2 架无人机发射信号。</w:t>
      </w:r>
    </w:p>
    <w:p>
      <w:pPr>
        <w:spacing w:before="0" w:after="160" w:line="320" w:lineRule="auto"/>
        <w:jc w:val="both"/>
      </w:pPr>
      <w:r>
        <w:rPr>
          <w:rFonts w:ascii="Calibri" w:hAnsi="Calibri" w:eastAsia="宋体"/>
          <w:b w:val="0"/>
          <w:sz w:val="22"/>
        </w:rPr>
        <w:t>针对问题一(3)，提出“锚点逐轮标定—接收机定位—归位”的极坐标迭代调整方案。每轮选择 FY00 及最多 3 架圆周无人机作为发射机，其余无人机接收夹角并用极坐标模型解算位置，再移动到理想圆周位置。对表 1 数据求解，只需两轮实际调整加一轮校验，即可使 9 架无人机均匀分布在半径 100 m 的圆周上；单步最大位移为 12.011 m，最终最大位置误差低于 10⁻⁶ m。</w:t>
      </w:r>
    </w:p>
    <w:p>
      <w:pPr>
        <w:spacing w:before="0" w:after="160" w:line="320" w:lineRule="auto"/>
        <w:jc w:val="both"/>
      </w:pPr>
      <w:r>
        <w:rPr>
          <w:rFonts w:ascii="Calibri" w:hAnsi="Calibri" w:eastAsia="宋体"/>
          <w:b w:val="0"/>
          <w:sz w:val="22"/>
        </w:rPr>
        <w:t>针对问题二，将极坐标定位模型和迭代调整算法推广到一般队形。以相邻行间距 50 m 的锥形编队为例，两轮调整即可完成校正，示例中单步最大位移为 3.601 m，最终位置误差低于 10⁻⁶ m。模型计算量小、不依赖绝对位置测量，符合纯方位无源定位的工程约束。</w:t>
      </w:r>
    </w:p>
    <w:p>
      <w:pPr>
        <w:spacing w:before="0" w:after="200" w:line="320" w:lineRule="auto"/>
        <w:jc w:val="left"/>
      </w:pPr>
      <w:r>
        <w:rPr>
          <w:rFonts w:ascii="Calibri" w:hAnsi="Calibri" w:eastAsia="宋体"/>
          <w:b w:val="0"/>
          <w:sz w:val="22"/>
        </w:rPr>
        <w:t>关键词：纯方位定位；极坐标；无源定位；最小二乘；无人机编队</w:t>
      </w:r>
    </w:p>
    <w:p>
      <w:pPr>
        <w:pStyle w:val="Heading1"/>
        <w:spacing w:before="360" w:after="200"/>
      </w:pPr>
      <w:r>
        <w:rPr>
          <w:rFonts w:ascii="Calibri" w:hAnsi="Calibri" w:eastAsia="黑体"/>
          <w:b/>
          <w:color w:val="2E74B5"/>
          <w:sz w:val="32"/>
        </w:rPr>
        <w:t>一、问题重述</w:t>
      </w:r>
    </w:p>
    <w:p>
      <w:pPr>
        <w:spacing w:before="0" w:after="160" w:line="320" w:lineRule="auto"/>
        <w:jc w:val="both"/>
      </w:pPr>
      <w:r>
        <w:rPr>
          <w:rFonts w:ascii="Calibri" w:hAnsi="Calibri" w:eastAsia="宋体"/>
          <w:b w:val="0"/>
          <w:sz w:val="22"/>
        </w:rPr>
        <w:t>无人机集群在编队飞行时，为减少电磁暴露，通常保持静默，由部分无人机发射信号、其余无人机被动接收。接收机获得的方向信息定义为：接收机分别与任意两架发射机连线所成的夹角。本文需要解决以下问题：</w:t>
      </w:r>
    </w:p>
    <w:p>
      <w:pPr>
        <w:pStyle w:val="ListNumber"/>
      </w:pPr>
      <w:r>
        <w:t>10 架无人机组成圆形编队，FY00 位于圆心，FY01—FY09 均匀分布在圆周上。</w:t>
      </w:r>
    </w:p>
    <w:p>
      <w:pPr>
        <w:pStyle w:val="ListNumber"/>
      </w:pPr>
      <w:r>
        <w:t>将上述方法推广到锥形等其他编队队形，设计无人机位置调整方案。</w:t>
      </w:r>
    </w:p>
    <w:p>
      <w:pPr>
        <w:pStyle w:val="Heading1"/>
        <w:spacing w:before="360" w:after="200"/>
      </w:pPr>
      <w:r>
        <w:rPr>
          <w:rFonts w:ascii="Calibri" w:hAnsi="Calibri" w:eastAsia="黑体"/>
          <w:b/>
          <w:color w:val="2E74B5"/>
          <w:sz w:val="32"/>
        </w:rPr>
        <w:t>二、模型假设与符号说明</w:t>
      </w:r>
    </w:p>
    <w:p>
      <w:pPr>
        <w:pStyle w:val="Heading2"/>
        <w:spacing w:before="240" w:after="120"/>
      </w:pPr>
      <w:r>
        <w:rPr>
          <w:rFonts w:ascii="Calibri" w:hAnsi="Calibri" w:eastAsia="黑体"/>
          <w:b/>
          <w:color w:val="2E74B5"/>
          <w:sz w:val="26"/>
        </w:rPr>
        <w:t>2.1 模型假设</w:t>
      </w:r>
    </w:p>
    <w:p>
      <w:pPr>
        <w:pStyle w:val="ListNumber"/>
      </w:pPr>
      <w:r>
        <w:t>所有无人机在同一高度平面内飞行，问题简化为二维平面定位问题；</w:t>
      </w:r>
    </w:p>
    <w:p>
      <w:pPr>
        <w:pStyle w:val="ListNumber"/>
      </w:pPr>
      <w:r>
        <w:t>夹角观测不含系统误差，随机误差足够小，本文在标称仿真中按无噪声处理；</w:t>
      </w:r>
    </w:p>
    <w:p>
      <w:pPr>
        <w:pStyle w:val="ListNumber"/>
      </w:pPr>
      <w:r>
        <w:t>发射机的编号可被接收机识别，但问题一(2)中部分发射机编号未知；</w:t>
      </w:r>
    </w:p>
    <w:p>
      <w:pPr>
        <w:pStyle w:val="ListNumber"/>
      </w:pPr>
      <w:r>
        <w:t>单次调整时间忽略不计，接收机可在完成定位后立即移动到指定位置；</w:t>
      </w:r>
    </w:p>
    <w:p>
      <w:pPr>
        <w:pStyle w:val="ListNumber"/>
      </w:pPr>
      <w:r>
        <w:t>无人机具有自身的名义队形信息，可用作定位初值。</w:t>
      </w:r>
    </w:p>
    <w:p>
      <w:pPr>
        <w:pStyle w:val="Heading2"/>
        <w:spacing w:before="240" w:after="120"/>
      </w:pPr>
      <w:r>
        <w:rPr>
          <w:rFonts w:ascii="Calibri" w:hAnsi="Calibri" w:eastAsia="黑体"/>
          <w:b/>
          <w:color w:val="2E74B5"/>
          <w:sz w:val="26"/>
        </w:rPr>
        <w:t>2.2 符号说明</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c>
          <w:tcPr>
            <w:tcW w:type="dxa" w:w="2304"/>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符号</w:t>
            </w:r>
          </w:p>
        </w:tc>
        <w:tc>
          <w:tcPr>
            <w:tcW w:type="dxa" w:w="705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含义</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P=(r,θ)</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被动接收无人机相对 FY00 的极坐标</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A_i=(r_i,θ_i)</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第 i 架发射无人机的极坐标</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α_ij</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接收机 P 与发射机 A_i、A_j 连线的夹角</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d_i</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接收机到第 i 架发射机的距离</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O</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圆心处无人机 FY00 的位置，r_0=0</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R</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理想圆周半径，R=100 m</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(r̂,θ̂)</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由夹角信息解算得到的极坐标估计</w:t>
            </w:r>
          </w:p>
        </w:tc>
      </w:tr>
      <w:tr>
        <w:trPr/>
        <w:tc>
          <w:tcPr>
            <w:tcW w:type="dxa" w:w="2304"/>
            <w:tcMar>
              <w:top w:w="80" w:type="dxa"/>
              <w:bottom w:w="80" w:type="dxa"/>
              <w:start w:w="120" w:type="dxa"/>
              <w:end w:w="120" w:type="dxa"/>
            </w:tcMar>
          </w:tcPr>
          <w:p>
            <w:pPr>
              <w:spacing w:before="40" w:after="40"/>
              <w:jc w:val="left"/>
            </w:pPr>
            <w:r/>
            <w:r>
              <w:rPr>
                <w:rFonts w:ascii="Calibri" w:hAnsi="Calibri" w:eastAsia="宋体"/>
                <w:b w:val="0"/>
                <w:sz w:val="21"/>
              </w:rPr>
              <w:t>S_t</w:t>
            </w:r>
          </w:p>
        </w:tc>
        <w:tc>
          <w:tcPr>
            <w:tcW w:type="dxa" w:w="7056"/>
            <w:tcMar>
              <w:top w:w="80" w:type="dxa"/>
              <w:bottom w:w="80" w:type="dxa"/>
              <w:start w:w="120" w:type="dxa"/>
              <w:end w:w="120" w:type="dxa"/>
            </w:tcMar>
          </w:tcPr>
          <w:p>
            <w:pPr>
              <w:spacing w:before="40" w:after="40"/>
              <w:jc w:val="left"/>
            </w:pPr>
            <w:r/>
            <w:r>
              <w:rPr>
                <w:rFonts w:ascii="Calibri" w:hAnsi="Calibri" w:eastAsia="宋体"/>
                <w:b w:val="0"/>
                <w:sz w:val="21"/>
              </w:rPr>
              <w:t>第 t 轮选择的发射机集合</w:t>
            </w:r>
          </w:p>
        </w:tc>
      </w:tr>
    </w:tbl>
    <w:p>
      <w:pPr>
        <w:pStyle w:val="Heading1"/>
        <w:spacing w:before="360" w:after="200"/>
      </w:pPr>
      <w:r>
        <w:rPr>
          <w:rFonts w:ascii="Calibri" w:hAnsi="Calibri" w:eastAsia="黑体"/>
          <w:b/>
          <w:color w:val="2E74B5"/>
          <w:sz w:val="32"/>
        </w:rPr>
        <w:t>三、问题一(1)：基于极坐标的纯方位定位模型</w:t>
      </w:r>
    </w:p>
    <w:p>
      <w:pPr>
        <w:pStyle w:val="Heading2"/>
        <w:spacing w:before="240" w:after="120"/>
      </w:pPr>
      <w:r>
        <w:rPr>
          <w:rFonts w:ascii="Calibri" w:hAnsi="Calibri" w:eastAsia="黑体"/>
          <w:b/>
          <w:color w:val="2E74B5"/>
          <w:sz w:val="26"/>
        </w:rPr>
        <w:t>3.1 极坐标下的距离与夹角</w:t>
      </w:r>
    </w:p>
    <w:p>
      <w:pPr>
        <w:spacing w:before="0" w:after="160" w:line="320" w:lineRule="auto"/>
        <w:jc w:val="both"/>
      </w:pPr>
      <w:r>
        <w:rPr>
          <w:rFonts w:ascii="Calibri" w:hAnsi="Calibri" w:eastAsia="宋体"/>
          <w:b w:val="0"/>
          <w:sz w:val="22"/>
        </w:rPr>
        <w:t>以 FY00 所在位置 O 为极点，以 FY01 所在方向为极轴。接收机位置记为 P=(r,θ)，其直角坐标为 x=r cos θ、y=r sin θ。设第 i 架发射机 A_i 的极坐标为 (r_i,θ_i)，则接收机到 A_i 的距离平方为 d_i² = r² + r_i² − 2 r r_i cos(θ_i−θ)。发射机 A_i、A_j 相对接收机的方向向量点积为 r_i r_j cos(θ_i−θ_j) − r r_i cos(θ_i−θ) − r r_j cos(θ_j−θ) + r²。于是夹角 α_ij 可由 arccos(点积/(d_i d_j)) 得到。</w:t>
      </w:r>
    </w:p>
    <w:p>
      <w:pPr>
        <w:pStyle w:val="Heading2"/>
        <w:spacing w:before="240" w:after="120"/>
      </w:pPr>
      <w:r>
        <w:rPr>
          <w:rFonts w:ascii="Calibri" w:hAnsi="Calibri" w:eastAsia="黑体"/>
          <w:b/>
          <w:color w:val="2E74B5"/>
          <w:sz w:val="26"/>
        </w:rPr>
        <w:t>3.2 极坐标最小二乘定位模型</w:t>
      </w:r>
    </w:p>
    <w:p>
      <w:pPr>
        <w:spacing w:before="0" w:after="160" w:line="320" w:lineRule="auto"/>
        <w:jc w:val="both"/>
      </w:pPr>
      <w:r>
        <w:rPr>
          <w:rFonts w:ascii="Calibri" w:hAnsi="Calibri" w:eastAsia="宋体"/>
          <w:b w:val="0"/>
          <w:sz w:val="22"/>
        </w:rPr>
        <w:t>记全部观测夹角为 α，由极坐标 (r,θ) 计算的夹角为 g(r,θ)。定位问题转化为关于极坐标的非线性最小二乘，本文采用 Levenberg-Marquardt 法求解，并以接收机的名义理想极坐标作为初值，以避免几何多解落入错误分支。</w:t>
      </w:r>
    </w:p>
    <w:p>
      <w:pPr>
        <w:pStyle w:val="Heading2"/>
        <w:spacing w:before="240" w:after="120"/>
      </w:pPr>
      <w:r>
        <w:rPr>
          <w:rFonts w:ascii="Calibri" w:hAnsi="Calibri" w:eastAsia="黑体"/>
          <w:b/>
          <w:color w:val="2E74B5"/>
          <w:sz w:val="26"/>
        </w:rPr>
        <w:t>3.3 数值验证</w:t>
      </w:r>
    </w:p>
    <w:p>
      <w:pPr>
        <w:spacing w:before="0" w:after="160" w:line="320" w:lineRule="auto"/>
        <w:jc w:val="both"/>
      </w:pPr>
      <w:r>
        <w:rPr>
          <w:rFonts w:ascii="Calibri" w:hAnsi="Calibri" w:eastAsia="宋体"/>
          <w:b w:val="0"/>
          <w:sz w:val="22"/>
        </w:rPr>
        <w:t>以 FY02 为待定位接收机，其真实偏差极坐标为 (98.000, 40.100°)，换算为直角坐标 (74.962, 63.124) m。发射机 FY00、FY01、FY03 均位于理想位置。观测夹角及定位结果见表 1。</w:t>
      </w:r>
    </w:p>
    <w:tbl>
      <w:tblPr>
        <w:tblStyle w:val="TableGrid"/>
        <w:tblW w:type="dxa" w:w="9360"/>
        <w:jc w:val="left"/>
        <w:tblLayout w:type="fixed"/>
        <w:tblLook w:firstColumn="1" w:firstRow="1" w:lastColumn="0" w:lastRow="0" w:noHBand="0" w:noVBand="1" w:val="04A0"/>
        <w:tblInd w:type="dxa" w:w="120"/>
      </w:tblPr>
      <w:tblGrid>
        <w:gridCol w:w="3456"/>
        <w:gridCol w:w="5904"/>
      </w:tblGrid>
      <w:tr>
        <w:trPr/>
        <w:tc>
          <w:tcPr>
            <w:tcW w:type="dxa" w:w="345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项目</w:t>
            </w:r>
          </w:p>
        </w:tc>
        <w:tc>
          <w:tcPr>
            <w:tcW w:type="dxa" w:w="5904"/>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数值</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真实极坐标 P</w:t>
            </w:r>
          </w:p>
        </w:tc>
        <w:tc>
          <w:tcPr>
            <w:tcW w:type="dxa" w:w="5904"/>
            <w:tcMar>
              <w:top w:w="80" w:type="dxa"/>
              <w:bottom w:w="80" w:type="dxa"/>
              <w:start w:w="120" w:type="dxa"/>
              <w:end w:w="120" w:type="dxa"/>
            </w:tcMar>
          </w:tcPr>
          <w:p>
            <w:pPr>
              <w:spacing w:before="40" w:after="40"/>
              <w:jc w:val="left"/>
            </w:pPr>
            <w:r/>
            <w:r>
              <w:rPr>
                <w:rFonts w:ascii="Calibri" w:hAnsi="Calibri" w:eastAsia="宋体"/>
                <w:b w:val="0"/>
                <w:sz w:val="21"/>
              </w:rPr>
              <w:t>(98.000, 40.100°)</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解算极坐标 (r̂,θ̂)</w:t>
            </w:r>
          </w:p>
        </w:tc>
        <w:tc>
          <w:tcPr>
            <w:tcW w:type="dxa" w:w="5904"/>
            <w:tcMar>
              <w:top w:w="80" w:type="dxa"/>
              <w:bottom w:w="80" w:type="dxa"/>
              <w:start w:w="120" w:type="dxa"/>
              <w:end w:w="120" w:type="dxa"/>
            </w:tcMar>
          </w:tcPr>
          <w:p>
            <w:pPr>
              <w:spacing w:before="40" w:after="40"/>
              <w:jc w:val="left"/>
            </w:pPr>
            <w:r/>
            <w:r>
              <w:rPr>
                <w:rFonts w:ascii="Calibri" w:hAnsi="Calibri" w:eastAsia="宋体"/>
                <w:b w:val="0"/>
                <w:sz w:val="21"/>
              </w:rPr>
              <w:t>(98.000, 40.100°)</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∠OPA</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71.5354°</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∠OPB</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71.6440°</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∠APB</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143.1794°</w:t>
            </w:r>
          </w:p>
        </w:tc>
      </w:tr>
      <w:tr>
        <w:trPr/>
        <w:tc>
          <w:tcPr>
            <w:tcW w:type="dxa" w:w="3456"/>
            <w:tcMar>
              <w:top w:w="80" w:type="dxa"/>
              <w:bottom w:w="80" w:type="dxa"/>
              <w:start w:w="120" w:type="dxa"/>
              <w:end w:w="120" w:type="dxa"/>
            </w:tcMar>
          </w:tcPr>
          <w:p>
            <w:pPr>
              <w:spacing w:before="40" w:after="40"/>
              <w:jc w:val="left"/>
            </w:pPr>
            <w:r/>
            <w:r>
              <w:rPr>
                <w:rFonts w:ascii="Calibri" w:hAnsi="Calibri" w:eastAsia="宋体"/>
                <w:b w:val="0"/>
                <w:sz w:val="21"/>
              </w:rPr>
              <w:t>定位误差</w:t>
            </w:r>
          </w:p>
        </w:tc>
        <w:tc>
          <w:tcPr>
            <w:tcW w:type="dxa" w:w="5904"/>
            <w:tcMar>
              <w:top w:w="80" w:type="dxa"/>
              <w:bottom w:w="80" w:type="dxa"/>
              <w:start w:w="120" w:type="dxa"/>
              <w:end w:w="120" w:type="dxa"/>
            </w:tcMar>
          </w:tcPr>
          <w:p>
            <w:pPr>
              <w:spacing w:before="40" w:after="40"/>
              <w:jc w:val="center"/>
            </w:pPr>
            <w:r/>
            <w:r>
              <w:rPr>
                <w:rFonts w:ascii="Calibri" w:hAnsi="Calibri" w:eastAsia="宋体"/>
                <w:b w:val="0"/>
                <w:sz w:val="21"/>
              </w:rPr>
              <w:t>&lt;10⁻⁸ m</w:t>
            </w:r>
          </w:p>
        </w:tc>
      </w:tr>
    </w:tbl>
    <w:p>
      <w:pPr>
        <w:spacing w:before="80" w:after="160"/>
        <w:jc w:val="center"/>
      </w:pPr>
      <w:r>
        <w:rPr>
          <w:rFonts w:ascii="Calibri" w:hAnsi="Calibri" w:eastAsia="宋体"/>
          <w:b w:val="0"/>
          <w:sz w:val="20"/>
        </w:rPr>
        <w:t>表 1  问题一(1)定位结果</w:t>
      </w:r>
    </w:p>
    <w:p>
      <w:pPr>
        <w:spacing w:before="80" w:after="40"/>
        <w:jc w:val="center"/>
      </w:pPr>
      <w:r>
        <w:drawing>
          <wp:inline xmlns:a="http://schemas.openxmlformats.org/drawingml/2006/main" xmlns:pic="http://schemas.openxmlformats.org/drawingml/2006/picture">
            <wp:extent cx="3840480" cy="3003705"/>
            <wp:docPr id="1" name="Picture 1"/>
            <wp:cNvGraphicFramePr>
              <a:graphicFrameLocks noChangeAspect="1"/>
            </wp:cNvGraphicFramePr>
            <a:graphic>
              <a:graphicData uri="http://schemas.openxmlformats.org/drawingml/2006/picture">
                <pic:pic>
                  <pic:nvPicPr>
                    <pic:cNvPr id="0" name="fig1_geometry.png"/>
                    <pic:cNvPicPr/>
                  </pic:nvPicPr>
                  <pic:blipFill>
                    <a:blip r:embed="rId9"/>
                    <a:stretch>
                      <a:fillRect/>
                    </a:stretch>
                  </pic:blipFill>
                  <pic:spPr>
                    <a:xfrm>
                      <a:off x="0" y="0"/>
                      <a:ext cx="3840480" cy="3003705"/>
                    </a:xfrm>
                    <a:prstGeom prst="rect"/>
                  </pic:spPr>
                </pic:pic>
              </a:graphicData>
            </a:graphic>
          </wp:inline>
        </w:drawing>
      </w:r>
    </w:p>
    <w:p>
      <w:pPr>
        <w:spacing w:before="80" w:after="160"/>
        <w:jc w:val="center"/>
      </w:pPr>
      <w:r>
        <w:rPr>
          <w:rFonts w:ascii="Calibri" w:hAnsi="Calibri" w:eastAsia="宋体"/>
          <w:b w:val="0"/>
          <w:sz w:val="20"/>
        </w:rPr>
        <w:t>图 1  接收机与两架发射机连线的夹角示意图</w:t>
      </w:r>
    </w:p>
    <w:p>
      <w:pPr>
        <w:pStyle w:val="Heading1"/>
        <w:spacing w:before="360" w:after="200"/>
      </w:pPr>
      <w:r>
        <w:rPr>
          <w:rFonts w:ascii="Calibri" w:hAnsi="Calibri" w:eastAsia="黑体"/>
          <w:b/>
          <w:color w:val="2E74B5"/>
          <w:sz w:val="32"/>
        </w:rPr>
        <w:t>四、问题一(2)：未知编号发射机的可辨识性分析</w:t>
      </w:r>
    </w:p>
    <w:p>
      <w:pPr>
        <w:spacing w:before="0" w:after="160" w:line="320" w:lineRule="auto"/>
        <w:jc w:val="both"/>
      </w:pPr>
      <w:r>
        <w:rPr>
          <w:rFonts w:ascii="Calibri" w:hAnsi="Calibri" w:eastAsia="宋体"/>
          <w:b w:val="0"/>
          <w:sz w:val="22"/>
        </w:rPr>
        <w:t>当仅 FY00 与 FY01 的编号已知时，夹角 α_OA 将 P 约束在一条过 O、A 的圆弧上，仅靠该信息不能唯一确定 P。设另有 m 架编号未知的圆周无人机发射信号，接收机获得 O、A 与 m 架未知发射机之间的全部夹角。对每一种候选编号组合，用极坐标最小二乘解算 (r,θ)，再检验该组合能否与全部夹角观测一致。枚举结果见表 2。</w:t>
      </w:r>
    </w:p>
    <w:tbl>
      <w:tblPr>
        <w:tblStyle w:val="TableGrid"/>
        <w:tblW w:type="dxa" w:w="9360"/>
        <w:jc w:val="left"/>
        <w:tblLayout w:type="fixed"/>
        <w:tblLook w:firstColumn="1" w:firstRow="1" w:lastColumn="0" w:lastRow="0" w:noHBand="0" w:noVBand="1" w:val="04A0"/>
        <w:tblInd w:type="dxa" w:w="120"/>
      </w:tblPr>
      <w:tblGrid>
        <w:gridCol w:w="2160"/>
        <w:gridCol w:w="2160"/>
        <w:gridCol w:w="2880"/>
        <w:gridCol w:w="2160"/>
      </w:tblGrid>
      <w:tr>
        <w:trPr/>
        <w:tc>
          <w:tcPr>
            <w:tcW w:type="dxa" w:w="216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额外发射机数量 m</w:t>
            </w:r>
          </w:p>
        </w:tc>
        <w:tc>
          <w:tcPr>
            <w:tcW w:type="dxa" w:w="216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候选组合数</w:t>
            </w:r>
          </w:p>
        </w:tc>
        <w:tc>
          <w:tcPr>
            <w:tcW w:type="dxa" w:w="288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与观测一致的组合数</w:t>
            </w:r>
          </w:p>
        </w:tc>
        <w:tc>
          <w:tcPr>
            <w:tcW w:type="dxa" w:w="216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能否唯一辨识</w:t>
            </w:r>
          </w:p>
        </w:tc>
      </w:tr>
      <w:tr>
        <w:trPr/>
        <w:tc>
          <w:tcPr>
            <w:tcW w:type="dxa" w:w="2160"/>
            <w:tcMar>
              <w:top w:w="80" w:type="dxa"/>
              <w:bottom w:w="80" w:type="dxa"/>
              <w:start w:w="120" w:type="dxa"/>
              <w:end w:w="120" w:type="dxa"/>
            </w:tcMar>
          </w:tcPr>
          <w:p>
            <w:pPr>
              <w:spacing w:before="40" w:after="40"/>
              <w:jc w:val="left"/>
            </w:pPr>
            <w:r/>
            <w:r>
              <w:rPr>
                <w:rFonts w:ascii="Calibri" w:hAnsi="Calibri" w:eastAsia="宋体"/>
                <w:b w:val="0"/>
                <w:sz w:val="21"/>
              </w:rPr>
              <w:t>1</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7</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6</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否</w:t>
            </w:r>
          </w:p>
        </w:tc>
      </w:tr>
      <w:tr>
        <w:trPr/>
        <w:tc>
          <w:tcPr>
            <w:tcW w:type="dxa" w:w="2160"/>
            <w:tcMar>
              <w:top w:w="80" w:type="dxa"/>
              <w:bottom w:w="80" w:type="dxa"/>
              <w:start w:w="120" w:type="dxa"/>
              <w:end w:w="120" w:type="dxa"/>
            </w:tcMar>
          </w:tcPr>
          <w:p>
            <w:pPr>
              <w:spacing w:before="40" w:after="40"/>
              <w:jc w:val="left"/>
            </w:pPr>
            <w:r/>
            <w:r>
              <w:rPr>
                <w:rFonts w:ascii="Calibri" w:hAnsi="Calibri" w:eastAsia="宋体"/>
                <w:b w:val="0"/>
                <w:sz w:val="21"/>
              </w:rPr>
              <w:t>2</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21</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1</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是</w:t>
            </w:r>
          </w:p>
        </w:tc>
      </w:tr>
      <w:tr>
        <w:trPr/>
        <w:tc>
          <w:tcPr>
            <w:tcW w:type="dxa" w:w="2160"/>
            <w:tcMar>
              <w:top w:w="80" w:type="dxa"/>
              <w:bottom w:w="80" w:type="dxa"/>
              <w:start w:w="120" w:type="dxa"/>
              <w:end w:w="120" w:type="dxa"/>
            </w:tcMar>
          </w:tcPr>
          <w:p>
            <w:pPr>
              <w:spacing w:before="40" w:after="40"/>
              <w:jc w:val="left"/>
            </w:pPr>
            <w:r/>
            <w:r>
              <w:rPr>
                <w:rFonts w:ascii="Calibri" w:hAnsi="Calibri" w:eastAsia="宋体"/>
                <w:b w:val="0"/>
                <w:sz w:val="21"/>
              </w:rPr>
              <w:t>3</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35</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1</w:t>
            </w:r>
          </w:p>
        </w:tc>
        <w:tc>
          <w:tcPr>
            <w:tcW w:type="dxa" w:w="2160"/>
            <w:tcMar>
              <w:top w:w="80" w:type="dxa"/>
              <w:bottom w:w="80" w:type="dxa"/>
              <w:start w:w="120" w:type="dxa"/>
              <w:end w:w="120" w:type="dxa"/>
            </w:tcMar>
          </w:tcPr>
          <w:p>
            <w:pPr>
              <w:spacing w:before="40" w:after="40"/>
              <w:jc w:val="center"/>
            </w:pPr>
            <w:r/>
            <w:r>
              <w:rPr>
                <w:rFonts w:ascii="Calibri" w:hAnsi="Calibri" w:eastAsia="宋体"/>
                <w:b w:val="0"/>
                <w:sz w:val="21"/>
              </w:rPr>
              <w:t>是</w:t>
            </w:r>
          </w:p>
        </w:tc>
      </w:tr>
    </w:tbl>
    <w:p>
      <w:pPr>
        <w:spacing w:before="80" w:after="160"/>
        <w:jc w:val="center"/>
      </w:pPr>
      <w:r>
        <w:rPr>
          <w:rFonts w:ascii="Calibri" w:hAnsi="Calibri" w:eastAsia="宋体"/>
          <w:b w:val="0"/>
          <w:sz w:val="20"/>
        </w:rPr>
        <w:t>表 2  未知编号发射机的枚举辨识结果</w:t>
      </w:r>
    </w:p>
    <w:p>
      <w:pPr>
        <w:spacing w:before="0" w:after="160" w:line="320" w:lineRule="auto"/>
        <w:jc w:val="both"/>
      </w:pPr>
      <w:r>
        <w:rPr>
          <w:rFonts w:ascii="Calibri" w:hAnsi="Calibri" w:eastAsia="宋体"/>
          <w:b w:val="0"/>
          <w:sz w:val="22"/>
        </w:rPr>
        <w:t>因此，除 FY00 和 FY01 外，至少还需要 2 架无人机发射信号。两架未知编号发射机与两个已知编号发射机共同提供足够的几何约束，同时消除接收机位置和未知编号的组合歧义。</w:t>
      </w:r>
    </w:p>
    <w:p>
      <w:pPr>
        <w:pStyle w:val="Heading1"/>
        <w:spacing w:before="360" w:after="200"/>
      </w:pPr>
      <w:r>
        <w:rPr>
          <w:rFonts w:ascii="Calibri" w:hAnsi="Calibri" w:eastAsia="黑体"/>
          <w:b/>
          <w:color w:val="2E74B5"/>
          <w:sz w:val="32"/>
        </w:rPr>
        <w:t>五、问题一(3)：圆形编队的极坐标迭代调整方案</w:t>
      </w:r>
    </w:p>
    <w:p>
      <w:pPr>
        <w:pStyle w:val="Heading2"/>
        <w:spacing w:before="240" w:after="120"/>
      </w:pPr>
      <w:r>
        <w:rPr>
          <w:rFonts w:ascii="Calibri" w:hAnsi="Calibri" w:eastAsia="黑体"/>
          <w:b/>
          <w:color w:val="2E74B5"/>
          <w:sz w:val="26"/>
        </w:rPr>
        <w:t>5.1 理想队形与目标位置</w:t>
      </w:r>
    </w:p>
    <w:p>
      <w:pPr>
        <w:spacing w:before="0" w:after="160" w:line="320" w:lineRule="auto"/>
        <w:jc w:val="both"/>
      </w:pPr>
      <w:r>
        <w:rPr>
          <w:rFonts w:ascii="Calibri" w:hAnsi="Calibri" w:eastAsia="宋体"/>
          <w:b w:val="0"/>
          <w:sz w:val="22"/>
        </w:rPr>
        <w:t>取 FY00 位于原点，FY01—FY09 的理想极坐标为 A_j=(100, (j−1)40°)，j=1,…,9。</w:t>
      </w:r>
    </w:p>
    <w:p>
      <w:pPr>
        <w:pStyle w:val="Heading2"/>
        <w:spacing w:before="240" w:after="120"/>
      </w:pPr>
      <w:r>
        <w:rPr>
          <w:rFonts w:ascii="Calibri" w:hAnsi="Calibri" w:eastAsia="黑体"/>
          <w:b/>
          <w:color w:val="2E74B5"/>
          <w:sz w:val="26"/>
        </w:rPr>
        <w:t>5.2 极坐标迭代调整算法</w:t>
      </w:r>
    </w:p>
    <w:p>
      <w:pPr>
        <w:pStyle w:val="ListNumber"/>
      </w:pPr>
      <w:r>
        <w:t>选择发射机集合 S_t={O}∪S_t*，其中 S_t* 为圆周上不超过 3 架位置已知或已经完成校正的无人机；</w:t>
      </w:r>
    </w:p>
    <w:p>
      <w:pPr>
        <w:pStyle w:val="ListNumber"/>
      </w:pPr>
      <w:r>
        <w:t>对每个接收机 j∉S_t，由发射机极坐标和观测夹角构造极坐标最小二乘，解算 (r̂_j,θ̂_j)；</w:t>
      </w:r>
    </w:p>
    <w:p>
      <w:pPr>
        <w:pStyle w:val="ListNumber"/>
      </w:pPr>
      <w:r>
        <w:t>将极坐标估计转换为直角坐标，计算并执行位移；</w:t>
      </w:r>
    </w:p>
    <w:p>
      <w:pPr>
        <w:pStyle w:val="ListNumber"/>
      </w:pPr>
      <w:r>
        <w:t>更新所有位置，若最大位置误差小于阈值则结束，否则返回第一步。</w:t>
      </w:r>
    </w:p>
    <w:p>
      <w:pPr>
        <w:spacing w:before="0" w:after="160" w:line="320" w:lineRule="auto"/>
        <w:jc w:val="both"/>
      </w:pPr>
      <w:r>
        <w:rPr>
          <w:rFonts w:ascii="Calibri" w:hAnsi="Calibri" w:eastAsia="宋体"/>
          <w:b w:val="0"/>
          <w:sz w:val="22"/>
        </w:rPr>
        <w:t>对表 1 数据，取阈值 10⁻⁶ m。本文采用两轮实际调整和一轮校验：第 1 轮以 FY00、FY01、FY02、FY03 为发射机校正 FY04—FY09；第 2 轮以已完成校正的 FY04、FY05 和 FY00 为发射机校正 FY02、FY03；第 3 轮进行全队校验。调整方案见表 3，各无人机位移见表 4。</w:t>
      </w:r>
    </w:p>
    <w:tbl>
      <w:tblPr>
        <w:tblStyle w:val="TableGrid"/>
        <w:tblW w:type="dxa" w:w="9360"/>
        <w:jc w:val="left"/>
        <w:tblLayout w:type="fixed"/>
        <w:tblLook w:firstColumn="1" w:firstRow="1" w:lastColumn="0" w:lastRow="0" w:noHBand="0" w:noVBand="1" w:val="04A0"/>
        <w:tblInd w:type="dxa" w:w="120"/>
      </w:tblPr>
      <w:tblGrid>
        <w:gridCol w:w="1008"/>
        <w:gridCol w:w="3456"/>
        <w:gridCol w:w="2592"/>
        <w:gridCol w:w="2304"/>
      </w:tblGrid>
      <w:tr>
        <w:trPr/>
        <w:tc>
          <w:tcPr>
            <w:tcW w:type="dxa" w:w="1008"/>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轮次</w:t>
            </w:r>
          </w:p>
        </w:tc>
        <w:tc>
          <w:tcPr>
            <w:tcW w:type="dxa" w:w="345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发射机集合</w:t>
            </w:r>
          </w:p>
        </w:tc>
        <w:tc>
          <w:tcPr>
            <w:tcW w:type="dxa" w:w="2592"/>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接收机集合</w:t>
            </w:r>
          </w:p>
        </w:tc>
        <w:tc>
          <w:tcPr>
            <w:tcW w:type="dxa" w:w="2304"/>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单步最大位移 / m</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1</w:t>
            </w:r>
          </w:p>
        </w:tc>
        <w:tc>
          <w:tcPr>
            <w:tcW w:type="dxa" w:w="3456"/>
            <w:tcMar>
              <w:top w:w="80" w:type="dxa"/>
              <w:bottom w:w="80" w:type="dxa"/>
              <w:start w:w="120" w:type="dxa"/>
              <w:end w:w="120" w:type="dxa"/>
            </w:tcMar>
          </w:tcPr>
          <w:p>
            <w:pPr>
              <w:spacing w:before="40" w:after="40"/>
              <w:jc w:val="left"/>
            </w:pPr>
            <w:r/>
            <w:r>
              <w:rPr>
                <w:rFonts w:ascii="Calibri" w:hAnsi="Calibri" w:eastAsia="宋体"/>
                <w:b w:val="0"/>
                <w:sz w:val="21"/>
              </w:rPr>
              <w:t>FY00, FY01, FY02, FY03</w:t>
            </w:r>
          </w:p>
        </w:tc>
        <w:tc>
          <w:tcPr>
            <w:tcW w:type="dxa" w:w="2592"/>
            <w:tcMar>
              <w:top w:w="80" w:type="dxa"/>
              <w:bottom w:w="80" w:type="dxa"/>
              <w:start w:w="120" w:type="dxa"/>
              <w:end w:w="120" w:type="dxa"/>
            </w:tcMar>
          </w:tcPr>
          <w:p>
            <w:pPr>
              <w:spacing w:before="40" w:after="40"/>
              <w:jc w:val="center"/>
            </w:pPr>
            <w:r/>
            <w:r>
              <w:rPr>
                <w:rFonts w:ascii="Calibri" w:hAnsi="Calibri" w:eastAsia="宋体"/>
                <w:b w:val="0"/>
                <w:sz w:val="21"/>
              </w:rPr>
              <w:t>FY04—FY09</w:t>
            </w:r>
          </w:p>
        </w:tc>
        <w:tc>
          <w:tcPr>
            <w:tcW w:type="dxa" w:w="2304"/>
            <w:tcMar>
              <w:top w:w="80" w:type="dxa"/>
              <w:bottom w:w="80" w:type="dxa"/>
              <w:start w:w="120" w:type="dxa"/>
              <w:end w:w="120" w:type="dxa"/>
            </w:tcMar>
          </w:tcPr>
          <w:p>
            <w:pPr>
              <w:spacing w:before="40" w:after="40"/>
              <w:jc w:val="center"/>
            </w:pPr>
            <w:r/>
            <w:r>
              <w:rPr>
                <w:rFonts w:ascii="Calibri" w:hAnsi="Calibri" w:eastAsia="宋体"/>
                <w:b w:val="0"/>
                <w:sz w:val="21"/>
              </w:rPr>
              <w:t>12.011</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2</w:t>
            </w:r>
          </w:p>
        </w:tc>
        <w:tc>
          <w:tcPr>
            <w:tcW w:type="dxa" w:w="3456"/>
            <w:tcMar>
              <w:top w:w="80" w:type="dxa"/>
              <w:bottom w:w="80" w:type="dxa"/>
              <w:start w:w="120" w:type="dxa"/>
              <w:end w:w="120" w:type="dxa"/>
            </w:tcMar>
          </w:tcPr>
          <w:p>
            <w:pPr>
              <w:spacing w:before="40" w:after="40"/>
              <w:jc w:val="left"/>
            </w:pPr>
            <w:r/>
            <w:r>
              <w:rPr>
                <w:rFonts w:ascii="Calibri" w:hAnsi="Calibri" w:eastAsia="宋体"/>
                <w:b w:val="0"/>
                <w:sz w:val="21"/>
              </w:rPr>
              <w:t>FY00, FY04, FY05</w:t>
            </w:r>
          </w:p>
        </w:tc>
        <w:tc>
          <w:tcPr>
            <w:tcW w:type="dxa" w:w="2592"/>
            <w:tcMar>
              <w:top w:w="80" w:type="dxa"/>
              <w:bottom w:w="80" w:type="dxa"/>
              <w:start w:w="120" w:type="dxa"/>
              <w:end w:w="120" w:type="dxa"/>
            </w:tcMar>
          </w:tcPr>
          <w:p>
            <w:pPr>
              <w:spacing w:before="40" w:after="40"/>
              <w:jc w:val="center"/>
            </w:pPr>
            <w:r/>
            <w:r>
              <w:rPr>
                <w:rFonts w:ascii="Calibri" w:hAnsi="Calibri" w:eastAsia="宋体"/>
                <w:b w:val="0"/>
                <w:sz w:val="21"/>
              </w:rPr>
              <w:t>FY02, FY03</w:t>
            </w:r>
          </w:p>
        </w:tc>
        <w:tc>
          <w:tcPr>
            <w:tcW w:type="dxa" w:w="2304"/>
            <w:tcMar>
              <w:top w:w="80" w:type="dxa"/>
              <w:bottom w:w="80" w:type="dxa"/>
              <w:start w:w="120" w:type="dxa"/>
              <w:end w:w="120" w:type="dxa"/>
            </w:tcMar>
          </w:tcPr>
          <w:p>
            <w:pPr>
              <w:spacing w:before="40" w:after="40"/>
              <w:jc w:val="center"/>
            </w:pPr>
            <w:r/>
            <w:r>
              <w:rPr>
                <w:rFonts w:ascii="Calibri" w:hAnsi="Calibri" w:eastAsia="宋体"/>
                <w:b w:val="0"/>
                <w:sz w:val="21"/>
              </w:rPr>
              <w:t>12.006</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3</w:t>
            </w:r>
          </w:p>
        </w:tc>
        <w:tc>
          <w:tcPr>
            <w:tcW w:type="dxa" w:w="3456"/>
            <w:tcMar>
              <w:top w:w="80" w:type="dxa"/>
              <w:bottom w:w="80" w:type="dxa"/>
              <w:start w:w="120" w:type="dxa"/>
              <w:end w:w="120" w:type="dxa"/>
            </w:tcMar>
          </w:tcPr>
          <w:p>
            <w:pPr>
              <w:spacing w:before="40" w:after="40"/>
              <w:jc w:val="left"/>
            </w:pPr>
            <w:r/>
            <w:r>
              <w:rPr>
                <w:rFonts w:ascii="Calibri" w:hAnsi="Calibri" w:eastAsia="宋体"/>
                <w:b w:val="0"/>
                <w:sz w:val="21"/>
              </w:rPr>
              <w:t>FY00, FY01, FY02, FY03</w:t>
            </w:r>
          </w:p>
        </w:tc>
        <w:tc>
          <w:tcPr>
            <w:tcW w:type="dxa" w:w="2592"/>
            <w:tcMar>
              <w:top w:w="80" w:type="dxa"/>
              <w:bottom w:w="80" w:type="dxa"/>
              <w:start w:w="120" w:type="dxa"/>
              <w:end w:w="120" w:type="dxa"/>
            </w:tcMar>
          </w:tcPr>
          <w:p>
            <w:pPr>
              <w:spacing w:before="40" w:after="40"/>
              <w:jc w:val="center"/>
            </w:pPr>
            <w:r/>
            <w:r>
              <w:rPr>
                <w:rFonts w:ascii="Calibri" w:hAnsi="Calibri" w:eastAsia="宋体"/>
                <w:b w:val="0"/>
                <w:sz w:val="21"/>
              </w:rPr>
              <w:t>FY04—FY09</w:t>
            </w:r>
          </w:p>
        </w:tc>
        <w:tc>
          <w:tcPr>
            <w:tcW w:type="dxa" w:w="2304"/>
            <w:tcMar>
              <w:top w:w="80" w:type="dxa"/>
              <w:bottom w:w="80" w:type="dxa"/>
              <w:start w:w="120" w:type="dxa"/>
              <w:end w:w="120" w:type="dxa"/>
            </w:tcMar>
          </w:tcPr>
          <w:p>
            <w:pPr>
              <w:spacing w:before="40" w:after="40"/>
              <w:jc w:val="center"/>
            </w:pPr>
            <w:r/>
            <w:r>
              <w:rPr>
                <w:rFonts w:ascii="Calibri" w:hAnsi="Calibri" w:eastAsia="宋体"/>
                <w:b w:val="0"/>
                <w:sz w:val="21"/>
              </w:rPr>
              <w:t>0</w:t>
            </w:r>
          </w:p>
        </w:tc>
      </w:tr>
    </w:tbl>
    <w:p>
      <w:pPr>
        <w:spacing w:before="80" w:after="160"/>
        <w:jc w:val="center"/>
      </w:pPr>
      <w:r>
        <w:rPr>
          <w:rFonts w:ascii="Calibri" w:hAnsi="Calibri" w:eastAsia="宋体"/>
          <w:b w:val="0"/>
          <w:sz w:val="20"/>
        </w:rPr>
        <w:t>表 3  问题一(3)极坐标调整方案与位移</w:t>
      </w:r>
    </w:p>
    <w:tbl>
      <w:tblPr>
        <w:tblStyle w:val="TableGrid"/>
        <w:tblW w:type="dxa" w:w="9360"/>
        <w:jc w:val="left"/>
        <w:tblLayout w:type="fixed"/>
        <w:tblLook w:firstColumn="1" w:firstRow="1" w:lastColumn="0" w:lastRow="0" w:noHBand="0" w:noVBand="1" w:val="04A0"/>
        <w:tblInd w:type="dxa" w:w="120"/>
      </w:tblPr>
      <w:tblGrid>
        <w:gridCol w:w="1221"/>
        <w:gridCol w:w="1017"/>
        <w:gridCol w:w="1017"/>
        <w:gridCol w:w="1017"/>
        <w:gridCol w:w="1017"/>
        <w:gridCol w:w="1017"/>
        <w:gridCol w:w="1017"/>
        <w:gridCol w:w="1017"/>
        <w:gridCol w:w="1020"/>
      </w:tblGrid>
      <w:tr>
        <w:trPr/>
        <w:tc>
          <w:tcPr>
            <w:tcW w:type="dxa" w:w="1221"/>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无人机</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FY02</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FY03</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FY04</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FY05</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FY06</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FY07</w:t>
            </w:r>
          </w:p>
        </w:tc>
        <w:tc>
          <w:tcPr>
            <w:tcW w:type="dxa" w:w="1017"/>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FY08</w:t>
            </w:r>
          </w:p>
        </w:tc>
        <w:tc>
          <w:tcPr>
            <w:tcW w:type="dxa" w:w="102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FY09</w:t>
            </w:r>
          </w:p>
        </w:tc>
      </w:tr>
      <w:tr>
        <w:trPr/>
        <w:tc>
          <w:tcPr>
            <w:tcW w:type="dxa" w:w="1221"/>
            <w:tcMar>
              <w:top w:w="80" w:type="dxa"/>
              <w:bottom w:w="80" w:type="dxa"/>
              <w:start w:w="120" w:type="dxa"/>
              <w:end w:w="120" w:type="dxa"/>
            </w:tcMar>
          </w:tcPr>
          <w:p>
            <w:pPr>
              <w:spacing w:before="40" w:after="40"/>
              <w:jc w:val="left"/>
            </w:pPr>
            <w:r/>
            <w:r>
              <w:rPr>
                <w:rFonts w:ascii="Calibri" w:hAnsi="Calibri" w:eastAsia="宋体"/>
                <w:b w:val="0"/>
                <w:sz w:val="21"/>
              </w:rPr>
              <w:t>位移 / m</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2.007</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12.006</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5.020</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2.015</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12.000</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5.002</w:t>
            </w:r>
          </w:p>
        </w:tc>
        <w:tc>
          <w:tcPr>
            <w:tcW w:type="dxa" w:w="1017"/>
            <w:tcMar>
              <w:top w:w="80" w:type="dxa"/>
              <w:bottom w:w="80" w:type="dxa"/>
              <w:start w:w="120" w:type="dxa"/>
              <w:end w:w="120" w:type="dxa"/>
            </w:tcMar>
          </w:tcPr>
          <w:p>
            <w:pPr>
              <w:spacing w:before="40" w:after="40"/>
              <w:jc w:val="center"/>
            </w:pPr>
            <w:r/>
            <w:r>
              <w:rPr>
                <w:rFonts w:ascii="Calibri" w:hAnsi="Calibri" w:eastAsia="宋体"/>
                <w:b w:val="0"/>
                <w:sz w:val="21"/>
              </w:rPr>
              <w:t>2.021</w:t>
            </w:r>
          </w:p>
        </w:tc>
        <w:tc>
          <w:tcPr>
            <w:tcW w:type="dxa" w:w="1020"/>
            <w:tcMar>
              <w:top w:w="80" w:type="dxa"/>
              <w:bottom w:w="80" w:type="dxa"/>
              <w:start w:w="120" w:type="dxa"/>
              <w:end w:w="120" w:type="dxa"/>
            </w:tcMar>
          </w:tcPr>
          <w:p>
            <w:pPr>
              <w:spacing w:before="40" w:after="40"/>
              <w:jc w:val="center"/>
            </w:pPr>
            <w:r/>
            <w:r>
              <w:rPr>
                <w:rFonts w:ascii="Calibri" w:hAnsi="Calibri" w:eastAsia="宋体"/>
                <w:b w:val="0"/>
                <w:sz w:val="21"/>
              </w:rPr>
              <w:t>12.011</w:t>
            </w:r>
          </w:p>
        </w:tc>
      </w:tr>
    </w:tbl>
    <w:p>
      <w:pPr>
        <w:spacing w:before="80" w:after="160"/>
        <w:jc w:val="center"/>
      </w:pPr>
      <w:r>
        <w:rPr>
          <w:rFonts w:ascii="Calibri" w:hAnsi="Calibri" w:eastAsia="宋体"/>
          <w:b w:val="0"/>
          <w:sz w:val="20"/>
        </w:rPr>
        <w:t>表 4  各无人机调整位移</w:t>
      </w:r>
    </w:p>
    <w:p>
      <w:pPr>
        <w:spacing w:before="0" w:after="160" w:line="320" w:lineRule="auto"/>
        <w:jc w:val="both"/>
      </w:pPr>
      <w:r>
        <w:rPr>
          <w:rFonts w:ascii="Calibri" w:hAnsi="Calibri" w:eastAsia="宋体"/>
          <w:b w:val="0"/>
          <w:sz w:val="22"/>
        </w:rPr>
        <w:t>调整完成后，9 架无人机均匀分布在半径 100 m 的圆周上，相邻编号角度间隔为 40°，最终最大位置误差低于 10⁻⁶ m。</w:t>
      </w:r>
    </w:p>
    <w:p>
      <w:pPr>
        <w:spacing w:before="80" w:after="40"/>
        <w:jc w:val="center"/>
      </w:pPr>
      <w:r>
        <w:drawing>
          <wp:inline xmlns:a="http://schemas.openxmlformats.org/drawingml/2006/main" xmlns:pic="http://schemas.openxmlformats.org/drawingml/2006/picture">
            <wp:extent cx="4389120" cy="3860431"/>
            <wp:docPr id="2" name="Picture 2"/>
            <wp:cNvGraphicFramePr>
              <a:graphicFrameLocks noChangeAspect="1"/>
            </wp:cNvGraphicFramePr>
            <a:graphic>
              <a:graphicData uri="http://schemas.openxmlformats.org/drawingml/2006/picture">
                <pic:pic>
                  <pic:nvPicPr>
                    <pic:cNvPr id="0" name="fig2_circle_formation.png"/>
                    <pic:cNvPicPr/>
                  </pic:nvPicPr>
                  <pic:blipFill>
                    <a:blip r:embed="rId10"/>
                    <a:stretch>
                      <a:fillRect/>
                    </a:stretch>
                  </pic:blipFill>
                  <pic:spPr>
                    <a:xfrm>
                      <a:off x="0" y="0"/>
                      <a:ext cx="4389120" cy="3860431"/>
                    </a:xfrm>
                    <a:prstGeom prst="rect"/>
                  </pic:spPr>
                </pic:pic>
              </a:graphicData>
            </a:graphic>
          </wp:inline>
        </w:drawing>
      </w:r>
    </w:p>
    <w:p>
      <w:pPr>
        <w:spacing w:before="80" w:after="160"/>
        <w:jc w:val="center"/>
      </w:pPr>
      <w:r>
        <w:rPr>
          <w:rFonts w:ascii="Calibri" w:hAnsi="Calibri" w:eastAsia="宋体"/>
          <w:b w:val="0"/>
          <w:sz w:val="20"/>
        </w:rPr>
        <w:t>图 2  圆形编队初始位置与理想位置</w:t>
      </w:r>
    </w:p>
    <w:p>
      <w:pPr>
        <w:spacing w:before="80" w:after="40"/>
        <w:jc w:val="center"/>
      </w:pPr>
      <w:r>
        <w:drawing>
          <wp:inline xmlns:a="http://schemas.openxmlformats.org/drawingml/2006/main" xmlns:pic="http://schemas.openxmlformats.org/drawingml/2006/picture">
            <wp:extent cx="5943600" cy="2082617"/>
            <wp:docPr id="3" name="Picture 3"/>
            <wp:cNvGraphicFramePr>
              <a:graphicFrameLocks noChangeAspect="1"/>
            </wp:cNvGraphicFramePr>
            <a:graphic>
              <a:graphicData uri="http://schemas.openxmlformats.org/drawingml/2006/picture">
                <pic:pic>
                  <pic:nvPicPr>
                    <pic:cNvPr id="0" name="fig3_adjustment_rounds.png"/>
                    <pic:cNvPicPr/>
                  </pic:nvPicPr>
                  <pic:blipFill>
                    <a:blip r:embed="rId11"/>
                    <a:stretch>
                      <a:fillRect/>
                    </a:stretch>
                  </pic:blipFill>
                  <pic:spPr>
                    <a:xfrm>
                      <a:off x="0" y="0"/>
                      <a:ext cx="5943600" cy="2082617"/>
                    </a:xfrm>
                    <a:prstGeom prst="rect"/>
                  </pic:spPr>
                </pic:pic>
              </a:graphicData>
            </a:graphic>
          </wp:inline>
        </w:drawing>
      </w:r>
    </w:p>
    <w:p>
      <w:pPr>
        <w:spacing w:before="80" w:after="160"/>
        <w:jc w:val="center"/>
      </w:pPr>
      <w:r>
        <w:rPr>
          <w:rFonts w:ascii="Calibri" w:hAnsi="Calibri" w:eastAsia="宋体"/>
          <w:b w:val="0"/>
          <w:sz w:val="20"/>
        </w:rPr>
        <w:t>图 3  问题一(3)迭代调整过程</w:t>
      </w:r>
    </w:p>
    <w:p>
      <w:pPr>
        <w:pStyle w:val="Heading1"/>
        <w:spacing w:before="360" w:after="200"/>
      </w:pPr>
      <w:r>
        <w:rPr>
          <w:rFonts w:ascii="Calibri" w:hAnsi="Calibri" w:eastAsia="黑体"/>
          <w:b/>
          <w:color w:val="2E74B5"/>
          <w:sz w:val="32"/>
        </w:rPr>
        <w:t>六、问题二：一般队形与锥形编队调整</w:t>
      </w:r>
    </w:p>
    <w:p>
      <w:pPr>
        <w:pStyle w:val="Heading2"/>
        <w:spacing w:before="240" w:after="120"/>
      </w:pPr>
      <w:r>
        <w:rPr>
          <w:rFonts w:ascii="Calibri" w:hAnsi="Calibri" w:eastAsia="黑体"/>
          <w:b/>
          <w:color w:val="2E74B5"/>
          <w:sz w:val="26"/>
        </w:rPr>
        <w:t>6.1 一般队形定位与调整框架</w:t>
      </w:r>
    </w:p>
    <w:p>
      <w:pPr>
        <w:spacing w:before="0" w:after="160" w:line="320" w:lineRule="auto"/>
        <w:jc w:val="both"/>
      </w:pPr>
      <w:r>
        <w:rPr>
          <w:rFonts w:ascii="Calibri" w:hAnsi="Calibri" w:eastAsia="宋体"/>
          <w:b w:val="0"/>
          <w:sz w:val="22"/>
        </w:rPr>
        <w:t>设理想队形模板为 G={G_0,G_1,…,G_n}，其中 G_0 为参考原点。任意队形下极坐标距离、点积和最小二乘定位模型仍然成立，只需把发射机与接收机统一转换为相对参考点的极坐标。调整算法同样采用“选择锚点、定位接收机、移动到模板位置、逐轮收敛”的策略。</w:t>
      </w:r>
    </w:p>
    <w:p>
      <w:pPr>
        <w:pStyle w:val="Heading2"/>
        <w:spacing w:before="240" w:after="120"/>
      </w:pPr>
      <w:r>
        <w:rPr>
          <w:rFonts w:ascii="Calibri" w:hAnsi="Calibri" w:eastAsia="黑体"/>
          <w:b/>
          <w:color w:val="2E74B5"/>
          <w:sz w:val="26"/>
        </w:rPr>
        <w:t>6.2 锥形编队示例</w:t>
      </w:r>
    </w:p>
    <w:p>
      <w:pPr>
        <w:spacing w:before="0" w:after="160" w:line="320" w:lineRule="auto"/>
        <w:jc w:val="both"/>
      </w:pPr>
      <w:r>
        <w:rPr>
          <w:rFonts w:ascii="Calibri" w:hAnsi="Calibri" w:eastAsia="宋体"/>
          <w:b w:val="0"/>
          <w:sz w:val="22"/>
        </w:rPr>
        <w:t>以 6 架无人机组成锥形编队为例，取相邻行间距为 50 m、横向间隔为 50 m。第 1 轮以 G_0、G_1、G_2 为发射机校正 G_3、G_4、G_5；第 2 轮以已完成校正的 G_3、G_4、G_5 为锚点校正 G_1、G_2。仿真结果见表 5，示例中单步最大位移为 3.601 m，最终最大位置误差低于 10⁻⁶ m。</w:t>
      </w:r>
    </w:p>
    <w:tbl>
      <w:tblPr>
        <w:tblStyle w:val="TableGrid"/>
        <w:tblW w:type="dxa" w:w="9360"/>
        <w:jc w:val="left"/>
        <w:tblLayout w:type="fixed"/>
        <w:tblLook w:firstColumn="1" w:firstRow="1" w:lastColumn="0" w:lastRow="0" w:noHBand="0" w:noVBand="1" w:val="04A0"/>
        <w:tblInd w:type="dxa" w:w="120"/>
      </w:tblPr>
      <w:tblGrid>
        <w:gridCol w:w="1008"/>
        <w:gridCol w:w="2880"/>
        <w:gridCol w:w="2736"/>
        <w:gridCol w:w="2736"/>
      </w:tblGrid>
      <w:tr>
        <w:trPr/>
        <w:tc>
          <w:tcPr>
            <w:tcW w:type="dxa" w:w="1008"/>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轮次</w:t>
            </w:r>
          </w:p>
        </w:tc>
        <w:tc>
          <w:tcPr>
            <w:tcW w:type="dxa" w:w="2880"/>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校正无人机</w:t>
            </w:r>
          </w:p>
        </w:tc>
        <w:tc>
          <w:tcPr>
            <w:tcW w:type="dxa" w:w="273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单步最大位移 / m</w:t>
            </w:r>
          </w:p>
        </w:tc>
        <w:tc>
          <w:tcPr>
            <w:tcW w:type="dxa" w:w="2736"/>
            <w:shd w:val="clear" w:color="auto" w:fill="F2F4F7"/>
            <w:tcMar>
              <w:top w:w="80" w:type="dxa"/>
              <w:bottom w:w="80" w:type="dxa"/>
              <w:start w:w="120" w:type="dxa"/>
              <w:end w:w="120" w:type="dxa"/>
            </w:tcMar>
          </w:tcPr>
          <w:p>
            <w:pPr>
              <w:spacing w:before="40" w:after="40"/>
              <w:jc w:val="center"/>
            </w:pPr>
            <w:r/>
            <w:r>
              <w:rPr>
                <w:rFonts w:ascii="Calibri" w:hAnsi="Calibri" w:eastAsia="宋体"/>
                <w:b/>
                <w:sz w:val="21"/>
              </w:rPr>
              <w:t>轮后最大误差 / m</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1</w:t>
            </w:r>
          </w:p>
        </w:tc>
        <w:tc>
          <w:tcPr>
            <w:tcW w:type="dxa" w:w="2880"/>
            <w:tcMar>
              <w:top w:w="80" w:type="dxa"/>
              <w:bottom w:w="80" w:type="dxa"/>
              <w:start w:w="120" w:type="dxa"/>
              <w:end w:w="120" w:type="dxa"/>
            </w:tcMar>
          </w:tcPr>
          <w:p>
            <w:pPr>
              <w:spacing w:before="40" w:after="40"/>
              <w:jc w:val="left"/>
            </w:pPr>
            <w:r/>
            <w:r>
              <w:rPr>
                <w:rFonts w:ascii="Calibri" w:hAnsi="Calibri" w:eastAsia="宋体"/>
                <w:b w:val="0"/>
                <w:sz w:val="21"/>
              </w:rPr>
              <w:t>G_3, G_4, G_5</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3.601</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&lt;10⁻⁶</w:t>
            </w:r>
          </w:p>
        </w:tc>
      </w:tr>
      <w:tr>
        <w:trPr/>
        <w:tc>
          <w:tcPr>
            <w:tcW w:type="dxa" w:w="1008"/>
            <w:tcMar>
              <w:top w:w="80" w:type="dxa"/>
              <w:bottom w:w="80" w:type="dxa"/>
              <w:start w:w="120" w:type="dxa"/>
              <w:end w:w="120" w:type="dxa"/>
            </w:tcMar>
          </w:tcPr>
          <w:p>
            <w:pPr>
              <w:spacing w:before="40" w:after="40"/>
              <w:jc w:val="left"/>
            </w:pPr>
            <w:r/>
            <w:r>
              <w:rPr>
                <w:rFonts w:ascii="Calibri" w:hAnsi="Calibri" w:eastAsia="宋体"/>
                <w:b w:val="0"/>
                <w:sz w:val="21"/>
              </w:rPr>
              <w:t>2</w:t>
            </w:r>
          </w:p>
        </w:tc>
        <w:tc>
          <w:tcPr>
            <w:tcW w:type="dxa" w:w="2880"/>
            <w:tcMar>
              <w:top w:w="80" w:type="dxa"/>
              <w:bottom w:w="80" w:type="dxa"/>
              <w:start w:w="120" w:type="dxa"/>
              <w:end w:w="120" w:type="dxa"/>
            </w:tcMar>
          </w:tcPr>
          <w:p>
            <w:pPr>
              <w:spacing w:before="40" w:after="40"/>
              <w:jc w:val="center"/>
            </w:pPr>
            <w:r/>
            <w:r>
              <w:rPr>
                <w:rFonts w:ascii="Calibri" w:hAnsi="Calibri" w:eastAsia="宋体"/>
                <w:b w:val="0"/>
                <w:sz w:val="21"/>
              </w:rPr>
              <w:t>G_1, G_2</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2.720</w:t>
            </w:r>
          </w:p>
        </w:tc>
        <w:tc>
          <w:tcPr>
            <w:tcW w:type="dxa" w:w="2736"/>
            <w:tcMar>
              <w:top w:w="80" w:type="dxa"/>
              <w:bottom w:w="80" w:type="dxa"/>
              <w:start w:w="120" w:type="dxa"/>
              <w:end w:w="120" w:type="dxa"/>
            </w:tcMar>
          </w:tcPr>
          <w:p>
            <w:pPr>
              <w:spacing w:before="40" w:after="40"/>
              <w:jc w:val="center"/>
            </w:pPr>
            <w:r/>
            <w:r>
              <w:rPr>
                <w:rFonts w:ascii="Calibri" w:hAnsi="Calibri" w:eastAsia="宋体"/>
                <w:b w:val="0"/>
                <w:sz w:val="21"/>
              </w:rPr>
              <w:t>&lt;10⁻⁶</w:t>
            </w:r>
          </w:p>
        </w:tc>
      </w:tr>
    </w:tbl>
    <w:p>
      <w:pPr>
        <w:spacing w:before="80" w:after="160"/>
        <w:jc w:val="center"/>
      </w:pPr>
      <w:r>
        <w:rPr>
          <w:rFonts w:ascii="Calibri" w:hAnsi="Calibri" w:eastAsia="宋体"/>
          <w:b w:val="0"/>
          <w:sz w:val="20"/>
        </w:rPr>
        <w:t>表 5  锥形编队两轮调整结果</w:t>
      </w:r>
    </w:p>
    <w:p>
      <w:pPr>
        <w:spacing w:before="80" w:after="40"/>
        <w:jc w:val="center"/>
      </w:pPr>
      <w:r>
        <w:drawing>
          <wp:inline xmlns:a="http://schemas.openxmlformats.org/drawingml/2006/main" xmlns:pic="http://schemas.openxmlformats.org/drawingml/2006/picture">
            <wp:extent cx="4389120" cy="5324414"/>
            <wp:docPr id="4" name="Picture 4"/>
            <wp:cNvGraphicFramePr>
              <a:graphicFrameLocks noChangeAspect="1"/>
            </wp:cNvGraphicFramePr>
            <a:graphic>
              <a:graphicData uri="http://schemas.openxmlformats.org/drawingml/2006/picture">
                <pic:pic>
                  <pic:nvPicPr>
                    <pic:cNvPr id="0" name="fig4_cone.png"/>
                    <pic:cNvPicPr/>
                  </pic:nvPicPr>
                  <pic:blipFill>
                    <a:blip r:embed="rId12"/>
                    <a:stretch>
                      <a:fillRect/>
                    </a:stretch>
                  </pic:blipFill>
                  <pic:spPr>
                    <a:xfrm>
                      <a:off x="0" y="0"/>
                      <a:ext cx="4389120" cy="5324414"/>
                    </a:xfrm>
                    <a:prstGeom prst="rect"/>
                  </pic:spPr>
                </pic:pic>
              </a:graphicData>
            </a:graphic>
          </wp:inline>
        </w:drawing>
      </w:r>
    </w:p>
    <w:p>
      <w:pPr>
        <w:spacing w:before="80" w:after="160"/>
        <w:jc w:val="center"/>
      </w:pPr>
      <w:r>
        <w:rPr>
          <w:rFonts w:ascii="Calibri" w:hAnsi="Calibri" w:eastAsia="宋体"/>
          <w:b w:val="0"/>
          <w:sz w:val="20"/>
        </w:rPr>
        <w:t>图 4  锥形编队模板与位置调整</w:t>
      </w:r>
    </w:p>
    <w:p>
      <w:pPr>
        <w:pStyle w:val="Heading1"/>
        <w:spacing w:before="360" w:after="200"/>
      </w:pPr>
      <w:r>
        <w:rPr>
          <w:rFonts w:ascii="Calibri" w:hAnsi="Calibri" w:eastAsia="黑体"/>
          <w:b/>
          <w:color w:val="2E74B5"/>
          <w:sz w:val="32"/>
        </w:rPr>
        <w:t>七、模型评价与改进</w:t>
      </w:r>
    </w:p>
    <w:p>
      <w:pPr>
        <w:pStyle w:val="Heading2"/>
        <w:spacing w:before="240" w:after="120"/>
      </w:pPr>
      <w:r>
        <w:rPr>
          <w:rFonts w:ascii="Calibri" w:hAnsi="Calibri" w:eastAsia="黑体"/>
          <w:b/>
          <w:color w:val="2E74B5"/>
          <w:sz w:val="26"/>
        </w:rPr>
        <w:t>7.1 优点</w:t>
      </w:r>
    </w:p>
    <w:p>
      <w:pPr>
        <w:pStyle w:val="ListNumber"/>
      </w:pPr>
      <w:r>
        <w:t>极坐标形式直观分离径向误差和角度误差，便于无人机按“半径—方位”进行调整；</w:t>
      </w:r>
    </w:p>
    <w:p>
      <w:pPr>
        <w:pStyle w:val="ListNumber"/>
      </w:pPr>
      <w:r>
        <w:t>仅利用方向夹角即可完成定位，不依赖 GPS、测距或绝对位置测量，符合电磁静默要求；</w:t>
      </w:r>
    </w:p>
    <w:p>
      <w:pPr>
        <w:pStyle w:val="ListNumber"/>
      </w:pPr>
      <w:r>
        <w:t>最小二乘模型形式统一，适用于圆形、锥形及其他任意二维队形；</w:t>
      </w:r>
    </w:p>
    <w:p>
      <w:pPr>
        <w:pStyle w:val="ListNumber"/>
      </w:pPr>
      <w:r>
        <w:t>迭代调整方案可逐步扩大已校正锚点集合，计算量小、易于在线执行。</w:t>
      </w:r>
    </w:p>
    <w:p>
      <w:pPr>
        <w:pStyle w:val="Heading2"/>
        <w:spacing w:before="240" w:after="120"/>
      </w:pPr>
      <w:r>
        <w:rPr>
          <w:rFonts w:ascii="Calibri" w:hAnsi="Calibri" w:eastAsia="黑体"/>
          <w:b/>
          <w:color w:val="2E74B5"/>
          <w:sz w:val="26"/>
        </w:rPr>
        <w:t>7.2 不足与改进</w:t>
      </w:r>
    </w:p>
    <w:p>
      <w:pPr>
        <w:pStyle w:val="ListNumber"/>
      </w:pPr>
      <w:r>
        <w:t>本文在标称数据下验证，实际中夹角存在噪声，可进一步引入加权最小二乘或卡尔曼滤波；</w:t>
      </w:r>
    </w:p>
    <w:p>
      <w:pPr>
        <w:pStyle w:val="ListNumber"/>
      </w:pPr>
      <w:r>
        <w:t>当接收机与某对发射机接近共线时，几何构型较弱，可在选择发射机时加入构型优度准则；</w:t>
      </w:r>
    </w:p>
    <w:p>
      <w:pPr>
        <w:pStyle w:val="ListNumber"/>
      </w:pPr>
      <w:r>
        <w:t>尚未考虑飞行约束、避碰和通信时延，后续可加入路径规划与分布式协同。</w:t>
      </w:r>
    </w:p>
    <w:p>
      <w:pPr>
        <w:pStyle w:val="Heading1"/>
        <w:spacing w:before="360" w:after="200"/>
      </w:pPr>
      <w:r>
        <w:rPr>
          <w:rFonts w:ascii="Calibri" w:hAnsi="Calibri" w:eastAsia="黑体"/>
          <w:b/>
          <w:color w:val="2E74B5"/>
          <w:sz w:val="32"/>
        </w:rPr>
        <w:t>附录：程序说明</w:t>
      </w:r>
    </w:p>
    <w:p>
      <w:pPr>
        <w:spacing w:before="0" w:after="160" w:line="320" w:lineRule="auto"/>
        <w:jc w:val="both"/>
      </w:pPr>
      <w:r>
        <w:rPr>
          <w:rFonts w:ascii="Calibri" w:hAnsi="Calibri" w:eastAsia="宋体"/>
          <w:b w:val="0"/>
          <w:sz w:val="22"/>
        </w:rPr>
        <w:t>本文完整求解代码见随附文件“代码/solve_problemB.py”。程序内部使用直角坐标实现数值求解，但数学模型的建立、推导和调整过程均采用本文给出的极坐标形式；两者通过 x=r cos θ、y=r sin θ 相互等价。主要功能包括：</w:t>
      </w:r>
    </w:p>
    <w:p>
      <w:pPr>
        <w:pStyle w:val="ListBullet"/>
      </w:pPr>
      <w:r>
        <w:t>pol2cart、cart2pol：极坐标与直角坐标转换；</w:t>
      </w:r>
    </w:p>
    <w:p>
      <w:pPr>
        <w:pStyle w:val="ListBullet"/>
      </w:pPr>
      <w:r>
        <w:t>all_pair_angles：计算接收机与所有发射机对的夹角；</w:t>
      </w:r>
    </w:p>
    <w:p>
      <w:pPr>
        <w:pStyle w:val="ListBullet"/>
      </w:pPr>
      <w:r>
        <w:t>localize：基于 Levenberg-Marquardt 最小二乘的定位函数；</w:t>
      </w:r>
    </w:p>
    <w:p>
      <w:pPr>
        <w:pStyle w:val="ListBullet"/>
      </w:pPr>
      <w:r>
        <w:t>solve_q1_2：问题一(2)的组合枚举辨识；</w:t>
      </w:r>
    </w:p>
    <w:p>
      <w:pPr>
        <w:pStyle w:val="ListBullet"/>
      </w:pPr>
      <w:r>
        <w:t>q1_3_rounds：问题一(3)的多轮调整方案；</w:t>
      </w:r>
    </w:p>
    <w:p>
      <w:pPr>
        <w:pStyle w:val="ListBullet"/>
      </w:pPr>
      <w:r>
        <w:t>solve_q2：问题二的锥形编队调整示例。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