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left"/>
      </w:pPr>
      <w:r>
        <w:rPr>
          <w:rFonts w:ascii="Arial" w:cs="Arial" w:eastAsia="Arial" w:hAnsi="Arial"/>
          <w:b/>
          <w:bCs/>
          <w:color w:val="9CA3AF"/>
          <w:sz w:val="18"/>
          <w:szCs w:val="18"/>
        </w:rPr>
        <w:t xml:space="preserve">CONFIDENTIAL — ENGAGEMENT DOCUMENT</w:t>
      </w:r>
    </w:p>
    <w:p>
      <w:pPr>
        <w:spacing w:after="80"/>
        <w:jc w:val="left"/>
      </w:pPr>
      <w:r>
        <w:rPr>
          <w:rFonts w:ascii="Arial" w:cs="Arial" w:eastAsia="Arial" w:hAnsi="Arial"/>
          <w:b/>
          <w:bCs/>
          <w:color w:val="1E3A5F"/>
          <w:sz w:val="48"/>
          <w:szCs w:val="48"/>
        </w:rPr>
        <w:t xml:space="preserve">PeopleSignal · AI Workforce Intelligence</w:t>
      </w:r>
    </w:p>
    <w:p>
      <w:pPr>
        <w:spacing w:after="60"/>
        <w:jc w:val="left"/>
      </w:pPr>
      <w:r>
        <w:rPr>
          <w:rFonts w:ascii="Arial" w:cs="Arial" w:eastAsia="Arial" w:hAnsi="Arial"/>
          <w:color w:val="2563EB"/>
          <w:sz w:val="28"/>
          <w:szCs w:val="28"/>
        </w:rPr>
        <w:t xml:space="preserve">Medika Nusantara — Product Strategy &amp; 90-Day Delivery Plan</w:t>
      </w:r>
    </w:p>
    <w:p>
      <w:pPr>
        <w:spacing w:after="80"/>
      </w:pPr>
      <w:r>
        <w:t xml:space="preserve"/>
      </w:r>
    </w:p>
    <w:p>
      <w:pPr>
        <w:pBdr>
          <w:top w:val="single" w:color="2563EB" w:sz="16" w:space="0"/>
        </w:pBdr>
        <w:spacing w:after="80"/>
      </w:pPr>
      <w:r>
        <w:t xml:space="preserve"/>
      </w:r>
    </w:p>
    <w:p>
      <w:pPr>
        <w:spacing w:after="80"/>
      </w:pPr>
      <w:r>
        <w:t xml:space="preserve"/>
      </w:r>
    </w:p>
    <w:p>
      <w:pPr>
        <w:spacing w:after="80"/>
      </w:pPr>
      <w:r>
        <w:rPr>
          <w:rFonts w:ascii="Arial" w:cs="Arial" w:eastAsia="Arial" w:hAnsi="Arial"/>
          <w:b/>
          <w:bCs/>
          <w:color w:val="1E3A5F"/>
          <w:sz w:val="22"/>
          <w:szCs w:val="22"/>
        </w:rPr>
        <w:t xml:space="preserve">Prepared by: </w:t>
      </w:r>
      <w:r>
        <w:rPr>
          <w:rFonts w:ascii="Arial" w:cs="Arial" w:eastAsia="Arial" w:hAnsi="Arial"/>
          <w:color w:val="0F172A"/>
          <w:sz w:val="22"/>
          <w:szCs w:val="22"/>
        </w:rPr>
        <w:t xml:space="preserve">Rakamin Product Team · PM Lead</w:t>
      </w:r>
    </w:p>
    <w:p>
      <w:pPr>
        <w:spacing w:after="80"/>
      </w:pPr>
      <w:r>
        <w:rPr>
          <w:rFonts w:ascii="Arial" w:cs="Arial" w:eastAsia="Arial" w:hAnsi="Arial"/>
          <w:b/>
          <w:bCs/>
          <w:color w:val="1E3A5F"/>
          <w:sz w:val="22"/>
          <w:szCs w:val="22"/>
        </w:rPr>
        <w:t xml:space="preserve">Client: </w:t>
      </w:r>
      <w:r>
        <w:rPr>
          <w:rFonts w:ascii="Arial" w:cs="Arial" w:eastAsia="Arial" w:hAnsi="Arial"/>
          <w:color w:val="0F172A"/>
          <w:sz w:val="22"/>
          <w:szCs w:val="22"/>
        </w:rPr>
        <w:t xml:space="preserve">Medika Nusantara — CHRO Office</w:t>
      </w:r>
    </w:p>
    <w:p>
      <w:pPr>
        <w:spacing w:after="80"/>
      </w:pPr>
      <w:r>
        <w:rPr>
          <w:rFonts w:ascii="Arial" w:cs="Arial" w:eastAsia="Arial" w:hAnsi="Arial"/>
          <w:b/>
          <w:bCs/>
          <w:color w:val="1E3A5F"/>
          <w:sz w:val="22"/>
          <w:szCs w:val="22"/>
        </w:rPr>
        <w:t xml:space="preserve">Engagement Budget: </w:t>
      </w:r>
      <w:r>
        <w:rPr>
          <w:rFonts w:ascii="Arial" w:cs="Arial" w:eastAsia="Arial" w:hAnsi="Arial"/>
          <w:color w:val="0F172A"/>
          <w:sz w:val="22"/>
          <w:szCs w:val="22"/>
        </w:rPr>
        <w:t xml:space="preserve">Rp 2.5B / 12 months</w:t>
      </w:r>
    </w:p>
    <w:p>
      <w:pPr>
        <w:spacing w:after="80"/>
      </w:pPr>
      <w:r>
        <w:rPr>
          <w:rFonts w:ascii="Arial" w:cs="Arial" w:eastAsia="Arial" w:hAnsi="Arial"/>
          <w:b/>
          <w:bCs/>
          <w:color w:val="1E3A5F"/>
          <w:sz w:val="22"/>
          <w:szCs w:val="22"/>
        </w:rPr>
        <w:t xml:space="preserve">Document Date: </w:t>
      </w:r>
      <w:r>
        <w:rPr>
          <w:rFonts w:ascii="Arial" w:cs="Arial" w:eastAsia="Arial" w:hAnsi="Arial"/>
          <w:color w:val="0F172A"/>
          <w:sz w:val="22"/>
          <w:szCs w:val="22"/>
        </w:rPr>
        <w:t xml:space="preserve">Day 1 of Engagement</w:t>
      </w:r>
    </w:p>
    <w:p>
      <w:pPr>
        <w:spacing w:after="80"/>
      </w:pPr>
      <w:r>
        <w:rPr>
          <w:rFonts w:ascii="Arial" w:cs="Arial" w:eastAsia="Arial" w:hAnsi="Arial"/>
          <w:b/>
          <w:bCs/>
          <w:color w:val="1E3A5F"/>
          <w:sz w:val="22"/>
          <w:szCs w:val="22"/>
        </w:rPr>
        <w:t xml:space="preserve">First C-Suite Milestone: </w:t>
      </w:r>
      <w:r>
        <w:rPr>
          <w:rFonts w:ascii="Arial" w:cs="Arial" w:eastAsia="Arial" w:hAnsi="Arial"/>
          <w:color w:val="0F172A"/>
          <w:sz w:val="22"/>
          <w:szCs w:val="22"/>
        </w:rPr>
        <w:t xml:space="preserve">Day 90 Demo</w:t>
      </w:r>
    </w:p>
    <w:p>
      <w:pPr>
        <w:spacing w:after="40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The Core Argument</w:t>
            </w:r>
          </w:p>
          <w:p>
            <w:pPr>
              <w:spacing w:after="0"/>
            </w:pPr>
            <w:r>
              <w:rPr>
                <w:rFonts w:ascii="Arial" w:cs="Arial" w:eastAsia="Arial" w:hAnsi="Arial"/>
                <w:color w:val="0F172A"/>
                <w:sz w:val="20"/>
                <w:szCs w:val="20"/>
              </w:rPr>
              <w:t xml:space="preserve">Medika Nusantara does not have an AI problem. It has a data trust problem. The CEO's 'AI-driven workforce decisions' mandate cannot be fulfilled on data that is 40% incomplete, cross-system identity-unresolved, and inconsistently structured. Our 90-day PoC proves this — by building the data layer first, we unlock AI outputs that HR managers can actually act on. The platform we leave behind is a reusable asset for Rakamin's next 5 enterprise clients.</w:t>
            </w:r>
          </w:p>
        </w:tc>
      </w:tr>
    </w:tbl>
    <w:p>
      <w:pPr>
        <w:spacing w:after="120"/>
      </w:pPr>
      <w:r>
        <w:t xml:space="preserve"/>
      </w:r>
    </w:p>
    <w:p>
      <w:pPr>
        <w:spacing w:after="120"/>
      </w:pPr>
      <w:r>
        <w:rPr>
          <w:rFonts w:ascii="Arial" w:cs="Arial" w:eastAsia="Arial" w:hAnsi="Arial"/>
          <w:color w:val="0F172A"/>
          <w:sz w:val="22"/>
          <w:szCs w:val="22"/>
        </w:rPr>
        <w:t xml:space="preserve">This document covers six areas: Problem Discovery, Data Strategy, AI System Design, Product Design, 90-Day Roadmap, and Platform Strategy. It is the complete delivery brief for the Medika Nusantara engagement.</w:t>
      </w:r>
    </w:p>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Part A — Problem Discovery</w:t>
      </w:r>
    </w:p>
    <w:p>
      <w:pPr>
        <w:pStyle w:val="Heading2"/>
        <w:spacing w:after="120" w:before="320"/>
      </w:pPr>
      <w:r>
        <w:rPr>
          <w:rFonts w:ascii="Arial" w:cs="Arial" w:eastAsia="Arial" w:hAnsi="Arial"/>
          <w:b/>
          <w:bCs/>
          <w:color w:val="1E3A5F"/>
          <w:sz w:val="26"/>
          <w:szCs w:val="26"/>
        </w:rPr>
        <w:t xml:space="preserve">A1. What Problem Are We Actually Solving?</w:t>
      </w:r>
    </w:p>
    <w:p>
      <w:pPr>
        <w:spacing w:after="120"/>
      </w:pPr>
      <w:r>
        <w:rPr>
          <w:rFonts w:ascii="Arial" w:cs="Arial" w:eastAsia="Arial" w:hAnsi="Arial"/>
          <w:color w:val="0F172A"/>
          <w:sz w:val="22"/>
          <w:szCs w:val="22"/>
        </w:rPr>
        <w:t xml:space="preserve">The CHRO's brief — 'AI-driven workforce decisions' — is a capability goal, not a product problem. Before any model is built, we must choose what decision we are trying to improve, for whom, and with what data.</w:t>
      </w:r>
    </w:p>
    <w:p>
      <w:pPr>
        <w:spacing w:after="120"/>
      </w:pPr>
      <w:r>
        <w:rPr>
          <w:rFonts w:ascii="Arial" w:cs="Arial" w:eastAsia="Arial" w:hAnsi="Arial"/>
          <w:color w:val="0F172A"/>
          <w:sz w:val="22"/>
          <w:szCs w:val="22"/>
        </w:rPr>
        <w:t xml:space="preserve">Three candidate focus areas were evaluated: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00"/>
        <w:gridCol w:w="1800"/>
        <w:gridCol w:w="12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2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Availability</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Feasibility / Speed</w:t>
            </w:r>
          </w:p>
        </w:tc>
        <w:tc>
          <w:tcPr>
            <w:tcW w:type="dxa" w:w="1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Attrition Prediction</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 reduces replacement cost (est. 6–9x monthly salary per lost employee)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 — needs skills, tenure, performance, absence. 40% skills gap is a constraint.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 — model trainable in 6 weeks with imputation strategy</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SELECTED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Skill Gap Analysis</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 — enables targeted reskilling before obsolescence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 — 40% missing skills makes role-level taxonomy unreliable without inference layer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 as standalone, but feeds attrition model well as a feature</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SECONDARY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Internal Mobility</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 — reduces external hire cost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 — no shared employee IDs across HRIS and ATS, no structured career path data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 — requires identity resolution as a prerequisite</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DEFERRED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Workforce Planning / Obsolescence</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 strategically, but 2-year horizon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Very Low — no payroll data, inconsistent performance scales pre-2022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Very Low for 90-day PoC — better as Phase 2 after data foundation is built</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DEFERRED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pPr>
              <w:spacing w:after="60"/>
            </w:pPr>
            <w:r>
              <w:rPr>
                <w:rFonts w:ascii="Arial" w:cs="Arial" w:eastAsia="Arial" w:hAnsi="Arial"/>
                <w:b/>
                <w:bCs/>
                <w:color w:val="D97706"/>
                <w:sz w:val="22"/>
                <w:szCs w:val="22"/>
              </w:rPr>
              <w:t xml:space="preserve">Why Attrition Prediction?</w:t>
            </w:r>
          </w:p>
          <w:p>
            <w:pPr>
              <w:spacing w:after="0"/>
            </w:pPr>
            <w:r>
              <w:rPr>
                <w:rFonts w:ascii="Arial" w:cs="Arial" w:eastAsia="Arial" w:hAnsi="Arial"/>
                <w:color w:val="0F172A"/>
                <w:sz w:val="20"/>
                <w:szCs w:val="20"/>
              </w:rPr>
              <w:t xml:space="preserve">It has the clearest ROI narrative for C-suite, the most feasible data path given our constraints (works without payroll), and generates the data habits (skill tagging, performance normalization) that all other modules will need. It also produces a UI decision surface that HR managers can understand and act on without statistical training.</w:t>
            </w:r>
          </w:p>
        </w:tc>
      </w:tr>
    </w:tbl>
    <w:p>
      <w:pPr>
        <w:spacing w:after="120"/>
      </w:pPr>
      <w:r>
        <w:t xml:space="preserve"/>
      </w:r>
    </w:p>
    <w:p>
      <w:pPr>
        <w:pStyle w:val="Heading2"/>
        <w:spacing w:after="120" w:before="320"/>
      </w:pPr>
      <w:r>
        <w:rPr>
          <w:rFonts w:ascii="Arial" w:cs="Arial" w:eastAsia="Arial" w:hAnsi="Arial"/>
          <w:b/>
          <w:bCs/>
          <w:color w:val="1E3A5F"/>
          <w:sz w:val="26"/>
          <w:szCs w:val="26"/>
        </w:rPr>
        <w:t xml:space="preserve">A2. Critical Discovery Questions — First Two Weeks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500"/>
        <w:gridCol w:w="230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We Answer It</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What triggers an exit conversation today? How do managers currently identify flight risk?</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Tells us whether our model outputs will align with human mental models — critical for Day 75 calibration.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Structured interviews with 5-8 HR managers across 3 branches. Collect their informal heuristics.</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Is SuccessFactors the authoritative employee record, or does each branch maintain their own source of truth?</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Determines data ingestion architecture and conflict resolution logic.</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Technical session with IT + HR Ops. Map which fields are branch-entered vs. centrally managed.</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What does 'low adoption' mean for SuccessFactors? Which fields have the worst fill rates?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Directly determines which features our attrition model can use reliably.</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field-level null rate query on SuccessFactors (Day 3). Prioritize fields with &gt;60% fill.</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How are performance ratings conducted across branches, and on what scale?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Performance trajectory is a top attrition signal — if scales differ, we need normalization before use.</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Collect all distinct rating scales from branch HR leads. Map to a 1-5 unified scale.</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Can we get any payroll-adjacent data — e.g. grade band, allowance tier — without touching Oracle directly?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Compensation signals improve model accuracy. Legal blocked direct Oracle access, but band data may exist in SuccessFactors.</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Legal + IT session. Check if comp grade is replicated into HRIS already.</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What is the Workable ATS data coverage? How many employees have a complete ATS candidate record?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Determines how many employees can be identity-resolved across systems — affects confidence score distribution.</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ATS data extract. Compute match rate by department and location.</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Are there any recent voluntary exit surveys or offboarding data we can access?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Ground truth labels for model training. Without exit labels, we default to proxy signals only.</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HR records request. Even informal exit interview notes are valuable if structured.</w:t>
            </w:r>
          </w:p>
        </w:tc>
      </w:tr>
    </w:tbl>
    <w:p>
      <w:pPr>
        <w:spacing w:after="160"/>
      </w:pPr>
      <w:r>
        <w:t xml:space="preserve"/>
      </w:r>
    </w:p>
    <w:p>
      <w:pPr>
        <w:pStyle w:val="Heading2"/>
        <w:spacing w:after="120" w:before="320"/>
      </w:pPr>
      <w:r>
        <w:rPr>
          <w:rFonts w:ascii="Arial" w:cs="Arial" w:eastAsia="Arial" w:hAnsi="Arial"/>
          <w:b/>
          <w:bCs/>
          <w:color w:val="1E3A5F"/>
          <w:sz w:val="26"/>
          <w:szCs w:val="26"/>
        </w:rPr>
        <w:t xml:space="preserve">A3. What We Are NOT Solving in 90 Days</w:t>
      </w:r>
    </w:p>
    <w:p>
      <w:pPr>
        <w:spacing w:after="60"/>
      </w:pPr>
      <w:r>
        <w:t xml:space="preserve"/>
      </w:r>
    </w:p>
    <w:p>
      <w:pPr>
        <w:pStyle w:val="ListParagraph"/>
        <w:numPr>
          <w:ilvl w:val="0"/>
          <w:numId w:val="2"/>
        </w:numPr>
        <w:spacing w:after="60"/>
      </w:pPr>
      <w:r>
        <w:rPr>
          <w:rFonts w:ascii="Arial" w:cs="Arial" w:eastAsia="Arial" w:hAnsi="Arial"/>
          <w:color w:val="0F172A"/>
          <w:sz w:val="22"/>
          <w:szCs w:val="22"/>
        </w:rPr>
        <w:t xml:space="preserve">Role obsolescence / workforce planning — requires payroll data for cost modelling and 2-year external labor market signals. This is Phase 2 after data infrastructure is proven.</w:t>
      </w:r>
    </w:p>
    <w:p>
      <w:pPr>
        <w:pStyle w:val="ListParagraph"/>
        <w:numPr>
          <w:ilvl w:val="0"/>
          <w:numId w:val="2"/>
        </w:numPr>
        <w:spacing w:after="60"/>
      </w:pPr>
      <w:r>
        <w:rPr>
          <w:rFonts w:ascii="Arial" w:cs="Arial" w:eastAsia="Arial" w:hAnsi="Arial"/>
          <w:color w:val="0F172A"/>
          <w:sz w:val="22"/>
          <w:szCs w:val="22"/>
        </w:rPr>
        <w:t xml:space="preserve">Internal mobility matching — requires resolved cross-system identity (we will begin this but not complete it), structured career pathing data, and manager approval workflows that do not exist today.</w:t>
      </w:r>
    </w:p>
    <w:p>
      <w:pPr>
        <w:pStyle w:val="ListParagraph"/>
        <w:numPr>
          <w:ilvl w:val="0"/>
          <w:numId w:val="2"/>
        </w:numPr>
        <w:spacing w:after="60"/>
      </w:pPr>
      <w:r>
        <w:rPr>
          <w:rFonts w:ascii="Arial" w:cs="Arial" w:eastAsia="Arial" w:hAnsi="Arial"/>
          <w:color w:val="0F172A"/>
          <w:sz w:val="22"/>
          <w:szCs w:val="22"/>
        </w:rPr>
        <w:t xml:space="preserve">Replacing any existing system — the CHRO has explicitly ruled this out. We build a read layer and intelligence layer on top of existing systems.</w:t>
      </w:r>
    </w:p>
    <w:p>
      <w:pPr>
        <w:pStyle w:val="ListParagraph"/>
        <w:numPr>
          <w:ilvl w:val="0"/>
          <w:numId w:val="2"/>
        </w:numPr>
        <w:spacing w:after="60"/>
      </w:pPr>
      <w:r>
        <w:rPr>
          <w:rFonts w:ascii="Arial" w:cs="Arial" w:eastAsia="Arial" w:hAnsi="Arial"/>
          <w:color w:val="0F172A"/>
          <w:sz w:val="22"/>
          <w:szCs w:val="22"/>
        </w:rPr>
        <w:t xml:space="preserve">Reskilling program design — we identify skill gaps and flag employees for reskilling; we do not design the curriculum. That is the LMS vendor's domain.</w:t>
      </w:r>
    </w:p>
    <w:p>
      <w:pPr>
        <w:pStyle w:val="ListParagraph"/>
        <w:numPr>
          <w:ilvl w:val="0"/>
          <w:numId w:val="2"/>
        </w:numPr>
        <w:spacing w:after="60"/>
      </w:pPr>
      <w:r>
        <w:rPr>
          <w:rFonts w:ascii="Arial" w:cs="Arial" w:eastAsia="Arial" w:hAnsi="Arial"/>
          <w:color w:val="0F172A"/>
          <w:sz w:val="22"/>
          <w:szCs w:val="22"/>
        </w:rPr>
        <w:t xml:space="preserve">Predictive hiring / ATS optimization — out of scope and contractually not part of this engagement.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Scope Discipline</w:t>
            </w:r>
          </w:p>
          <w:p>
            <w:pPr>
              <w:spacing w:after="0"/>
            </w:pPr>
            <w:r>
              <w:rPr>
                <w:rFonts w:ascii="Arial" w:cs="Arial" w:eastAsia="Arial" w:hAnsi="Arial"/>
                <w:color w:val="0F172A"/>
                <w:sz w:val="20"/>
                <w:szCs w:val="20"/>
              </w:rPr>
              <w:t xml:space="preserve">A PoC that tries to do everything delivers nothing usable in 90 days. The C-suite milestone at Day 90 must be a live, working demo of one thing that works — not a roadmap of ten things that might work.</w:t>
            </w:r>
          </w:p>
        </w:tc>
      </w:tr>
    </w:tbl>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Part B — Data Strategy</w:t>
      </w:r>
    </w:p>
    <w:p>
      <w:pPr>
        <w:pStyle w:val="Heading2"/>
        <w:spacing w:after="120" w:before="320"/>
      </w:pPr>
      <w:r>
        <w:rPr>
          <w:rFonts w:ascii="Arial" w:cs="Arial" w:eastAsia="Arial" w:hAnsi="Arial"/>
          <w:b/>
          <w:bCs/>
          <w:color w:val="1E3A5F"/>
          <w:sz w:val="26"/>
          <w:szCs w:val="26"/>
        </w:rPr>
        <w:t xml:space="preserve">B1. Getting to Usable Data</w:t>
      </w:r>
    </w:p>
    <w:p>
      <w:pPr>
        <w:spacing w:after="120"/>
      </w:pPr>
      <w:r>
        <w:rPr>
          <w:rFonts w:ascii="Arial" w:cs="Arial" w:eastAsia="Arial" w:hAnsi="Arial"/>
          <w:color w:val="0F172A"/>
          <w:sz w:val="22"/>
          <w:szCs w:val="22"/>
        </w:rPr>
        <w:t xml:space="preserve">The data reality at Day 1 is as follows: 40% of employee records have empty skill fields, job titles are inconsistent across 90 branches, no shared employee IDs exist across systems, performance ratings use different scales, and Oracle Payroll is legally inaccessible. We cannot wait for this to be fixed before building. We must build through it.</w:t>
      </w:r>
    </w:p>
    <w:p>
      <w:pPr>
        <w:spacing w:after="80"/>
      </w:pPr>
      <w:r>
        <w:t xml:space="preserve"/>
      </w:r>
    </w:p>
    <w:p>
      <w:pPr>
        <w:spacing w:after="120"/>
      </w:pPr>
      <w:r>
        <w:rPr>
          <w:rFonts w:ascii="Arial" w:cs="Arial" w:eastAsia="Arial" w:hAnsi="Arial"/>
          <w:color w:val="0F172A"/>
          <w:sz w:val="22"/>
          <w:szCs w:val="22"/>
        </w:rPr>
        <w:t xml:space="preserve">Our approach is a four-layer data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Ingestion</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Pull raw data from SuccessFactors (HRIS), Workable (ATS), Moodle (LMS). Read-only API or scheduled exports. No write-back to source systems.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Raw records in staging database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2. Identity Resolution</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Match employees across HRIS and ATS using name fuzzy-match + join date proximity. Assign a unified internal ID (UIN). Flag unresolved records.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UIN mapping table + resolution confidence score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 Contextualization</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Normalize job titles to canonical taxonomy, infer skills from title where missing, normalize performance scales to 1-5, flag data quality issues per record.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Clean, enriched employee records with confidence scores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4. AI-Ready Feature Store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Transform clean records into model-ready feature vectors. Compute tenure, absence rates, performance trajectory, skill gap score, LMS engagement. Store as versioned snapshots.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Feature vectors + confidence metadata for model training</w:t>
            </w:r>
          </w:p>
        </w:tc>
      </w:tr>
    </w:tbl>
    <w:p>
      <w:pPr>
        <w:spacing w:after="160"/>
      </w:pPr>
      <w:r>
        <w:t xml:space="preserve"/>
      </w:r>
    </w:p>
    <w:p>
      <w:pPr>
        <w:pStyle w:val="Heading2"/>
        <w:spacing w:after="120" w:before="320"/>
      </w:pPr>
      <w:r>
        <w:rPr>
          <w:rFonts w:ascii="Arial" w:cs="Arial" w:eastAsia="Arial" w:hAnsi="Arial"/>
          <w:b/>
          <w:bCs/>
          <w:color w:val="1E3A5F"/>
          <w:sz w:val="26"/>
          <w:szCs w:val="26"/>
        </w:rPr>
        <w:t xml:space="preserve">B2. Identity Resolution — Without Oracle</w:t>
      </w:r>
    </w:p>
    <w:p>
      <w:pPr>
        <w:spacing w:after="120"/>
      </w:pPr>
      <w:r>
        <w:rPr>
          <w:rFonts w:ascii="Arial" w:cs="Arial" w:eastAsia="Arial" w:hAnsi="Arial"/>
          <w:color w:val="0F172A"/>
          <w:sz w:val="22"/>
          <w:szCs w:val="22"/>
        </w:rPr>
        <w:t xml:space="preserve">An employee exists as EMP-2938 in SuccessFactors, candidate_918 in Workable, and MN-444 in Oracle. Oracle is inaccessible. We match across HRIS and ATS only.</w:t>
      </w:r>
    </w:p>
    <w:p>
      <w:pPr>
        <w:spacing w:after="80"/>
      </w:pPr>
      <w:r>
        <w:t xml:space="preserve"/>
      </w:r>
    </w:p>
    <w:p>
      <w:pPr>
        <w:spacing w:after="120"/>
      </w:pPr>
      <w:r>
        <w:rPr>
          <w:rFonts w:ascii="Arial" w:cs="Arial" w:eastAsia="Arial" w:hAnsi="Arial"/>
          <w:color w:val="0F172A"/>
          <w:sz w:val="22"/>
          <w:szCs w:val="22"/>
        </w:rPr>
        <w:t xml:space="preserve">Matching logic (applied in priority order):</w:t>
      </w:r>
    </w:p>
    <w:p>
      <w:pPr>
        <w:pStyle w:val="ListParagraph"/>
        <w:numPr>
          <w:ilvl w:val="0"/>
          <w:numId w:val="3"/>
        </w:numPr>
        <w:spacing w:after="80"/>
      </w:pPr>
      <w:r>
        <w:rPr>
          <w:rFonts w:ascii="Arial" w:cs="Arial" w:eastAsia="Arial" w:hAnsi="Arial"/>
          <w:color w:val="0F172A"/>
          <w:sz w:val="22"/>
          <w:szCs w:val="22"/>
        </w:rPr>
        <w:t xml:space="preserve">Exact name + join date match — highest confidence (assigned 95%)</w:t>
      </w:r>
    </w:p>
    <w:p>
      <w:pPr>
        <w:pStyle w:val="ListParagraph"/>
        <w:numPr>
          <w:ilvl w:val="0"/>
          <w:numId w:val="3"/>
        </w:numPr>
        <w:spacing w:after="80"/>
      </w:pPr>
      <w:r>
        <w:rPr>
          <w:rFonts w:ascii="Arial" w:cs="Arial" w:eastAsia="Arial" w:hAnsi="Arial"/>
          <w:color w:val="0F172A"/>
          <w:sz w:val="22"/>
          <w:szCs w:val="22"/>
        </w:rPr>
        <w:t xml:space="preserve">Fuzzy name match (Jaro-Winkler &gt; 0.92) + join date within 30 days — medium-high confidence (80%)</w:t>
      </w:r>
    </w:p>
    <w:p>
      <w:pPr>
        <w:pStyle w:val="ListParagraph"/>
        <w:numPr>
          <w:ilvl w:val="0"/>
          <w:numId w:val="3"/>
        </w:numPr>
        <w:spacing w:after="80"/>
      </w:pPr>
      <w:r>
        <w:rPr>
          <w:rFonts w:ascii="Arial" w:cs="Arial" w:eastAsia="Arial" w:hAnsi="Arial"/>
          <w:color w:val="0F172A"/>
          <w:sz w:val="22"/>
          <w:szCs w:val="22"/>
        </w:rPr>
        <w:t xml:space="preserve">Fuzzy name match only, no date overlap — low confidence (55%), flagged for human review</w:t>
      </w:r>
    </w:p>
    <w:p>
      <w:pPr>
        <w:pStyle w:val="ListParagraph"/>
        <w:numPr>
          <w:ilvl w:val="0"/>
          <w:numId w:val="3"/>
        </w:numPr>
        <w:spacing w:after="80"/>
      </w:pPr>
      <w:r>
        <w:rPr>
          <w:rFonts w:ascii="Arial" w:cs="Arial" w:eastAsia="Arial" w:hAnsi="Arial"/>
          <w:color w:val="0F172A"/>
          <w:sz w:val="22"/>
          <w:szCs w:val="22"/>
        </w:rPr>
        <w:t xml:space="preserve">No match found — record marked identity_unresolved, confidence penalty applied</w:t>
      </w:r>
    </w:p>
    <w:p>
      <w:pPr>
        <w:spacing w:after="120"/>
      </w:pPr>
      <w:r>
        <w:t xml:space="preserve"/>
      </w:r>
    </w:p>
    <w:p>
      <w:pPr>
        <w:spacing w:after="120"/>
      </w:pPr>
      <w:r>
        <w:rPr>
          <w:rFonts w:ascii="Arial" w:cs="Arial" w:eastAsia="Arial" w:hAnsi="Arial"/>
          <w:color w:val="0F172A"/>
          <w:sz w:val="22"/>
          <w:szCs w:val="22"/>
        </w:rPr>
        <w:t xml:space="preserve">Without Oracle, we lose the payroll ID permanently. This is accepted. However, if Oracle ever becomes accessible in Phase 2, the UIN can be retroactively extended to include the Oracle ID — the architecture supports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pPr>
              <w:spacing w:after="60"/>
            </w:pPr>
            <w:r>
              <w:rPr>
                <w:rFonts w:ascii="Arial" w:cs="Arial" w:eastAsia="Arial" w:hAnsi="Arial"/>
                <w:b/>
                <w:bCs/>
                <w:color w:val="D97706"/>
                <w:sz w:val="22"/>
                <w:szCs w:val="22"/>
              </w:rPr>
              <w:t xml:space="preserve">Oracle Exclusion Impact</w:t>
            </w:r>
          </w:p>
          <w:p>
            <w:pPr>
              <w:spacing w:after="0"/>
            </w:pPr>
            <w:r>
              <w:rPr>
                <w:rFonts w:ascii="Arial" w:cs="Arial" w:eastAsia="Arial" w:hAnsi="Arial"/>
                <w:color w:val="0F172A"/>
                <w:sz w:val="20"/>
                <w:szCs w:val="20"/>
              </w:rPr>
              <w:t xml:space="preserve">Losing Oracle means we cannot use compensation as an attrition signal. This reduces model accuracy by an estimated 8-12% (based on literature benchmarks). We compensate with stronger emphasis on absence patterns, LMS disengagement, and performance trajectory. The confidence score system transparently communicates this limitation.</w:t>
            </w:r>
          </w:p>
        </w:tc>
      </w:tr>
    </w:tbl>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Part C — AI System Design</w:t>
      </w:r>
    </w:p>
    <w:p>
      <w:pPr>
        <w:pStyle w:val="Heading2"/>
        <w:spacing w:after="120" w:before="320"/>
      </w:pPr>
      <w:r>
        <w:rPr>
          <w:rFonts w:ascii="Arial" w:cs="Arial" w:eastAsia="Arial" w:hAnsi="Arial"/>
          <w:b/>
          <w:bCs/>
          <w:color w:val="1E3A5F"/>
          <w:sz w:val="26"/>
          <w:szCs w:val="26"/>
        </w:rPr>
        <w:t xml:space="preserve">C1. What the 90-Day PoC Model Does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Model Type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Gradient Boosted Trees (XGBoost) — interpretable, handles missing data natively, fast to train on 200-15,000 records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Input Features</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Tenure (months), absence rate YTD, performance trajectory (last 2 years normalized), LMS courses completed (12 months), skill gap score (count of missing role-critical skills), identity resolution status, time since last promotion, manager span-of-control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Target Variable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Proxy attrition risk score (0-100). Ground truth: if exit interview data is available, use voluntary exit as label. If not, use high-absence + declining performance as proxy labels.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Output</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Attrition risk score (0-100), risk tier (High/Medium/Low), top 3 contributing factors per employee, confidence score (0-100) based on data completeness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 Data</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Historical records from SuccessFactors + ATS. Minimum viable: 500 records with performance history. Target: all 15,000 employees in production.</w:t>
            </w:r>
          </w:p>
        </w:tc>
      </w:tr>
    </w:tbl>
    <w:p>
      <w:pPr>
        <w:spacing w:after="160"/>
      </w:pPr>
      <w:r>
        <w:t xml:space="preserve"/>
      </w:r>
    </w:p>
    <w:p>
      <w:pPr>
        <w:pStyle w:val="Heading2"/>
        <w:spacing w:after="120" w:before="320"/>
      </w:pPr>
      <w:r>
        <w:rPr>
          <w:rFonts w:ascii="Arial" w:cs="Arial" w:eastAsia="Arial" w:hAnsi="Arial"/>
          <w:b/>
          <w:bCs/>
          <w:color w:val="1E3A5F"/>
          <w:sz w:val="26"/>
          <w:szCs w:val="26"/>
        </w:rPr>
        <w:t xml:space="preserve">C2. Handling Missing Data — The 40% Skills Problem</w:t>
      </w:r>
    </w:p>
    <w:p>
      <w:pPr>
        <w:pStyle w:val="ListParagraph"/>
        <w:numPr>
          <w:ilvl w:val="0"/>
          <w:numId w:val="2"/>
        </w:numPr>
        <w:spacing w:after="60"/>
      </w:pPr>
      <w:r>
        <w:rPr>
          <w:rFonts w:ascii="Arial" w:cs="Arial" w:eastAsia="Arial" w:hAnsi="Arial"/>
          <w:color w:val="0F172A"/>
          <w:sz w:val="22"/>
          <w:szCs w:val="22"/>
        </w:rPr>
        <w:t xml:space="preserve">Where skills are blank: infer from normalized job title using a curated role-to-skill mapping (e.g., Senior Sales Representative → CRM, Negotiation, Pipeline Management). Flag as skills_source: inferred_from_title.</w:t>
      </w:r>
    </w:p>
    <w:p>
      <w:pPr>
        <w:pStyle w:val="ListParagraph"/>
        <w:numPr>
          <w:ilvl w:val="0"/>
          <w:numId w:val="2"/>
        </w:numPr>
        <w:spacing w:after="60"/>
      </w:pPr>
      <w:r>
        <w:rPr>
          <w:rFonts w:ascii="Arial" w:cs="Arial" w:eastAsia="Arial" w:hAnsi="Arial"/>
          <w:color w:val="0F172A"/>
          <w:sz w:val="22"/>
          <w:szCs w:val="22"/>
        </w:rPr>
        <w:t xml:space="preserve">Apply a confidence penalty of -15 points to any record with inferred skills.</w:t>
      </w:r>
    </w:p>
    <w:p>
      <w:pPr>
        <w:pStyle w:val="ListParagraph"/>
        <w:numPr>
          <w:ilvl w:val="0"/>
          <w:numId w:val="2"/>
        </w:numPr>
        <w:spacing w:after="60"/>
      </w:pPr>
      <w:r>
        <w:rPr>
          <w:rFonts w:ascii="Arial" w:cs="Arial" w:eastAsia="Arial" w:hAnsi="Arial"/>
          <w:color w:val="0F172A"/>
          <w:sz w:val="22"/>
          <w:szCs w:val="22"/>
        </w:rPr>
        <w:t xml:space="preserve">For model training: use skills as a categorical feature with an 'unknown' category rather than imputing. XGBoost handles missing natively.</w:t>
      </w:r>
    </w:p>
    <w:p>
      <w:pPr>
        <w:pStyle w:val="ListParagraph"/>
        <w:numPr>
          <w:ilvl w:val="0"/>
          <w:numId w:val="2"/>
        </w:numPr>
        <w:spacing w:after="60"/>
      </w:pPr>
      <w:r>
        <w:rPr>
          <w:rFonts w:ascii="Arial" w:cs="Arial" w:eastAsia="Arial" w:hAnsi="Arial"/>
          <w:color w:val="0F172A"/>
          <w:sz w:val="22"/>
          <w:szCs w:val="22"/>
        </w:rPr>
        <w:t xml:space="preserve">For the UI: always show whether skills are self-reported or inferred, so the HR manager knows the basis of the insight.</w:t>
      </w:r>
    </w:p>
    <w:p>
      <w:pPr>
        <w:spacing w:after="120"/>
      </w:pPr>
      <w:r>
        <w:t xml:space="preserve"/>
      </w:r>
    </w:p>
    <w:p>
      <w:pPr>
        <w:pStyle w:val="Heading2"/>
        <w:spacing w:after="120" w:before="320"/>
      </w:pPr>
      <w:r>
        <w:rPr>
          <w:rFonts w:ascii="Arial" w:cs="Arial" w:eastAsia="Arial" w:hAnsi="Arial"/>
          <w:b/>
          <w:bCs/>
          <w:color w:val="1E3A5F"/>
          <w:sz w:val="26"/>
          <w:szCs w:val="26"/>
        </w:rPr>
        <w:t xml:space="preserve">C3. Confidence Signaling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300"/>
        <w:gridCol w:w="3360"/>
      </w:tblGrid>
      <w:tr>
        <w:trPr>
          <w:tblHeader/>
        </w:trPr>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Confidence Level</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Allowed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75-100%</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Score displayed with solid color. 'Based on complete data.' No flags.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HR manager can act directly on the recommendation.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55-74%</w:t>
            </w:r>
          </w:p>
        </w:tc>
        <w:tc>
          <w:tcPr>
            <w:tcW w:type="dxa" w:w="3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Score displayed with amber indicator. Specific data gaps listed (e.g., 'Skills inferred from title').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HR manager can act but is advised to verify with the employee's direct manager first.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 / Review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&lt;55%</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Score shown with a grey overlay and 'Requires human review' banner. Reasons listed explicitly.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Record cannot trigger automated interventions. Must be reviewed and approved by HR manager before any action.</w:t>
            </w:r>
          </w:p>
        </w:tc>
      </w:tr>
    </w:tbl>
    <w:p>
      <w:pPr>
        <w:spacing w:after="160"/>
      </w:pPr>
      <w:r>
        <w:t xml:space="preserve"/>
      </w:r>
    </w:p>
    <w:p>
      <w:pPr>
        <w:pStyle w:val="Heading2"/>
        <w:spacing w:after="120" w:before="320"/>
      </w:pPr>
      <w:r>
        <w:rPr>
          <w:rFonts w:ascii="Arial" w:cs="Arial" w:eastAsia="Arial" w:hAnsi="Arial"/>
          <w:b/>
          <w:bCs/>
          <w:color w:val="1E3A5F"/>
          <w:sz w:val="26"/>
          <w:szCs w:val="26"/>
        </w:rPr>
        <w:t xml:space="preserve">C4. Day 75 Scenario — Model Accuracy vs. HR Manager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Scenario: 82% test accuracy, but 3 HR managers say the results feel wrong.</w:t>
            </w:r>
          </w:p>
          <w:p>
            <w:pPr>
              <w:spacing w:after="0"/>
            </w:pPr>
            <w:r>
              <w:rPr>
                <w:rFonts w:ascii="Arial" w:cs="Arial" w:eastAsia="Arial" w:hAnsi="Arial"/>
                <w:color w:val="0F172A"/>
                <w:sz w:val="20"/>
                <w:szCs w:val="20"/>
              </w:rPr>
              <w:t xml:space="preserve">This is the most important problem in applied HR AI. Here is the protocol:</w:t>
            </w:r>
          </w:p>
        </w:tc>
      </w:tr>
    </w:tbl>
    <w:p>
      <w:pPr>
        <w:spacing w:after="80"/>
      </w:pPr>
      <w:r>
        <w:t xml:space="preserve"/>
      </w:r>
    </w:p>
    <w:p>
      <w:pPr>
        <w:pStyle w:val="ListParagraph"/>
        <w:numPr>
          <w:ilvl w:val="0"/>
          <w:numId w:val="3"/>
        </w:numPr>
        <w:spacing w:after="80"/>
      </w:pPr>
      <w:r>
        <w:rPr>
          <w:rFonts w:ascii="Arial" w:cs="Arial" w:eastAsia="Arial" w:hAnsi="Arial"/>
          <w:color w:val="0F172A"/>
          <w:sz w:val="22"/>
          <w:szCs w:val="22"/>
        </w:rPr>
        <w:t xml:space="preserve">Do not dismiss the managers. Their pattern recognition is the ground truth the model is trying to approximate. If they disagree, assume the model is wrong until proven otherwise.</w:t>
      </w:r>
    </w:p>
    <w:p>
      <w:pPr>
        <w:pStyle w:val="ListParagraph"/>
        <w:numPr>
          <w:ilvl w:val="0"/>
          <w:numId w:val="3"/>
        </w:numPr>
        <w:spacing w:after="80"/>
      </w:pPr>
      <w:r>
        <w:rPr>
          <w:rFonts w:ascii="Arial" w:cs="Arial" w:eastAsia="Arial" w:hAnsi="Arial"/>
          <w:color w:val="0F172A"/>
          <w:sz w:val="22"/>
          <w:szCs w:val="22"/>
        </w:rPr>
        <w:t xml:space="preserve">Run an error analysis session with each manager. For each employee the model flagged that 'doesn't feel right' — ask the manager what they know about that person that the data doesn't capture. Document every answer.</w:t>
      </w:r>
    </w:p>
    <w:p>
      <w:pPr>
        <w:pStyle w:val="ListParagraph"/>
        <w:numPr>
          <w:ilvl w:val="0"/>
          <w:numId w:val="3"/>
        </w:numPr>
        <w:spacing w:after="80"/>
      </w:pPr>
      <w:r>
        <w:rPr>
          <w:rFonts w:ascii="Arial" w:cs="Arial" w:eastAsia="Arial" w:hAnsi="Arial"/>
          <w:color w:val="0F172A"/>
          <w:sz w:val="22"/>
          <w:szCs w:val="22"/>
        </w:rPr>
        <w:t xml:space="preserve">Check for branch-level bias. If all three managers are from the same region, the model may have overfit to a data artifact from that branch (e.g., a branch-specific rating scale that wasn't normalized correctly).</w:t>
      </w:r>
    </w:p>
    <w:p>
      <w:pPr>
        <w:pStyle w:val="ListParagraph"/>
        <w:numPr>
          <w:ilvl w:val="0"/>
          <w:numId w:val="3"/>
        </w:numPr>
        <w:spacing w:after="80"/>
      </w:pPr>
      <w:r>
        <w:rPr>
          <w:rFonts w:ascii="Arial" w:cs="Arial" w:eastAsia="Arial" w:hAnsi="Arial"/>
          <w:color w:val="0F172A"/>
          <w:sz w:val="22"/>
          <w:szCs w:val="22"/>
        </w:rPr>
        <w:t xml:space="preserve">Check for proxy discrimination. Are the flagged employees disproportionately from a specific demographic, department, or location? If so, flag for ethical review immediately.</w:t>
      </w:r>
    </w:p>
    <w:p>
      <w:pPr>
        <w:pStyle w:val="ListParagraph"/>
        <w:numPr>
          <w:ilvl w:val="0"/>
          <w:numId w:val="3"/>
        </w:numPr>
        <w:spacing w:after="80"/>
      </w:pPr>
      <w:r>
        <w:rPr>
          <w:rFonts w:ascii="Arial" w:cs="Arial" w:eastAsia="Arial" w:hAnsi="Arial"/>
          <w:color w:val="0F172A"/>
          <w:sz w:val="22"/>
          <w:szCs w:val="22"/>
        </w:rPr>
        <w:t xml:space="preserve">Re-examine feature importance. If absence_days_ytd is the dominant driver, and one branch had a policy of approving more absences (e.g., for commuting reasons), the signal is confounded.</w:t>
      </w:r>
    </w:p>
    <w:p>
      <w:pPr>
        <w:pStyle w:val="ListParagraph"/>
        <w:numPr>
          <w:ilvl w:val="0"/>
          <w:numId w:val="3"/>
        </w:numPr>
        <w:spacing w:after="80"/>
      </w:pPr>
      <w:r>
        <w:rPr>
          <w:rFonts w:ascii="Arial" w:cs="Arial" w:eastAsia="Arial" w:hAnsi="Arial"/>
          <w:color w:val="0F172A"/>
          <w:sz w:val="22"/>
          <w:szCs w:val="22"/>
        </w:rPr>
        <w:t xml:space="preserve">Re-label and retrain. Use the managers' corrections as additional training signal. This is active learning — their feedback improves the model for the next iteration.</w:t>
      </w:r>
    </w:p>
    <w:p>
      <w:pPr>
        <w:pStyle w:val="ListParagraph"/>
        <w:numPr>
          <w:ilvl w:val="0"/>
          <w:numId w:val="3"/>
        </w:numPr>
        <w:spacing w:after="80"/>
      </w:pPr>
      <w:r>
        <w:rPr>
          <w:rFonts w:ascii="Arial" w:cs="Arial" w:eastAsia="Arial" w:hAnsi="Arial"/>
          <w:color w:val="0F172A"/>
          <w:sz w:val="22"/>
          <w:szCs w:val="22"/>
        </w:rPr>
        <w:t xml:space="preserve">Report to CHRO at Day 90 demo: 'Model accuracy is 82% on held-out data, but we identified 3 branch-specific data artifacts that the HR managers caught. After correction, we expect accuracy to improve and alignment with manager intuition to increase.' This is honest and demonstrates rigor.</w:t>
      </w:r>
    </w:p>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Part D — Product Design</w:t>
      </w:r>
    </w:p>
    <w:p>
      <w:pPr>
        <w:pStyle w:val="Heading2"/>
        <w:spacing w:after="120" w:before="320"/>
      </w:pPr>
      <w:r>
        <w:rPr>
          <w:rFonts w:ascii="Arial" w:cs="Arial" w:eastAsia="Arial" w:hAnsi="Arial"/>
          <w:b/>
          <w:bCs/>
          <w:color w:val="1E3A5F"/>
          <w:sz w:val="26"/>
          <w:szCs w:val="26"/>
        </w:rPr>
        <w:t xml:space="preserve">D1. Decision Interface — Designed for HR Managers, Not Analysts</w:t>
      </w:r>
    </w:p>
    <w:p>
      <w:pPr>
        <w:spacing w:after="120"/>
      </w:pPr>
      <w:r>
        <w:rPr>
          <w:rFonts w:ascii="Arial" w:cs="Arial" w:eastAsia="Arial" w:hAnsi="Arial"/>
          <w:color w:val="0F172A"/>
          <w:sz w:val="22"/>
          <w:szCs w:val="22"/>
        </w:rPr>
        <w:t xml:space="preserve">The product must answer one question per screen: 'What should I do next?' Every element on the screen must either help the user decide or help them understand why the model thinks what it thinks.</w:t>
      </w:r>
    </w:p>
    <w:p>
      <w:pPr>
        <w:spacing w:after="80"/>
      </w:pPr>
      <w:r>
        <w:t xml:space="preserve"/>
      </w:r>
    </w:p>
    <w:p>
      <w:pPr>
        <w:spacing w:after="120"/>
      </w:pPr>
      <w:r>
        <w:rPr>
          <w:rFonts w:ascii="Arial" w:cs="Arial" w:eastAsia="Arial" w:hAnsi="Arial"/>
          <w:color w:val="0F172A"/>
          <w:sz w:val="22"/>
          <w:szCs w:val="22"/>
        </w:rPr>
        <w:t xml:space="preserve">Design principles:</w:t>
      </w:r>
    </w:p>
    <w:p>
      <w:pPr>
        <w:pStyle w:val="ListParagraph"/>
        <w:numPr>
          <w:ilvl w:val="0"/>
          <w:numId w:val="2"/>
        </w:numPr>
        <w:spacing w:after="60"/>
      </w:pPr>
      <w:r>
        <w:rPr>
          <w:rFonts w:ascii="Arial" w:cs="Arial" w:eastAsia="Arial" w:hAnsi="Arial"/>
          <w:color w:val="0F172A"/>
          <w:sz w:val="22"/>
          <w:szCs w:val="22"/>
        </w:rPr>
        <w:t xml:space="preserve">Risk tiers use color + text — never color alone. Red/amber/green + 'High Risk', 'Medium Risk', 'Low Risk'. HR managers are not always looking at a full-color screen.</w:t>
      </w:r>
    </w:p>
    <w:p>
      <w:pPr>
        <w:pStyle w:val="ListParagraph"/>
        <w:numPr>
          <w:ilvl w:val="0"/>
          <w:numId w:val="2"/>
        </w:numPr>
        <w:spacing w:after="60"/>
      </w:pPr>
      <w:r>
        <w:rPr>
          <w:rFonts w:ascii="Arial" w:cs="Arial" w:eastAsia="Arial" w:hAnsi="Arial"/>
          <w:color w:val="0F172A"/>
          <w:sz w:val="22"/>
          <w:szCs w:val="22"/>
        </w:rPr>
        <w:t xml:space="preserve">Every AI output is accompanied by the top 3 reasons. 'Employee A is High Risk because: (1) High absenteeism, (2) No promotion in 4 years, (3) Below-average performance last 2 cycles.'</w:t>
      </w:r>
    </w:p>
    <w:p>
      <w:pPr>
        <w:pStyle w:val="ListParagraph"/>
        <w:numPr>
          <w:ilvl w:val="0"/>
          <w:numId w:val="2"/>
        </w:numPr>
        <w:spacing w:after="60"/>
      </w:pPr>
      <w:r>
        <w:rPr>
          <w:rFonts w:ascii="Arial" w:cs="Arial" w:eastAsia="Arial" w:hAnsi="Arial"/>
          <w:color w:val="0F172A"/>
          <w:sz w:val="22"/>
          <w:szCs w:val="22"/>
        </w:rPr>
        <w:t xml:space="preserve">Confidence is always visible, not hidden. If confidence is low, the UI says so explicitly and explains what data is missing.</w:t>
      </w:r>
    </w:p>
    <w:p>
      <w:pPr>
        <w:pStyle w:val="ListParagraph"/>
        <w:numPr>
          <w:ilvl w:val="0"/>
          <w:numId w:val="2"/>
        </w:numPr>
        <w:spacing w:after="60"/>
      </w:pPr>
      <w:r>
        <w:rPr>
          <w:rFonts w:ascii="Arial" w:cs="Arial" w:eastAsia="Arial" w:hAnsi="Arial"/>
          <w:color w:val="0F172A"/>
          <w:sz w:val="22"/>
          <w:szCs w:val="22"/>
        </w:rPr>
        <w:t xml:space="preserve">One primary action per card. 'Schedule check-in' or 'Review with manager' — not a list of 12 possible actions.</w:t>
      </w:r>
    </w:p>
    <w:p>
      <w:pPr>
        <w:pStyle w:val="ListParagraph"/>
        <w:numPr>
          <w:ilvl w:val="0"/>
          <w:numId w:val="2"/>
        </w:numPr>
        <w:spacing w:after="60"/>
      </w:pPr>
      <w:r>
        <w:rPr>
          <w:rFonts w:ascii="Arial" w:cs="Arial" w:eastAsia="Arial" w:hAnsi="Arial"/>
          <w:color w:val="0F172A"/>
          <w:sz w:val="22"/>
          <w:szCs w:val="22"/>
        </w:rPr>
        <w:t xml:space="preserve">The HR manager never sees a model score in isolation. Score + reason + confidence + action = a complete decision surface.</w:t>
      </w:r>
    </w:p>
    <w:p>
      <w:pPr>
        <w:spacing w:after="120"/>
      </w:pPr>
      <w:r>
        <w:t xml:space="preserve"/>
      </w:r>
    </w:p>
    <w:p>
      <w:pPr>
        <w:pStyle w:val="Heading2"/>
        <w:spacing w:after="120" w:before="320"/>
      </w:pPr>
      <w:r>
        <w:rPr>
          <w:rFonts w:ascii="Arial" w:cs="Arial" w:eastAsia="Arial" w:hAnsi="Arial"/>
          <w:b/>
          <w:bCs/>
          <w:color w:val="1E3A5F"/>
          <w:sz w:val="26"/>
          <w:szCs w:val="26"/>
        </w:rPr>
        <w:t xml:space="preserve">D2. Communicating Uncertainty Without Destroying Trust</w:t>
      </w:r>
    </w:p>
    <w:p>
      <w:pPr>
        <w:pStyle w:val="ListParagraph"/>
        <w:numPr>
          <w:ilvl w:val="0"/>
          <w:numId w:val="2"/>
        </w:numPr>
        <w:spacing w:after="60"/>
      </w:pPr>
      <w:r>
        <w:rPr>
          <w:rFonts w:ascii="Arial" w:cs="Arial" w:eastAsia="Arial" w:hAnsi="Arial"/>
          <w:color w:val="0F172A"/>
          <w:sz w:val="22"/>
          <w:szCs w:val="22"/>
        </w:rPr>
        <w:t xml:space="preserve">Never hide uncertainty. A model that hides uncertainty is dangerous. One that is honest about it is trustworthy.</w:t>
      </w:r>
    </w:p>
    <w:p>
      <w:pPr>
        <w:pStyle w:val="ListParagraph"/>
        <w:numPr>
          <w:ilvl w:val="0"/>
          <w:numId w:val="2"/>
        </w:numPr>
        <w:spacing w:after="60"/>
      </w:pPr>
      <w:r>
        <w:rPr>
          <w:rFonts w:ascii="Arial" w:cs="Arial" w:eastAsia="Arial" w:hAnsi="Arial"/>
          <w:color w:val="0F172A"/>
          <w:sz w:val="22"/>
          <w:szCs w:val="22"/>
        </w:rPr>
        <w:t xml:space="preserve">Frame low confidence as 'incomplete picture' rather than 'the model failed.' Language matters: 'We have limited data for this employee — here's what we do know' is better than 'Low confidence prediction.'</w:t>
      </w:r>
    </w:p>
    <w:p>
      <w:pPr>
        <w:pStyle w:val="ListParagraph"/>
        <w:numPr>
          <w:ilvl w:val="0"/>
          <w:numId w:val="2"/>
        </w:numPr>
        <w:spacing w:after="60"/>
      </w:pPr>
      <w:r>
        <w:rPr>
          <w:rFonts w:ascii="Arial" w:cs="Arial" w:eastAsia="Arial" w:hAnsi="Arial"/>
          <w:color w:val="0F172A"/>
          <w:sz w:val="22"/>
          <w:szCs w:val="22"/>
        </w:rPr>
        <w:t xml:space="preserve">Show what data is missing. If skills are inferred, say 'Skills estimated from job title.' If no performance history, say 'Performance data unavailable for this employee.'</w:t>
      </w:r>
    </w:p>
    <w:p>
      <w:pPr>
        <w:pStyle w:val="ListParagraph"/>
        <w:numPr>
          <w:ilvl w:val="0"/>
          <w:numId w:val="2"/>
        </w:numPr>
        <w:spacing w:after="60"/>
      </w:pPr>
      <w:r>
        <w:rPr>
          <w:rFonts w:ascii="Arial" w:cs="Arial" w:eastAsia="Arial" w:hAnsi="Arial"/>
          <w:color w:val="0F172A"/>
          <w:sz w:val="22"/>
          <w:szCs w:val="22"/>
        </w:rPr>
        <w:t xml:space="preserve">Use a confidence bar, not just a number. Visual representation of uncertainty is processed faster than a percentage.</w:t>
      </w:r>
    </w:p>
    <w:p>
      <w:pPr>
        <w:pStyle w:val="ListParagraph"/>
        <w:numPr>
          <w:ilvl w:val="0"/>
          <w:numId w:val="2"/>
        </w:numPr>
        <w:spacing w:after="60"/>
      </w:pPr>
      <w:r>
        <w:rPr>
          <w:rFonts w:ascii="Arial" w:cs="Arial" w:eastAsia="Arial" w:hAnsi="Arial"/>
          <w:color w:val="0F172A"/>
          <w:sz w:val="22"/>
          <w:szCs w:val="22"/>
        </w:rPr>
        <w:t xml:space="preserve">Calibrate user expectations during onboarding. The first time an HR manager uses the system, show them the data quality overview before showing them employee predictions. They need to understand the data foundation before they can trust the outputs.</w:t>
      </w:r>
    </w:p>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Part E — 90-Day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200"/>
        <w:gridCol w:w="32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C-Suite Sees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Discovery Complete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Stakeholder interviews done, field-level null rate report, performance scale mapping, ATS coverage analysis, scope confirmed.</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Written discovery brief. 'Here is what the data actually looks like, and here is what we can and cannot do in 90 days.'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2. Data Pipeline Live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15-35</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Ingestion from SuccessFactors + Workable + Moodle. Identity resolution running. UIN mapping table. First clean dataset (200 employees in pilot branches).</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Live dashboard: 'Here are 200 employees with resolved identity, normalized titles, and inferred skills. Here is the data quality score per record.'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 PoC Model + UI</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36-70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Attrition prediction model trained on pilot cohort. HR manager UI with risk tiers, confidence scores, top factors. Internal validation with 3 HR managers.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Working prototype demo: 'Here are your top 20 attrition risks in Branch X, with explanations and confidence scores. Here is what the model would look like if we had complete data vs. incomplete data.'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4. Day 90 C-Suite Demo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71-90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Refined model after HR manager feedback, calibration report, data quality impact analysis, Phase 2 roadmap.</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'We identified N high-risk employees in the pilot cohort, with X% alignment with manager intuition. Here is what Phase 2 looks like across all 90 branches.'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Definition of Done — Day 90</w:t>
            </w:r>
          </w:p>
          <w:p>
            <w:pPr>
              <w:spacing w:after="0"/>
            </w:pPr>
            <w:r>
              <w:rPr>
                <w:rFonts w:ascii="Arial" w:cs="Arial" w:eastAsia="Arial" w:hAnsi="Arial"/>
                <w:color w:val="0F172A"/>
                <w:sz w:val="20"/>
                <w:szCs w:val="20"/>
              </w:rPr>
              <w:t xml:space="preserve">The CHRO can open the dashboard, see the top 20 attrition-risk employees in the pilot branches, understand why each person is flagged, understand how confident the model is, and take one action from the interface — all without asking an engineer or data scientist for help.</w:t>
            </w:r>
          </w:p>
        </w:tc>
      </w:tr>
    </w:tbl>
    <w:p>
      <w:r>
        <w:br w:type="page"/>
      </w:r>
    </w:p>
    <w:p>
      <w:pPr>
        <w:pStyle w:val="Heading1"/>
        <w:pBdr>
          <w:bottom w:val="single" w:color="2563EB" w:sz="8" w:space="6"/>
        </w:pBdr>
        <w:spacing w:after="200" w:before="480"/>
      </w:pPr>
      <w:r>
        <w:rPr>
          <w:rFonts w:ascii="Arial" w:cs="Arial" w:eastAsia="Arial" w:hAnsi="Arial"/>
          <w:b/>
          <w:bCs/>
          <w:color w:val="1E3A5F"/>
          <w:sz w:val="32"/>
          <w:szCs w:val="32"/>
        </w:rPr>
        <w:t xml:space="preserve">Part F — Platform Strategy</w:t>
      </w:r>
    </w:p>
    <w:p>
      <w:pPr>
        <w:pStyle w:val="Heading2"/>
        <w:spacing w:after="120" w:before="320"/>
      </w:pPr>
      <w:r>
        <w:rPr>
          <w:rFonts w:ascii="Arial" w:cs="Arial" w:eastAsia="Arial" w:hAnsi="Arial"/>
          <w:b/>
          <w:bCs/>
          <w:color w:val="1E3A5F"/>
          <w:sz w:val="26"/>
          <w:szCs w:val="26"/>
        </w:rPr>
        <w:t xml:space="preserve">From Custom Build to Reusable Product</w:t>
      </w:r>
    </w:p>
    <w:p>
      <w:pPr>
        <w:spacing w:after="120"/>
      </w:pPr>
      <w:r>
        <w:rPr>
          <w:rFonts w:ascii="Arial" w:cs="Arial" w:eastAsia="Arial" w:hAnsi="Arial"/>
          <w:color w:val="0F172A"/>
          <w:sz w:val="22"/>
          <w:szCs w:val="22"/>
        </w:rPr>
        <w:t xml:space="preserve">Every design decision in this engagement is made with the next 5 clients in mind. The difference between a consulting project and a product company is whether the work compounds.</w:t>
      </w:r>
    </w:p>
    <w:p>
      <w:pPr>
        <w:spacing w:after="80"/>
      </w:pPr>
      <w:r>
        <w:t xml:space="preserve"/>
      </w:r>
    </w:p>
    <w:p>
      <w:pPr>
        <w:pStyle w:val="Heading3"/>
        <w:spacing w:after="80" w:before="240"/>
      </w:pPr>
      <w:r>
        <w:rPr>
          <w:rFonts w:ascii="Arial" w:cs="Arial" w:eastAsia="Arial" w:hAnsi="Arial"/>
          <w:b/>
          <w:bCs/>
          <w:color w:val="2563EB"/>
          <w:sz w:val="22"/>
          <w:szCs w:val="22"/>
        </w:rPr>
        <w:t xml:space="preserve">What Gets Reused Across Clients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Reusability</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Configuration Needed Per Client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 ingestion connectors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 SuccessFactors, Workable, Moodle are used by many Indonesian enterprises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Credentials, field mapping, refresh cadence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Identity resolution engine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 — same fuzzy-match logic works for any HR system pair</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Field mapping for name + join date fields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Canonical skill taxonomy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 — 15 canonical roles for Medika; extend to 50+ for broader use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Industry-specific role additions (e.g., healthcare roles for hospitals)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Title normalization library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Medium-High — variant-to-canonical mapping is the key IP</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Client submits their title variants; we add to the mapping table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Attrition model architecture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 same feature engineering, different training data per client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Retrain on client's historical data; confidence thresholds may differ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Confidence scoring framework</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High — data quality signals are universal</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Threshold calibration per client (what 'Low' means depends on data maturity)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HR manager UI shell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 same information architecture, different branding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Logo, color scheme, custom field labels</w:t>
            </w:r>
          </w:p>
        </w:tc>
      </w:tr>
    </w:tbl>
    <w:p>
      <w:pPr>
        <w:spacing w:after="160"/>
      </w:pPr>
      <w:r>
        <w:t xml:space="preserve"/>
      </w:r>
    </w:p>
    <w:p>
      <w:pPr>
        <w:pStyle w:val="Heading3"/>
        <w:spacing w:after="80" w:before="240"/>
      </w:pPr>
      <w:r>
        <w:rPr>
          <w:rFonts w:ascii="Arial" w:cs="Arial" w:eastAsia="Arial" w:hAnsi="Arial"/>
          <w:b/>
          <w:bCs/>
          <w:color w:val="2563EB"/>
          <w:sz w:val="22"/>
          <w:szCs w:val="22"/>
        </w:rPr>
        <w:t xml:space="preserve">The Platform Business Model Argument</w:t>
      </w:r>
    </w:p>
    <w:p>
      <w:pPr>
        <w:spacing w:after="120"/>
      </w:pPr>
      <w:r>
        <w:rPr>
          <w:rFonts w:ascii="Arial" w:cs="Arial" w:eastAsia="Arial" w:hAnsi="Arial"/>
          <w:color w:val="0F172A"/>
          <w:sz w:val="22"/>
          <w:szCs w:val="22"/>
        </w:rPr>
        <w:t xml:space="preserve">Client 1 (Medika Nusantara): We build the connectors, the taxonomy, the model, and the UI from scratch. Cost: Rp 2.5B, 12 months.</w:t>
      </w:r>
    </w:p>
    <w:p>
      <w:pPr>
        <w:spacing w:after="120"/>
      </w:pPr>
      <w:r>
        <w:rPr>
          <w:rFonts w:ascii="Arial" w:cs="Arial" w:eastAsia="Arial" w:hAnsi="Arial"/>
          <w:color w:val="0F172A"/>
          <w:sz w:val="22"/>
          <w:szCs w:val="22"/>
        </w:rPr>
        <w:t xml:space="preserve">Client 2 (same HRIS stack): Connectors reused. Taxonomy extended by 20 roles. Model retrained on their data. UI re-skinned. Cost: Rp 1.2B, 6 months.</w:t>
      </w:r>
    </w:p>
    <w:p>
      <w:pPr>
        <w:spacing w:after="120"/>
      </w:pPr>
      <w:r>
        <w:rPr>
          <w:rFonts w:ascii="Arial" w:cs="Arial" w:eastAsia="Arial" w:hAnsi="Arial"/>
          <w:color w:val="0F172A"/>
          <w:sz w:val="22"/>
          <w:szCs w:val="22"/>
        </w:rPr>
        <w:t xml:space="preserve">Client 3-5: Cost continues to decline. Margin improves. Rakamin builds network effects in the HR data layer — client data helps improve the canonical taxonomy and model priors for all subsequent clients (with anonymization and consent).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The Killer Insight</w:t>
            </w:r>
          </w:p>
          <w:p>
            <w:pPr>
              <w:spacing w:after="0"/>
            </w:pPr>
            <w:r>
              <w:rPr>
                <w:rFonts w:ascii="Arial" w:cs="Arial" w:eastAsia="Arial" w:hAnsi="Arial"/>
                <w:color w:val="0F172A"/>
                <w:sz w:val="20"/>
                <w:szCs w:val="20"/>
              </w:rPr>
              <w:t xml:space="preserve">The data layer — identity resolution + title normalization + skill taxonomy + confidence scoring — is the product. The AI model is the feature that demonstrates its value. The UI is the distribution mechanism. Every enterprise client in Indonesia has the same data mess. We solve it once and sell it many times.</w:t>
            </w:r>
          </w:p>
        </w:tc>
      </w:tr>
    </w:tbl>
    <w:p>
      <w:pPr>
        <w:spacing w:after="160"/>
      </w:pPr>
      <w:r>
        <w:t xml:space="preserve"/>
      </w:r>
    </w:p>
    <w:p>
      <w:pPr>
        <w:pStyle w:val="Heading1"/>
        <w:pBdr>
          <w:bottom w:val="single" w:color="2563EB" w:sz="8" w:space="6"/>
        </w:pBdr>
        <w:spacing w:after="200" w:before="480"/>
      </w:pPr>
      <w:r>
        <w:rPr>
          <w:rFonts w:ascii="Arial" w:cs="Arial" w:eastAsia="Arial" w:hAnsi="Arial"/>
          <w:b/>
          <w:bCs/>
          <w:color w:val="1E3A5F"/>
          <w:sz w:val="32"/>
          <w:szCs w:val="32"/>
        </w:rPr>
        <w:t xml:space="preserve">Appendix — Constraint Management</w:t>
      </w:r>
    </w:p>
    <w:p>
      <w:pPr>
        <w:pStyle w:val="Heading2"/>
        <w:spacing w:after="120" w:before="320"/>
      </w:pPr>
      <w:r>
        <w:rPr>
          <w:rFonts w:ascii="Arial" w:cs="Arial" w:eastAsia="Arial" w:hAnsi="Arial"/>
          <w:b/>
          <w:bCs/>
          <w:color w:val="1E3A5F"/>
          <w:sz w:val="26"/>
          <w:szCs w:val="26"/>
        </w:rPr>
        <w:t xml:space="preserve">Oracle Payroll Exclusion — Full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Compensation signals lost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Est. 8-12% accuracy reduction in attrition model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Increase weight on absence, LMS disengagement, performance trajectory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Grade band / salary tier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Cannot compare pay equity or underpay risk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If comp grade is in SuccessFactors, use as proxy. If not, defer to Phase 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Oracle ID for identity resolution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MN-XXXX IDs cannot be linked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HRIS-ATS match is sufficient for 90-day PoC. Architecture supports Oracle extension in Phase 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Payroll history for tenure validation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Cannot cross-validate join dates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Use HRIS join date as primary source. Flag discrepancies between HRIS and ATS join dates.</w:t>
            </w:r>
          </w:p>
        </w:tc>
      </w:tr>
    </w:tbl>
    <w:p>
      <w:pPr>
        <w:spacing w:after="160"/>
      </w:pPr>
      <w:r>
        <w:t xml:space="preserve"/>
      </w:r>
    </w:p>
    <w:p>
      <w:pPr>
        <w:pBdr>
          <w:top w:val="single" w:color="E2E8F0" w:sz="4" w:space="8"/>
        </w:pBdr>
        <w:spacing w:before="480"/>
        <w:jc w:val="center"/>
      </w:pPr>
      <w:r>
        <w:rPr>
          <w:rFonts w:ascii="Arial" w:cs="Arial" w:eastAsia="Arial" w:hAnsi="Arial"/>
          <w:color w:val="9CA3AF"/>
          <w:sz w:val="18"/>
          <w:szCs w:val="18"/>
        </w:rPr>
        <w:t xml:space="preserve">PeopleSignal · Medika Nusantara Engagement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2026-04-19T08:26:58.784Z</dcterms:created>
  <dcterms:modified xsi:type="dcterms:W3CDTF">2026-04-19T08:26:58.785Z</dcterms:modified>
</cp:coreProperties>
</file>

<file path=docProps/custom.xml><?xml version="1.0" encoding="utf-8"?>
<Properties xmlns="http://schemas.openxmlformats.org/officeDocument/2006/custom-properties" xmlns:vt="http://schemas.openxmlformats.org/officeDocument/2006/docPropsVTypes"/>
</file>