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pPr>
    </w:p>
    <w:p>
      <w:pPr>
        <w:bidi/>
        <w:spacing w:after="80"/>
        <w:jc w:val="center"/>
      </w:pPr>
      <w:r>
        <w:rPr>
          <w:rFonts w:ascii="Segoe UI" w:hAnsi="Segoe UI" w:cs="Segoe UI"/>
          <w:b/>
          <w:bCs/>
          <w:color w:val="1D4ED8"/>
          <w:sz w:val="26"/>
          <w:szCs w:val="26"/>
          <w:rtl/>
        </w:rPr>
        <w:t>تقرير تحليلي موثّق — نسخة Word قابلة للتحرير</w:t>
      </w:r>
    </w:p>
    <w:p>
      <w:pPr>
        <w:bidi/>
        <w:spacing w:after="80"/>
        <w:jc w:val="center"/>
      </w:pPr>
      <w:r>
        <w:rPr>
          <w:rFonts w:ascii="Segoe UI" w:hAnsi="Segoe UI" w:cs="Segoe UI"/>
          <w:b/>
          <w:bCs/>
          <w:color w:val="0F2A5C"/>
          <w:sz w:val="52"/>
          <w:szCs w:val="52"/>
          <w:rtl/>
        </w:rPr>
        <w:t>حركة الطيران في مطارات سوريا الثلاثة</w:t>
      </w:r>
    </w:p>
    <w:p>
      <w:pPr>
        <w:bidi/>
        <w:spacing w:after="200"/>
        <w:jc w:val="center"/>
      </w:pPr>
      <w:r>
        <w:rPr>
          <w:rFonts w:ascii="Segoe UI" w:hAnsi="Segoe UI" w:cs="Segoe UI"/>
          <w:b/>
          <w:bCs/>
          <w:color w:val="374151"/>
          <w:sz w:val="32"/>
          <w:szCs w:val="32"/>
          <w:rtl/>
        </w:rPr>
        <w:t>دمشق  ·  حلب  ·  اللاذقية</w:t>
      </w:r>
    </w:p>
    <w:p>
      <w:pPr>
        <w:bidi/>
        <w:spacing w:after="280"/>
        <w:jc w:val="center"/>
      </w:pPr>
      <w:r>
        <w:rPr>
          <w:rFonts w:ascii="Segoe UI" w:hAnsi="Segoe UI" w:cs="Segoe UI"/>
          <w:color w:val="475569"/>
          <w:sz w:val="23"/>
          <w:szCs w:val="23"/>
          <w:rtl/>
        </w:rPr>
        <w:t>الفترة: 2025-01-01 حتى 2026-09-07   |   25,063 حركة جوية   |   20 شهراً من البيانات</w:t>
      </w:r>
    </w:p>
    <w:tbl>
      <w:tblPr>
        <w:tblStyle w:val="TableGrid"/>
        <w:bidiVisual/>
        <w:tblW w:type="auto" w:w="0"/>
        <w:jc w:val="center"/>
        <w:tblLayout w:type="fixed"/>
        <w:tblLook w:firstColumn="1" w:firstRow="1" w:lastColumn="0" w:lastRow="0" w:noHBand="0" w:noVBand="1" w:val="04A0"/>
      </w:tblPr>
      <w:tblGrid>
        <w:gridCol w:w="2409"/>
        <w:gridCol w:w="2409"/>
        <w:gridCol w:w="2409"/>
        <w:gridCol w:w="2409"/>
      </w:tblGrid>
      <w:tr>
        <w:tc>
          <w:tcPr>
            <w:tcW w:type="dxa" w:w="2608"/>
            <w:shd w:val="clear" w:fill="0F2A5C"/>
          </w:tcPr>
          <w:p>
            <w:pPr>
              <w:bidi/>
              <w:spacing w:after="0"/>
              <w:jc w:val="center"/>
            </w:pPr>
            <w:r>
              <w:rPr>
                <w:rFonts w:ascii="Segoe UI" w:hAnsi="Segoe UI" w:cs="Segoe UI"/>
                <w:b/>
                <w:bCs/>
                <w:color w:val="FFFFFF"/>
                <w:sz w:val="19"/>
                <w:szCs w:val="19"/>
                <w:rtl/>
              </w:rPr>
              <w:t>المؤشر</w:t>
            </w:r>
          </w:p>
        </w:tc>
        <w:tc>
          <w:tcPr>
            <w:tcW w:type="dxa" w:w="1928"/>
            <w:shd w:val="clear" w:fill="0F2A5C"/>
          </w:tcPr>
          <w:p>
            <w:pPr>
              <w:bidi/>
              <w:spacing w:after="0"/>
              <w:jc w:val="center"/>
            </w:pPr>
            <w:r>
              <w:rPr>
                <w:rFonts w:ascii="Segoe UI" w:hAnsi="Segoe UI" w:cs="Segoe UI"/>
                <w:b/>
                <w:bCs/>
                <w:color w:val="FFFFFF"/>
                <w:sz w:val="19"/>
                <w:szCs w:val="19"/>
                <w:rtl/>
              </w:rPr>
              <w:t>القيمة</w:t>
            </w:r>
          </w:p>
        </w:tc>
        <w:tc>
          <w:tcPr>
            <w:tcW w:type="dxa" w:w="2608"/>
            <w:shd w:val="clear" w:fill="0F2A5C"/>
          </w:tcPr>
          <w:p>
            <w:pPr>
              <w:bidi/>
              <w:spacing w:after="0"/>
              <w:jc w:val="center"/>
            </w:pPr>
            <w:r>
              <w:rPr>
                <w:rFonts w:ascii="Segoe UI" w:hAnsi="Segoe UI" w:cs="Segoe UI"/>
                <w:b/>
                <w:bCs/>
                <w:color w:val="FFFFFF"/>
                <w:sz w:val="19"/>
                <w:szCs w:val="19"/>
                <w:rtl/>
              </w:rPr>
              <w:t>المؤشر</w:t>
            </w:r>
          </w:p>
        </w:tc>
        <w:tc>
          <w:tcPr>
            <w:tcW w:type="dxa" w:w="1928"/>
            <w:shd w:val="clear" w:fill="0F2A5C"/>
          </w:tcPr>
          <w:p>
            <w:pPr>
              <w:bidi/>
              <w:spacing w:after="0"/>
              <w:jc w:val="center"/>
            </w:pPr>
            <w:r>
              <w:rPr>
                <w:rFonts w:ascii="Segoe UI" w:hAnsi="Segoe UI" w:cs="Segoe UI"/>
                <w:b/>
                <w:bCs/>
                <w:color w:val="FFFFFF"/>
                <w:sz w:val="19"/>
                <w:szCs w:val="19"/>
                <w:rtl/>
              </w:rPr>
              <w:t>القيمة</w:t>
            </w:r>
          </w:p>
        </w:tc>
      </w:tr>
      <w:tr>
        <w:tc>
          <w:tcPr>
            <w:tcW w:type="dxa" w:w="2608"/>
          </w:tcPr>
          <w:p>
            <w:pPr>
              <w:bidi/>
              <w:spacing w:after="0"/>
            </w:pPr>
            <w:r>
              <w:rPr>
                <w:rFonts w:ascii="Segoe UI" w:hAnsi="Segoe UI" w:cs="Segoe UI"/>
                <w:sz w:val="19"/>
                <w:szCs w:val="19"/>
                <w:rtl/>
              </w:rPr>
              <w:t>إجمالي الحركات</w:t>
            </w:r>
          </w:p>
        </w:tc>
        <w:tc>
          <w:tcPr>
            <w:tcW w:type="dxa" w:w="1928"/>
          </w:tcPr>
          <w:p>
            <w:pPr>
              <w:bidi/>
              <w:spacing w:after="0"/>
              <w:jc w:val="center"/>
            </w:pPr>
            <w:r>
              <w:rPr>
                <w:rFonts w:ascii="Segoe UI" w:hAnsi="Segoe UI" w:cs="Segoe UI"/>
                <w:sz w:val="19"/>
                <w:szCs w:val="19"/>
                <w:rtl/>
              </w:rPr>
              <w:t>25,063</w:t>
            </w:r>
          </w:p>
        </w:tc>
        <w:tc>
          <w:tcPr>
            <w:tcW w:type="dxa" w:w="2608"/>
          </w:tcPr>
          <w:p>
            <w:pPr>
              <w:bidi/>
              <w:spacing w:after="0"/>
              <w:jc w:val="center"/>
            </w:pPr>
            <w:r>
              <w:rPr>
                <w:rFonts w:ascii="Segoe UI" w:hAnsi="Segoe UI" w:cs="Segoe UI"/>
                <w:sz w:val="19"/>
                <w:szCs w:val="19"/>
                <w:rtl/>
              </w:rPr>
              <w:t>شركات التشغيل</w:t>
            </w:r>
          </w:p>
        </w:tc>
        <w:tc>
          <w:tcPr>
            <w:tcW w:type="dxa" w:w="1928"/>
          </w:tcPr>
          <w:p>
            <w:pPr>
              <w:bidi/>
              <w:spacing w:after="0"/>
              <w:jc w:val="center"/>
            </w:pPr>
            <w:r>
              <w:rPr>
                <w:rFonts w:ascii="Segoe UI" w:hAnsi="Segoe UI" w:cs="Segoe UI"/>
                <w:sz w:val="19"/>
                <w:szCs w:val="19"/>
                <w:rtl/>
              </w:rPr>
              <w:t>63</w:t>
            </w:r>
          </w:p>
        </w:tc>
      </w:tr>
      <w:tr>
        <w:tc>
          <w:tcPr>
            <w:tcW w:type="dxa" w:w="2608"/>
            <w:shd w:val="clear" w:fill="F5F7FA"/>
          </w:tcPr>
          <w:p>
            <w:pPr>
              <w:bidi/>
              <w:spacing w:after="0"/>
            </w:pPr>
            <w:r>
              <w:rPr>
                <w:rFonts w:ascii="Segoe UI" w:hAnsi="Segoe UI" w:cs="Segoe UI"/>
                <w:sz w:val="19"/>
                <w:szCs w:val="19"/>
                <w:rtl/>
              </w:rPr>
              <w:t>حركات دمشق</w:t>
            </w:r>
          </w:p>
        </w:tc>
        <w:tc>
          <w:tcPr>
            <w:tcW w:type="dxa" w:w="1928"/>
            <w:shd w:val="clear" w:fill="F5F7FA"/>
          </w:tcPr>
          <w:p>
            <w:pPr>
              <w:bidi/>
              <w:spacing w:after="0"/>
              <w:jc w:val="center"/>
            </w:pPr>
            <w:r>
              <w:rPr>
                <w:rFonts w:ascii="Segoe UI" w:hAnsi="Segoe UI" w:cs="Segoe UI"/>
                <w:sz w:val="19"/>
                <w:szCs w:val="19"/>
                <w:rtl/>
              </w:rPr>
              <w:t>19,743</w:t>
            </w:r>
          </w:p>
        </w:tc>
        <w:tc>
          <w:tcPr>
            <w:tcW w:type="dxa" w:w="2608"/>
            <w:shd w:val="clear" w:fill="F5F7FA"/>
          </w:tcPr>
          <w:p>
            <w:pPr>
              <w:bidi/>
              <w:spacing w:after="0"/>
              <w:jc w:val="center"/>
            </w:pPr>
            <w:r>
              <w:rPr>
                <w:rFonts w:ascii="Segoe UI" w:hAnsi="Segoe UI" w:cs="Segoe UI"/>
                <w:sz w:val="19"/>
                <w:szCs w:val="19"/>
                <w:rtl/>
              </w:rPr>
              <w:t>وجهة مختلفة</w:t>
            </w:r>
          </w:p>
        </w:tc>
        <w:tc>
          <w:tcPr>
            <w:tcW w:type="dxa" w:w="1928"/>
            <w:shd w:val="clear" w:fill="F5F7FA"/>
          </w:tcPr>
          <w:p>
            <w:pPr>
              <w:bidi/>
              <w:spacing w:after="0"/>
              <w:jc w:val="center"/>
            </w:pPr>
            <w:r>
              <w:rPr>
                <w:rFonts w:ascii="Segoe UI" w:hAnsi="Segoe UI" w:cs="Segoe UI"/>
                <w:sz w:val="19"/>
                <w:szCs w:val="19"/>
                <w:rtl/>
              </w:rPr>
              <w:t>103</w:t>
            </w:r>
          </w:p>
        </w:tc>
      </w:tr>
      <w:tr>
        <w:tc>
          <w:tcPr>
            <w:tcW w:type="dxa" w:w="2608"/>
          </w:tcPr>
          <w:p>
            <w:pPr>
              <w:bidi/>
              <w:spacing w:after="0"/>
            </w:pPr>
            <w:r>
              <w:rPr>
                <w:rFonts w:ascii="Segoe UI" w:hAnsi="Segoe UI" w:cs="Segoe UI"/>
                <w:sz w:val="19"/>
                <w:szCs w:val="19"/>
                <w:rtl/>
              </w:rPr>
              <w:t>حركات حلب</w:t>
            </w:r>
          </w:p>
        </w:tc>
        <w:tc>
          <w:tcPr>
            <w:tcW w:type="dxa" w:w="1928"/>
          </w:tcPr>
          <w:p>
            <w:pPr>
              <w:bidi/>
              <w:spacing w:after="0"/>
              <w:jc w:val="center"/>
            </w:pPr>
            <w:r>
              <w:rPr>
                <w:rFonts w:ascii="Segoe UI" w:hAnsi="Segoe UI" w:cs="Segoe UI"/>
                <w:sz w:val="19"/>
                <w:szCs w:val="19"/>
                <w:rtl/>
              </w:rPr>
              <w:t>5,068</w:t>
            </w:r>
          </w:p>
        </w:tc>
        <w:tc>
          <w:tcPr>
            <w:tcW w:type="dxa" w:w="2608"/>
          </w:tcPr>
          <w:p>
            <w:pPr>
              <w:bidi/>
              <w:spacing w:after="0"/>
              <w:jc w:val="center"/>
            </w:pPr>
            <w:r>
              <w:rPr>
                <w:rFonts w:ascii="Segoe UI" w:hAnsi="Segoe UI" w:cs="Segoe UI"/>
                <w:sz w:val="19"/>
                <w:szCs w:val="19"/>
                <w:rtl/>
              </w:rPr>
              <w:t>طائرة فريدة</w:t>
            </w:r>
          </w:p>
        </w:tc>
        <w:tc>
          <w:tcPr>
            <w:tcW w:type="dxa" w:w="1928"/>
          </w:tcPr>
          <w:p>
            <w:pPr>
              <w:bidi/>
              <w:spacing w:after="0"/>
              <w:jc w:val="center"/>
            </w:pPr>
            <w:r>
              <w:rPr>
                <w:rFonts w:ascii="Segoe UI" w:hAnsi="Segoe UI" w:cs="Segoe UI"/>
                <w:sz w:val="19"/>
                <w:szCs w:val="19"/>
                <w:rtl/>
              </w:rPr>
              <w:t>608</w:t>
            </w:r>
          </w:p>
        </w:tc>
      </w:tr>
      <w:tr>
        <w:tc>
          <w:tcPr>
            <w:tcW w:type="dxa" w:w="2608"/>
            <w:shd w:val="clear" w:fill="F5F7FA"/>
          </w:tcPr>
          <w:p>
            <w:pPr>
              <w:bidi/>
              <w:spacing w:after="0"/>
            </w:pPr>
            <w:r>
              <w:rPr>
                <w:rFonts w:ascii="Segoe UI" w:hAnsi="Segoe UI" w:cs="Segoe UI"/>
                <w:sz w:val="19"/>
                <w:szCs w:val="19"/>
                <w:rtl/>
              </w:rPr>
              <w:t>حركات اللاذقية</w:t>
            </w:r>
          </w:p>
        </w:tc>
        <w:tc>
          <w:tcPr>
            <w:tcW w:type="dxa" w:w="1928"/>
            <w:shd w:val="clear" w:fill="F5F7FA"/>
          </w:tcPr>
          <w:p>
            <w:pPr>
              <w:bidi/>
              <w:spacing w:after="0"/>
              <w:jc w:val="center"/>
            </w:pPr>
            <w:r>
              <w:rPr>
                <w:rFonts w:ascii="Segoe UI" w:hAnsi="Segoe UI" w:cs="Segoe UI"/>
                <w:sz w:val="19"/>
                <w:szCs w:val="19"/>
                <w:rtl/>
              </w:rPr>
              <w:t>252</w:t>
            </w:r>
          </w:p>
        </w:tc>
        <w:tc>
          <w:tcPr>
            <w:tcW w:type="dxa" w:w="2608"/>
            <w:shd w:val="clear" w:fill="F5F7FA"/>
          </w:tcPr>
          <w:p>
            <w:pPr>
              <w:bidi/>
              <w:spacing w:after="0"/>
              <w:jc w:val="center"/>
            </w:pPr>
            <w:r>
              <w:rPr>
                <w:rFonts w:ascii="Segoe UI" w:hAnsi="Segoe UI" w:cs="Segoe UI"/>
                <w:sz w:val="19"/>
                <w:szCs w:val="19"/>
                <w:rtl/>
              </w:rPr>
              <w:t>أنواع طائرات</w:t>
            </w:r>
          </w:p>
        </w:tc>
        <w:tc>
          <w:tcPr>
            <w:tcW w:type="dxa" w:w="1928"/>
            <w:shd w:val="clear" w:fill="F5F7FA"/>
          </w:tcPr>
          <w:p>
            <w:pPr>
              <w:bidi/>
              <w:spacing w:after="0"/>
              <w:jc w:val="center"/>
            </w:pPr>
            <w:r>
              <w:rPr>
                <w:rFonts w:ascii="Segoe UI" w:hAnsi="Segoe UI" w:cs="Segoe UI"/>
                <w:sz w:val="19"/>
                <w:szCs w:val="19"/>
                <w:rtl/>
              </w:rPr>
              <w:t>71</w:t>
            </w:r>
          </w:p>
        </w:tc>
      </w:tr>
    </w:tbl>
    <w:p>
      <w:pPr>
        <w:bidi/>
        <w:spacing w:after="80"/>
      </w:pPr>
    </w:p>
    <w:p>
      <w:pPr>
        <w:shd w:val="clear" w:fill="EFF6FF"/>
        <w:bidi/>
        <w:spacing w:after="160"/>
      </w:pPr>
      <w:r>
        <w:rPr>
          <w:rFonts w:ascii="Segoe UI" w:hAnsi="Segoe UI" w:cs="Segoe UI"/>
          <w:color w:val="374151"/>
          <w:sz w:val="21"/>
          <w:szCs w:val="21"/>
          <w:rtl/>
        </w:rPr>
        <w:t>هذه النسخة مبنية بالكامل بعناصر Word حية: كل النصوص والجداول قابلة للتحرير مباشرة، وكل رسم بياني هو «مخطط Word أصلي» — انقر بزر الفأرة الأيمن على أي رسم واختر «تحرير البيانات» لتعديل الأرقام في جدول Excel مضمّن، أو استخدم تبويب «تصميم المخطط» لتغيير النوع والألوان والعناوين. النصوص العربية داخل الرسوم يعرضها محرك Word نفسه، فتظهر بالتشكيل والاتجاه الصحيحين دائماً — لا توجد أي صور ثابتة في هذا الملف.</w:t>
      </w:r>
    </w:p>
    <w:p>
      <w:pPr>
        <w:bidi/>
        <w:spacing w:after="0"/>
        <w:jc w:val="center"/>
      </w:pPr>
      <w:r>
        <w:rPr>
          <w:rFonts w:ascii="Segoe UI" w:hAnsi="Segoe UI" w:cs="Segoe UI"/>
          <w:color w:val="6B7280"/>
          <w:sz w:val="19"/>
          <w:szCs w:val="19"/>
          <w:rtl/>
        </w:rPr>
        <w:t>تاريخ الإعداد: 2026-09-13 20:04 (توقيت دمشق) — أُنتج آلياً من الملفات الخام في data/raw/</w:t>
      </w:r>
    </w:p>
    <w:p>
      <w:r>
        <w:br w:type="page"/>
      </w:r>
    </w:p>
    <w:p>
      <w:pPr>
        <w:bidi/>
        <w:spacing w:after="200"/>
        <w:outlineLvl w:val="0"/>
      </w:pPr>
      <w:r>
        <w:rPr>
          <w:rFonts w:ascii="Segoe UI" w:hAnsi="Segoe UI" w:cs="Segoe UI"/>
          <w:b/>
          <w:bCs/>
          <w:color w:val="0F2A5C"/>
          <w:sz w:val="34"/>
          <w:szCs w:val="34"/>
          <w:rtl/>
        </w:rPr>
        <w:t>1. الملخص التنفيذي — أبرز النتائج</w:t>
      </w:r>
    </w:p>
    <w:p>
      <w:pPr>
        <w:bidi/>
        <w:spacing w:after="80"/>
      </w:pPr>
      <w:r>
        <w:rPr>
          <w:rFonts w:ascii="Segoe UI" w:hAnsi="Segoe UI" w:cs="Segoe UI"/>
          <w:color w:val="1D4ED8"/>
          <w:sz w:val="21"/>
          <w:szCs w:val="21"/>
          <w:rtl/>
        </w:rPr>
        <w:t xml:space="preserve">◆ </w:t>
      </w:r>
      <w:r>
        <w:rPr>
          <w:rFonts w:ascii="Segoe UI" w:hAnsi="Segoe UI" w:cs="Segoe UI"/>
          <w:b/>
          <w:bCs/>
          <w:sz w:val="22"/>
          <w:szCs w:val="22"/>
          <w:rtl/>
        </w:rPr>
        <w:t>دمشق هو المركز بلا منازع:</w:t>
      </w:r>
      <w:r>
        <w:rPr>
          <w:rFonts w:ascii="Segoe UI" w:hAnsi="Segoe UI" w:cs="Segoe UI"/>
          <w:sz w:val="22"/>
          <w:szCs w:val="22"/>
          <w:rtl/>
        </w:rPr>
        <w:t xml:space="preserve"> استحوذ على 19,743 حركة جوية أي 78.8% من الإجمالي، عبر 60 شركة تشغيل و95 وجهة مختلفة — تنوّع تشغيلي يفوق مجموع حلب واللاذقية معاً.</w:t>
      </w:r>
    </w:p>
    <w:p>
      <w:pPr>
        <w:bidi/>
        <w:spacing w:after="80"/>
      </w:pPr>
      <w:r>
        <w:rPr>
          <w:rFonts w:ascii="Segoe UI" w:hAnsi="Segoe UI" w:cs="Segoe UI"/>
          <w:color w:val="1D4ED8"/>
          <w:sz w:val="21"/>
          <w:szCs w:val="21"/>
          <w:rtl/>
        </w:rPr>
        <w:t xml:space="preserve">◆ </w:t>
      </w:r>
      <w:r>
        <w:rPr>
          <w:rFonts w:ascii="Segoe UI" w:hAnsi="Segoe UI" w:cs="Segoe UI"/>
          <w:b/>
          <w:bCs/>
          <w:sz w:val="22"/>
          <w:szCs w:val="22"/>
          <w:rtl/>
        </w:rPr>
        <w:t>حلب هو قصة النمو:</w:t>
      </w:r>
      <w:r>
        <w:rPr>
          <w:rFonts w:ascii="Segoe UI" w:hAnsi="Segoe UI" w:cs="Segoe UI"/>
          <w:sz w:val="22"/>
          <w:szCs w:val="22"/>
          <w:rtl/>
        </w:rPr>
        <w:t xml:space="preserve"> من 630 حركة (يناير–أغسطس 2025) إلى 2,886 في الفترة نفسها من 2026، بنمو +358.1%.</w:t>
      </w:r>
    </w:p>
    <w:p>
      <w:pPr>
        <w:bidi/>
        <w:spacing w:after="80"/>
      </w:pPr>
      <w:r>
        <w:rPr>
          <w:rFonts w:ascii="Segoe UI" w:hAnsi="Segoe UI" w:cs="Segoe UI"/>
          <w:color w:val="1D4ED8"/>
          <w:sz w:val="21"/>
          <w:szCs w:val="21"/>
          <w:rtl/>
        </w:rPr>
        <w:t xml:space="preserve">◆ </w:t>
      </w:r>
      <w:r>
        <w:rPr>
          <w:rFonts w:ascii="Segoe UI" w:hAnsi="Segoe UI" w:cs="Segoe UI"/>
          <w:b/>
          <w:bCs/>
          <w:sz w:val="22"/>
          <w:szCs w:val="22"/>
          <w:rtl/>
        </w:rPr>
        <w:t>اللاذقية ليست مطاراً مدنياً فعلياً في هذه الفترة:</w:t>
      </w:r>
      <w:r>
        <w:rPr>
          <w:rFonts w:ascii="Segoe UI" w:hAnsi="Segoe UI" w:cs="Segoe UI"/>
          <w:sz w:val="22"/>
          <w:szCs w:val="22"/>
          <w:rtl/>
        </w:rPr>
        <w:t xml:space="preserve"> من أصل 252 حركة فقط، شكّلت العمليات العسكرية والحكومية 96.0%، أغلبها جسر جوي روسي يربط غالبه بقاعدة تشكالوفسكي قرب موسكو (52 رحلة) بطائرات An-124 وIL-76.</w:t>
      </w:r>
    </w:p>
    <w:p>
      <w:pPr>
        <w:bidi/>
        <w:spacing w:after="80"/>
      </w:pPr>
      <w:r>
        <w:rPr>
          <w:rFonts w:ascii="Segoe UI" w:hAnsi="Segoe UI" w:cs="Segoe UI"/>
          <w:color w:val="1D4ED8"/>
          <w:sz w:val="21"/>
          <w:szCs w:val="21"/>
          <w:rtl/>
        </w:rPr>
        <w:t xml:space="preserve">◆ </w:t>
      </w:r>
      <w:r>
        <w:rPr>
          <w:rFonts w:ascii="Segoe UI" w:hAnsi="Segoe UI" w:cs="Segoe UI"/>
          <w:b/>
          <w:bCs/>
          <w:sz w:val="22"/>
          <w:szCs w:val="22"/>
          <w:rtl/>
        </w:rPr>
        <w:t>ممر الخليج يهيمن على دمشق:</w:t>
      </w:r>
      <w:r>
        <w:rPr>
          <w:rFonts w:ascii="Segoe UI" w:hAnsi="Segoe UI" w:cs="Segoe UI"/>
          <w:sz w:val="22"/>
          <w:szCs w:val="22"/>
          <w:rtl/>
        </w:rPr>
        <w:t xml:space="preserve"> 68.3% من مغادرات دمشق الدولية تتجه إلى مطارات الخليج (الكويت، دبي، الشارقة، الدوحة، الرياض...)، فيما تميل شبكة حلب أكثر نحو عمّان وإسطنبول.</w:t>
      </w:r>
    </w:p>
    <w:p>
      <w:pPr>
        <w:bidi/>
        <w:spacing w:after="80"/>
      </w:pPr>
      <w:r>
        <w:rPr>
          <w:rFonts w:ascii="Segoe UI" w:hAnsi="Segoe UI" w:cs="Segoe UI"/>
          <w:color w:val="1D4ED8"/>
          <w:sz w:val="21"/>
          <w:szCs w:val="21"/>
          <w:rtl/>
        </w:rPr>
        <w:t xml:space="preserve">◆ </w:t>
      </w:r>
      <w:r>
        <w:rPr>
          <w:rFonts w:ascii="Segoe UI" w:hAnsi="Segoe UI" w:cs="Segoe UI"/>
          <w:b/>
          <w:bCs/>
          <w:sz w:val="22"/>
          <w:szCs w:val="22"/>
          <w:rtl/>
        </w:rPr>
        <w:t>سوق دمشق متنافس وغير مركّز:</w:t>
      </w:r>
      <w:r>
        <w:rPr>
          <w:rFonts w:ascii="Segoe UI" w:hAnsi="Segoe UI" w:cs="Segoe UI"/>
          <w:sz w:val="22"/>
          <w:szCs w:val="22"/>
          <w:rtl/>
        </w:rPr>
        <w:t xml:space="preserve"> أكبر شركة (الخطوط السورية، 16.0%) لا تستحوذ إلا على سدس السوق تقريباً، ومؤشر HHI = 881 يشير إلى سوق متوازن؛ مقابل تركّز أعلى في حلب (HHI = 1433) بقيادة الملكية الأردنية (27.8%).</w:t>
      </w:r>
    </w:p>
    <w:p>
      <w:pPr>
        <w:bidi/>
        <w:spacing w:after="80"/>
      </w:pPr>
      <w:r>
        <w:rPr>
          <w:rFonts w:ascii="Segoe UI" w:hAnsi="Segoe UI" w:cs="Segoe UI"/>
          <w:color w:val="1D4ED8"/>
          <w:sz w:val="21"/>
          <w:szCs w:val="21"/>
          <w:rtl/>
        </w:rPr>
        <w:t xml:space="preserve">◆ </w:t>
      </w:r>
      <w:r>
        <w:rPr>
          <w:rFonts w:ascii="Segoe UI" w:hAnsi="Segoe UI" w:cs="Segoe UI"/>
          <w:b/>
          <w:bCs/>
          <w:sz w:val="22"/>
          <w:szCs w:val="22"/>
          <w:rtl/>
        </w:rPr>
        <w:t>نمو مطّرد بعد الاستئناف:</w:t>
      </w:r>
      <w:r>
        <w:rPr>
          <w:rFonts w:ascii="Segoe UI" w:hAnsi="Segoe UI" w:cs="Segoe UI"/>
          <w:sz w:val="22"/>
          <w:szCs w:val="22"/>
          <w:rtl/>
        </w:rPr>
        <w:t xml:space="preserve"> نما مطار دمشق +30.7% (الفترة المماثلة)، وتضاعفت حركة اللاذقية العسكرية أكثر من ثلاث مرات (من 37 إلى 124 حركة).</w:t>
      </w:r>
    </w:p>
    <w:p>
      <w:pPr>
        <w:bidi/>
        <w:spacing w:after="80"/>
      </w:pPr>
      <w:r>
        <w:rPr>
          <w:rFonts w:ascii="Segoe UI" w:hAnsi="Segoe UI" w:cs="Segoe UI"/>
          <w:color w:val="1D4ED8"/>
          <w:sz w:val="21"/>
          <w:szCs w:val="21"/>
          <w:rtl/>
        </w:rPr>
        <w:t xml:space="preserve">◆ </w:t>
      </w:r>
      <w:r>
        <w:rPr>
          <w:rFonts w:ascii="Segoe UI" w:hAnsi="Segoe UI" w:cs="Segoe UI"/>
          <w:b/>
          <w:bCs/>
          <w:sz w:val="22"/>
          <w:szCs w:val="22"/>
          <w:rtl/>
        </w:rPr>
        <w:t>أسطول ضيق البدن غالباً مع حضور عريض البدن في دمشق:</w:t>
      </w:r>
      <w:r>
        <w:rPr>
          <w:rFonts w:ascii="Segoe UI" w:hAnsi="Segoe UI" w:cs="Segoe UI"/>
          <w:sz w:val="22"/>
          <w:szCs w:val="22"/>
          <w:rtl/>
        </w:rPr>
        <w:t xml:space="preserve"> عائلة A320 هي العمود الفقري في المطارات المدنية، بينما تشكل الطائرات العريضة البدن (A330/B777/B787) 9.9% من حركات دمشق مقابل 25.4% في اللاذقية حيث تسيطر منصات الشحن الاستراتيجي An-124.</w:t>
      </w:r>
    </w:p>
    <w:p>
      <w:r>
        <w:br w:type="page"/>
      </w:r>
    </w:p>
    <w:p>
      <w:pPr>
        <w:bidi/>
        <w:spacing w:after="200"/>
        <w:outlineLvl w:val="0"/>
      </w:pPr>
      <w:r>
        <w:rPr>
          <w:rFonts w:ascii="Segoe UI" w:hAnsi="Segoe UI" w:cs="Segoe UI"/>
          <w:b/>
          <w:bCs/>
          <w:color w:val="0F2A5C"/>
          <w:sz w:val="34"/>
          <w:szCs w:val="34"/>
          <w:rtl/>
        </w:rPr>
        <w:t>2. المنهجية، تعريفات المؤشرات، وجودة البيانات</w:t>
      </w:r>
    </w:p>
    <w:p>
      <w:pPr>
        <w:bidi/>
        <w:spacing w:after="120"/>
        <w:outlineLvl w:val="1"/>
      </w:pPr>
      <w:r>
        <w:rPr>
          <w:rFonts w:ascii="Segoe UI" w:hAnsi="Segoe UI" w:cs="Segoe UI"/>
          <w:b/>
          <w:bCs/>
          <w:color w:val="1F2937"/>
          <w:sz w:val="27"/>
          <w:szCs w:val="27"/>
          <w:rtl/>
        </w:rPr>
        <w:t>2.1 مصدر البيانات وملفاته</w:t>
      </w:r>
    </w:p>
    <w:p>
      <w:pPr>
        <w:bidi/>
        <w:spacing w:after="120"/>
      </w:pPr>
      <w:r>
        <w:rPr>
          <w:rFonts w:ascii="Segoe UI" w:hAnsi="Segoe UI" w:cs="Segoe UI"/>
          <w:sz w:val="22"/>
          <w:szCs w:val="22"/>
          <w:rtl/>
        </w:rPr>
        <w:t>اعتمد التحليل على ثلاثة ملفات CSV من مستودع GitHub ‏(HoseenAlhlak/HoseenAlhlak) بنمط سجلات تتبّع الرحلات، بواقع 25 عموداً لكل سجل تشمل: رقم الرحلة، المشغّل، نوع الطائرة وتسجيلها، مطارا الانطلاق والوصول وأوقاتهما، مدة الرحلة، المسافة الفعلية، الفئة، والمدارج المستخدمة.</w:t>
      </w:r>
    </w:p>
    <w:tbl>
      <w:tblPr>
        <w:tblStyle w:val="TableGrid"/>
        <w:bidiVisual/>
        <w:tblW w:type="auto" w:w="0"/>
        <w:jc w:val="center"/>
        <w:tblLayout w:type="fixed"/>
        <w:tblLook w:firstColumn="1" w:firstRow="1" w:lastColumn="0" w:lastRow="0" w:noHBand="0" w:noVBand="1" w:val="04A0"/>
      </w:tblPr>
      <w:tblGrid>
        <w:gridCol w:w="1928"/>
        <w:gridCol w:w="1928"/>
        <w:gridCol w:w="1928"/>
        <w:gridCol w:w="1928"/>
        <w:gridCol w:w="1928"/>
      </w:tblGrid>
      <w:tr>
        <w:tc>
          <w:tcPr>
            <w:tcW w:type="dxa" w:w="2948"/>
            <w:shd w:val="clear" w:fill="0F2A5C"/>
          </w:tcPr>
          <w:p>
            <w:pPr>
              <w:bidi/>
              <w:spacing w:after="0"/>
              <w:jc w:val="center"/>
            </w:pPr>
            <w:r>
              <w:rPr>
                <w:rFonts w:ascii="Segoe UI" w:hAnsi="Segoe UI" w:cs="Segoe UI"/>
                <w:b/>
                <w:bCs/>
                <w:color w:val="FFFFFF"/>
                <w:sz w:val="17"/>
                <w:szCs w:val="17"/>
                <w:rtl/>
              </w:rPr>
              <w:t>الملف</w:t>
            </w:r>
          </w:p>
        </w:tc>
        <w:tc>
          <w:tcPr>
            <w:tcW w:type="dxa" w:w="2041"/>
            <w:shd w:val="clear" w:fill="0F2A5C"/>
          </w:tcPr>
          <w:p>
            <w:pPr>
              <w:bidi/>
              <w:spacing w:after="0"/>
              <w:jc w:val="center"/>
            </w:pPr>
            <w:r>
              <w:rPr>
                <w:rFonts w:ascii="Segoe UI" w:hAnsi="Segoe UI" w:cs="Segoe UI"/>
                <w:b/>
                <w:bCs/>
                <w:color w:val="FFFFFF"/>
                <w:sz w:val="17"/>
                <w:szCs w:val="17"/>
                <w:rtl/>
              </w:rPr>
              <w:t>المطار</w:t>
            </w:r>
          </w:p>
        </w:tc>
        <w:tc>
          <w:tcPr>
            <w:tcW w:type="dxa" w:w="1247"/>
            <w:shd w:val="clear" w:fill="0F2A5C"/>
          </w:tcPr>
          <w:p>
            <w:pPr>
              <w:bidi/>
              <w:spacing w:after="0"/>
              <w:jc w:val="center"/>
            </w:pPr>
            <w:r>
              <w:rPr>
                <w:rFonts w:ascii="Segoe UI" w:hAnsi="Segoe UI" w:cs="Segoe UI"/>
                <w:b/>
                <w:bCs/>
                <w:color w:val="FFFFFF"/>
                <w:sz w:val="17"/>
                <w:szCs w:val="17"/>
                <w:rtl/>
              </w:rPr>
              <w:t>السجلات</w:t>
            </w:r>
          </w:p>
        </w:tc>
        <w:tc>
          <w:tcPr>
            <w:tcW w:type="dxa" w:w="1417"/>
            <w:shd w:val="clear" w:fill="0F2A5C"/>
          </w:tcPr>
          <w:p>
            <w:pPr>
              <w:bidi/>
              <w:spacing w:after="0"/>
              <w:jc w:val="center"/>
            </w:pPr>
            <w:r>
              <w:rPr>
                <w:rFonts w:ascii="Segoe UI" w:hAnsi="Segoe UI" w:cs="Segoe UI"/>
                <w:b/>
                <w:bCs/>
                <w:color w:val="FFFFFF"/>
                <w:sz w:val="17"/>
                <w:szCs w:val="17"/>
                <w:rtl/>
              </w:rPr>
              <w:t>أول رصد</w:t>
            </w:r>
          </w:p>
        </w:tc>
        <w:tc>
          <w:tcPr>
            <w:tcW w:type="dxa" w:w="1417"/>
            <w:shd w:val="clear" w:fill="0F2A5C"/>
          </w:tcPr>
          <w:p>
            <w:pPr>
              <w:bidi/>
              <w:spacing w:after="0"/>
              <w:jc w:val="center"/>
            </w:pPr>
            <w:r>
              <w:rPr>
                <w:rFonts w:ascii="Segoe UI" w:hAnsi="Segoe UI" w:cs="Segoe UI"/>
                <w:b/>
                <w:bCs/>
                <w:color w:val="FFFFFF"/>
                <w:sz w:val="17"/>
                <w:szCs w:val="17"/>
                <w:rtl/>
              </w:rPr>
              <w:t>آخر رصد</w:t>
            </w:r>
          </w:p>
        </w:tc>
      </w:tr>
      <w:tr>
        <w:tc>
          <w:tcPr>
            <w:tcW w:type="dxa" w:w="2948"/>
          </w:tcPr>
          <w:p>
            <w:pPr>
              <w:bidi/>
              <w:spacing w:after="0"/>
            </w:pPr>
            <w:r>
              <w:rPr>
                <w:rFonts w:ascii="Segoe UI" w:hAnsi="Segoe UI" w:cs="Segoe UI"/>
                <w:sz w:val="17"/>
                <w:szCs w:val="17"/>
                <w:rtl/>
              </w:rPr>
              <w:t>flights_damascus_OSDI.csv</w:t>
            </w:r>
          </w:p>
        </w:tc>
        <w:tc>
          <w:tcPr>
            <w:tcW w:type="dxa" w:w="2041"/>
          </w:tcPr>
          <w:p>
            <w:pPr>
              <w:bidi/>
              <w:spacing w:after="0"/>
              <w:jc w:val="center"/>
            </w:pPr>
            <w:r>
              <w:rPr>
                <w:rFonts w:ascii="Segoe UI" w:hAnsi="Segoe UI" w:cs="Segoe UI"/>
                <w:sz w:val="17"/>
                <w:szCs w:val="17"/>
                <w:rtl/>
              </w:rPr>
              <w:t>دمشق DAM/OSDI</w:t>
            </w:r>
          </w:p>
        </w:tc>
        <w:tc>
          <w:tcPr>
            <w:tcW w:type="dxa" w:w="1247"/>
          </w:tcPr>
          <w:p>
            <w:pPr>
              <w:bidi/>
              <w:spacing w:after="0"/>
              <w:jc w:val="center"/>
            </w:pPr>
            <w:r>
              <w:rPr>
                <w:rFonts w:ascii="Segoe UI" w:hAnsi="Segoe UI" w:cs="Segoe UI"/>
                <w:sz w:val="17"/>
                <w:szCs w:val="17"/>
                <w:rtl/>
              </w:rPr>
              <w:t>19,743</w:t>
            </w:r>
          </w:p>
        </w:tc>
        <w:tc>
          <w:tcPr>
            <w:tcW w:type="dxa" w:w="1417"/>
          </w:tcPr>
          <w:p>
            <w:pPr>
              <w:bidi/>
              <w:spacing w:after="0"/>
              <w:jc w:val="center"/>
            </w:pPr>
            <w:r>
              <w:rPr>
                <w:rFonts w:ascii="Segoe UI" w:hAnsi="Segoe UI" w:cs="Segoe UI"/>
                <w:sz w:val="17"/>
                <w:szCs w:val="17"/>
                <w:rtl/>
              </w:rPr>
              <w:t>2025-01-01</w:t>
            </w:r>
          </w:p>
        </w:tc>
        <w:tc>
          <w:tcPr>
            <w:tcW w:type="dxa" w:w="1417"/>
          </w:tcPr>
          <w:p>
            <w:pPr>
              <w:bidi/>
              <w:spacing w:after="0"/>
              <w:jc w:val="center"/>
            </w:pPr>
            <w:r>
              <w:rPr>
                <w:rFonts w:ascii="Segoe UI" w:hAnsi="Segoe UI" w:cs="Segoe UI"/>
                <w:sz w:val="17"/>
                <w:szCs w:val="17"/>
                <w:rtl/>
              </w:rPr>
              <w:t>2026-09-06</w:t>
            </w:r>
          </w:p>
        </w:tc>
      </w:tr>
      <w:tr>
        <w:tc>
          <w:tcPr>
            <w:tcW w:type="dxa" w:w="2948"/>
            <w:shd w:val="clear" w:fill="F5F7FA"/>
          </w:tcPr>
          <w:p>
            <w:pPr>
              <w:bidi/>
              <w:spacing w:after="0"/>
            </w:pPr>
            <w:r>
              <w:rPr>
                <w:rFonts w:ascii="Segoe UI" w:hAnsi="Segoe UI" w:cs="Segoe UI"/>
                <w:sz w:val="17"/>
                <w:szCs w:val="17"/>
                <w:rtl/>
              </w:rPr>
              <w:t>flights_aleppo_OSAP.csv</w:t>
            </w:r>
          </w:p>
        </w:tc>
        <w:tc>
          <w:tcPr>
            <w:tcW w:type="dxa" w:w="2041"/>
            <w:shd w:val="clear" w:fill="F5F7FA"/>
          </w:tcPr>
          <w:p>
            <w:pPr>
              <w:bidi/>
              <w:spacing w:after="0"/>
              <w:jc w:val="center"/>
            </w:pPr>
            <w:r>
              <w:rPr>
                <w:rFonts w:ascii="Segoe UI" w:hAnsi="Segoe UI" w:cs="Segoe UI"/>
                <w:sz w:val="17"/>
                <w:szCs w:val="17"/>
                <w:rtl/>
              </w:rPr>
              <w:t>حلب ALP/OSAP</w:t>
            </w:r>
          </w:p>
        </w:tc>
        <w:tc>
          <w:tcPr>
            <w:tcW w:type="dxa" w:w="1247"/>
            <w:shd w:val="clear" w:fill="F5F7FA"/>
          </w:tcPr>
          <w:p>
            <w:pPr>
              <w:bidi/>
              <w:spacing w:after="0"/>
              <w:jc w:val="center"/>
            </w:pPr>
            <w:r>
              <w:rPr>
                <w:rFonts w:ascii="Segoe UI" w:hAnsi="Segoe UI" w:cs="Segoe UI"/>
                <w:sz w:val="17"/>
                <w:szCs w:val="17"/>
                <w:rtl/>
              </w:rPr>
              <w:t>5,068</w:t>
            </w:r>
          </w:p>
        </w:tc>
        <w:tc>
          <w:tcPr>
            <w:tcW w:type="dxa" w:w="1417"/>
            <w:shd w:val="clear" w:fill="F5F7FA"/>
          </w:tcPr>
          <w:p>
            <w:pPr>
              <w:bidi/>
              <w:spacing w:after="0"/>
              <w:jc w:val="center"/>
            </w:pPr>
            <w:r>
              <w:rPr>
                <w:rFonts w:ascii="Segoe UI" w:hAnsi="Segoe UI" w:cs="Segoe UI"/>
                <w:sz w:val="17"/>
                <w:szCs w:val="17"/>
                <w:rtl/>
              </w:rPr>
              <w:t>2025-01-10</w:t>
            </w:r>
          </w:p>
        </w:tc>
        <w:tc>
          <w:tcPr>
            <w:tcW w:type="dxa" w:w="1417"/>
            <w:shd w:val="clear" w:fill="F5F7FA"/>
          </w:tcPr>
          <w:p>
            <w:pPr>
              <w:bidi/>
              <w:spacing w:after="0"/>
              <w:jc w:val="center"/>
            </w:pPr>
            <w:r>
              <w:rPr>
                <w:rFonts w:ascii="Segoe UI" w:hAnsi="Segoe UI" w:cs="Segoe UI"/>
                <w:sz w:val="17"/>
                <w:szCs w:val="17"/>
                <w:rtl/>
              </w:rPr>
              <w:t>2026-09-07</w:t>
            </w:r>
          </w:p>
        </w:tc>
      </w:tr>
      <w:tr>
        <w:tc>
          <w:tcPr>
            <w:tcW w:type="dxa" w:w="2948"/>
          </w:tcPr>
          <w:p>
            <w:pPr>
              <w:bidi/>
              <w:spacing w:after="0"/>
            </w:pPr>
            <w:r>
              <w:rPr>
                <w:rFonts w:ascii="Segoe UI" w:hAnsi="Segoe UI" w:cs="Segoe UI"/>
                <w:sz w:val="17"/>
                <w:szCs w:val="17"/>
                <w:rtl/>
              </w:rPr>
              <w:t>flights_latakia_OSLK.csv</w:t>
            </w:r>
          </w:p>
        </w:tc>
        <w:tc>
          <w:tcPr>
            <w:tcW w:type="dxa" w:w="2041"/>
          </w:tcPr>
          <w:p>
            <w:pPr>
              <w:bidi/>
              <w:spacing w:after="0"/>
              <w:jc w:val="center"/>
            </w:pPr>
            <w:r>
              <w:rPr>
                <w:rFonts w:ascii="Segoe UI" w:hAnsi="Segoe UI" w:cs="Segoe UI"/>
                <w:sz w:val="17"/>
                <w:szCs w:val="17"/>
                <w:rtl/>
              </w:rPr>
              <w:t>اللاذقية LTK/OSLK</w:t>
            </w:r>
          </w:p>
        </w:tc>
        <w:tc>
          <w:tcPr>
            <w:tcW w:type="dxa" w:w="1247"/>
          </w:tcPr>
          <w:p>
            <w:pPr>
              <w:bidi/>
              <w:spacing w:after="0"/>
              <w:jc w:val="center"/>
            </w:pPr>
            <w:r>
              <w:rPr>
                <w:rFonts w:ascii="Segoe UI" w:hAnsi="Segoe UI" w:cs="Segoe UI"/>
                <w:sz w:val="17"/>
                <w:szCs w:val="17"/>
                <w:rtl/>
              </w:rPr>
              <w:t>252</w:t>
            </w:r>
          </w:p>
        </w:tc>
        <w:tc>
          <w:tcPr>
            <w:tcW w:type="dxa" w:w="1417"/>
          </w:tcPr>
          <w:p>
            <w:pPr>
              <w:bidi/>
              <w:spacing w:after="0"/>
              <w:jc w:val="center"/>
            </w:pPr>
            <w:r>
              <w:rPr>
                <w:rFonts w:ascii="Segoe UI" w:hAnsi="Segoe UI" w:cs="Segoe UI"/>
                <w:sz w:val="17"/>
                <w:szCs w:val="17"/>
                <w:rtl/>
              </w:rPr>
              <w:t>2025-01-14</w:t>
            </w:r>
          </w:p>
        </w:tc>
        <w:tc>
          <w:tcPr>
            <w:tcW w:type="dxa" w:w="1417"/>
          </w:tcPr>
          <w:p>
            <w:pPr>
              <w:bidi/>
              <w:spacing w:after="0"/>
              <w:jc w:val="center"/>
            </w:pPr>
            <w:r>
              <w:rPr>
                <w:rFonts w:ascii="Segoe UI" w:hAnsi="Segoe UI" w:cs="Segoe UI"/>
                <w:sz w:val="17"/>
                <w:szCs w:val="17"/>
                <w:rtl/>
              </w:rPr>
              <w:t>2026-09-06</w:t>
            </w:r>
          </w:p>
        </w:tc>
      </w:tr>
    </w:tbl>
    <w:p>
      <w:pPr>
        <w:bidi/>
        <w:spacing w:after="40"/>
      </w:pPr>
    </w:p>
    <w:p>
      <w:pPr>
        <w:bidi/>
        <w:spacing w:after="120"/>
        <w:outlineLvl w:val="1"/>
      </w:pPr>
      <w:r>
        <w:rPr>
          <w:rFonts w:ascii="Segoe UI" w:hAnsi="Segoe UI" w:cs="Segoe UI"/>
          <w:b/>
          <w:bCs/>
          <w:color w:val="1F2937"/>
          <w:sz w:val="27"/>
          <w:szCs w:val="27"/>
          <w:rtl/>
        </w:rPr>
        <w:t>2.2 قواعد الاحتساب وتعريفات المؤشرات</w:t>
      </w:r>
    </w:p>
    <w:p>
      <w:pPr>
        <w:bidi/>
        <w:spacing w:after="80"/>
      </w:pPr>
      <w:r>
        <w:rPr>
          <w:rFonts w:ascii="Segoe UI" w:hAnsi="Segoe UI" w:cs="Segoe UI"/>
          <w:color w:val="1D4ED8"/>
          <w:sz w:val="21"/>
          <w:szCs w:val="21"/>
          <w:rtl/>
        </w:rPr>
        <w:t xml:space="preserve">◆ </w:t>
      </w:r>
      <w:r>
        <w:rPr>
          <w:rFonts w:ascii="Segoe UI" w:hAnsi="Segoe UI" w:cs="Segoe UI"/>
          <w:b/>
          <w:bCs/>
          <w:sz w:val="22"/>
          <w:szCs w:val="22"/>
          <w:rtl/>
        </w:rPr>
        <w:t>الحركة (Movement):</w:t>
      </w:r>
      <w:r>
        <w:rPr>
          <w:rFonts w:ascii="Segoe UI" w:hAnsi="Segoe UI" w:cs="Segoe UI"/>
          <w:sz w:val="22"/>
          <w:szCs w:val="22"/>
          <w:rtl/>
        </w:rPr>
        <w:t xml:space="preserve"> كل سجل في الملف يمثل حركة واحدة؛ صُنّفت «مغادرة» إذا كان المطار مطار الانطلاق، و«وصولاً» إذا كان مطار الوجهة.</w:t>
      </w:r>
    </w:p>
    <w:p>
      <w:pPr>
        <w:bidi/>
        <w:spacing w:after="80"/>
      </w:pPr>
      <w:r>
        <w:rPr>
          <w:rFonts w:ascii="Segoe UI" w:hAnsi="Segoe UI" w:cs="Segoe UI"/>
          <w:color w:val="1D4ED8"/>
          <w:sz w:val="21"/>
          <w:szCs w:val="21"/>
          <w:rtl/>
        </w:rPr>
        <w:t xml:space="preserve">◆ </w:t>
      </w:r>
      <w:r>
        <w:rPr>
          <w:rFonts w:ascii="Segoe UI" w:hAnsi="Segoe UI" w:cs="Segoe UI"/>
          <w:b/>
          <w:bCs/>
          <w:sz w:val="22"/>
          <w:szCs w:val="22"/>
          <w:rtl/>
        </w:rPr>
        <w:t>الطابع الزمني المرجعي:</w:t>
      </w:r>
      <w:r>
        <w:rPr>
          <w:rFonts w:ascii="Segoe UI" w:hAnsi="Segoe UI" w:cs="Segoe UI"/>
          <w:sz w:val="22"/>
          <w:szCs w:val="22"/>
          <w:rtl/>
        </w:rPr>
        <w:t xml:space="preserve"> اعتُمد وقت «أول رصد» (first_seen) لكونه الأكثر اكتمالاً، وحُوّل إلى التوقيت المحلي لدمشق قبل التجميع الشهري والساعي.</w:t>
      </w:r>
    </w:p>
    <w:p>
      <w:pPr>
        <w:bidi/>
        <w:spacing w:after="80"/>
      </w:pPr>
      <w:r>
        <w:rPr>
          <w:rFonts w:ascii="Segoe UI" w:hAnsi="Segoe UI" w:cs="Segoe UI"/>
          <w:color w:val="1D4ED8"/>
          <w:sz w:val="21"/>
          <w:szCs w:val="21"/>
          <w:rtl/>
        </w:rPr>
        <w:t xml:space="preserve">◆ </w:t>
      </w:r>
      <w:r>
        <w:rPr>
          <w:rFonts w:ascii="Segoe UI" w:hAnsi="Segoe UI" w:cs="Segoe UI"/>
          <w:b/>
          <w:bCs/>
          <w:sz w:val="22"/>
          <w:szCs w:val="22"/>
          <w:rtl/>
        </w:rPr>
        <w:t>الفئات:</w:t>
      </w:r>
      <w:r>
        <w:rPr>
          <w:rFonts w:ascii="Segoe UI" w:hAnsi="Segoe UI" w:cs="Segoe UI"/>
          <w:sz w:val="22"/>
          <w:szCs w:val="22"/>
          <w:rtl/>
        </w:rPr>
        <w:t xml:space="preserve"> وردت في البيانات جاهزة (ركاب، شحن، طيران أعمال، عسكري وحكومي...) وأُبقيت كما وردت في المصدر.</w:t>
      </w:r>
    </w:p>
    <w:p>
      <w:pPr>
        <w:bidi/>
        <w:spacing w:after="80"/>
      </w:pPr>
      <w:r>
        <w:rPr>
          <w:rFonts w:ascii="Segoe UI" w:hAnsi="Segoe UI" w:cs="Segoe UI"/>
          <w:color w:val="1D4ED8"/>
          <w:sz w:val="21"/>
          <w:szCs w:val="21"/>
          <w:rtl/>
        </w:rPr>
        <w:t xml:space="preserve">◆ </w:t>
      </w:r>
      <w:r>
        <w:rPr>
          <w:rFonts w:ascii="Segoe UI" w:hAnsi="Segoe UI" w:cs="Segoe UI"/>
          <w:b/>
          <w:bCs/>
          <w:sz w:val="22"/>
          <w:szCs w:val="22"/>
          <w:rtl/>
        </w:rPr>
        <w:t>مؤشر التركّز HHI:</w:t>
      </w:r>
      <w:r>
        <w:rPr>
          <w:rFonts w:ascii="Segoe UI" w:hAnsi="Segoe UI" w:cs="Segoe UI"/>
          <w:sz w:val="22"/>
          <w:szCs w:val="22"/>
          <w:rtl/>
        </w:rPr>
        <w:t xml:space="preserve"> مجموع مربعات حصص المشغلين × 10,000؛ القيم دون 1,500 تدل على سوق غير مركّز، وفوق 2,500 على تركّز مرتفع.</w:t>
      </w:r>
    </w:p>
    <w:p>
      <w:pPr>
        <w:bidi/>
        <w:spacing w:after="80"/>
      </w:pPr>
      <w:r>
        <w:rPr>
          <w:rFonts w:ascii="Segoe UI" w:hAnsi="Segoe UI" w:cs="Segoe UI"/>
          <w:color w:val="1D4ED8"/>
          <w:sz w:val="21"/>
          <w:szCs w:val="21"/>
          <w:rtl/>
        </w:rPr>
        <w:t xml:space="preserve">◆ </w:t>
      </w:r>
      <w:r>
        <w:rPr>
          <w:rFonts w:ascii="Segoe UI" w:hAnsi="Segoe UI" w:cs="Segoe UI"/>
          <w:b/>
          <w:bCs/>
          <w:sz w:val="22"/>
          <w:szCs w:val="22"/>
          <w:rtl/>
        </w:rPr>
        <w:t>الوجهة الذاتية:</w:t>
      </w:r>
      <w:r>
        <w:rPr>
          <w:rFonts w:ascii="Segoe UI" w:hAnsi="Segoe UI" w:cs="Segoe UI"/>
          <w:sz w:val="22"/>
          <w:szCs w:val="22"/>
          <w:rtl/>
        </w:rPr>
        <w:t xml:space="preserve"> استُبعدت السجلات التي يكون فيها المطار نفسه وجهة (حركات محلية/تدريبية) من جداول الوجهات.</w:t>
      </w:r>
    </w:p>
    <w:p>
      <w:pPr>
        <w:bidi/>
        <w:spacing w:after="80"/>
      </w:pPr>
      <w:r>
        <w:rPr>
          <w:rFonts w:ascii="Segoe UI" w:hAnsi="Segoe UI" w:cs="Segoe UI"/>
          <w:color w:val="1D4ED8"/>
          <w:sz w:val="21"/>
          <w:szCs w:val="21"/>
          <w:rtl/>
        </w:rPr>
        <w:t xml:space="preserve">◆ </w:t>
      </w:r>
      <w:r>
        <w:rPr>
          <w:rFonts w:ascii="Segoe UI" w:hAnsi="Segoe UI" w:cs="Segoe UI"/>
          <w:b/>
          <w:bCs/>
          <w:sz w:val="22"/>
          <w:szCs w:val="22"/>
          <w:rtl/>
        </w:rPr>
        <w:t>المقارنة العادلة للنمو:</w:t>
      </w:r>
      <w:r>
        <w:rPr>
          <w:rFonts w:ascii="Segoe UI" w:hAnsi="Segoe UI" w:cs="Segoe UI"/>
          <w:sz w:val="22"/>
          <w:szCs w:val="22"/>
          <w:rtl/>
        </w:rPr>
        <w:t xml:space="preserve"> قورنت الفترة يناير–أغسطس 2025 بالفترة المماثلة من 2026 لتلافي أثر الأشهر غير المكتملة وفجوة التسجيل.</w:t>
      </w:r>
    </w:p>
    <w:p>
      <w:pPr>
        <w:bidi/>
        <w:spacing w:after="120"/>
        <w:outlineLvl w:val="1"/>
      </w:pPr>
      <w:r>
        <w:rPr>
          <w:rFonts w:ascii="Segoe UI" w:hAnsi="Segoe UI" w:cs="Segoe UI"/>
          <w:b/>
          <w:bCs/>
          <w:color w:val="1F2937"/>
          <w:sz w:val="27"/>
          <w:szCs w:val="27"/>
          <w:rtl/>
        </w:rPr>
        <w:t>2.3 جودة البيانات وحدوده (توثيق شفاف)</w:t>
      </w:r>
    </w:p>
    <w:p>
      <w:pPr>
        <w:shd w:val="clear" w:fill="FFF7ED"/>
        <w:bidi/>
        <w:spacing w:after="160"/>
      </w:pPr>
      <w:r>
        <w:rPr>
          <w:rFonts w:ascii="Segoe UI" w:hAnsi="Segoe UI" w:cs="Segoe UI"/>
          <w:color w:val="374151"/>
          <w:sz w:val="21"/>
          <w:szCs w:val="21"/>
          <w:rtl/>
        </w:rPr>
        <w:t>فجوة تسجيل في بيانات دمشق: بين 28 فبراير و2 أبريل 2026 لم يُسجَّل في ملف دمشق سوى 12 حركة في مارس كله، مقابل وسيط شهري يقارب 1,200 حركة — وهي بوضوح فجوة تغطية في التسجيل وليست توقفاً فعلياً. عولجت باستبعاد مارس 2026 من المتوسطات، وتوثيقها هنا، واستخدام مقارنات «الفترة مقابل الفترة».</w:t>
      </w:r>
    </w:p>
    <w:p>
      <w:pPr>
        <w:shd w:val="clear" w:fill="F0FDF4"/>
        <w:bidi/>
        <w:spacing w:after="160"/>
      </w:pPr>
      <w:r>
        <w:rPr>
          <w:rFonts w:ascii="Segoe UI" w:hAnsi="Segoe UI" w:cs="Segoe UI"/>
          <w:color w:val="374151"/>
          <w:sz w:val="21"/>
          <w:szCs w:val="21"/>
          <w:rtl/>
        </w:rPr>
        <w:t>سبتمبر 2026 شهر غير مكتمل: تنتهي البيانات في 7 سبتمبر 2026؛ لذا لم يُحتسب في المتوسطات، واستُخدم أغسطس 2026 آخر شهر مكتمل. أما الأشهر الأولى المنخفضة لحلب (يناير–مايو 2025) فتعكس استئنافاً تدريجياً حقيقياً للتشغيل بعد إعادة افتتاح المطار وليست فجوة بيانات.</w:t>
      </w:r>
    </w:p>
    <w:tbl>
      <w:tblPr>
        <w:tblStyle w:val="TableGrid"/>
        <w:bidiVisual/>
        <w:tblW w:type="auto" w:w="0"/>
        <w:jc w:val="center"/>
        <w:tblLayout w:type="fixed"/>
        <w:tblLook w:firstColumn="1" w:firstRow="1" w:lastColumn="0" w:lastRow="0" w:noHBand="0" w:noVBand="1" w:val="04A0"/>
      </w:tblPr>
      <w:tblGrid>
        <w:gridCol w:w="2409"/>
        <w:gridCol w:w="2409"/>
        <w:gridCol w:w="2409"/>
        <w:gridCol w:w="2409"/>
      </w:tblGrid>
      <w:tr>
        <w:tc>
          <w:tcPr>
            <w:tcW w:type="dxa" w:w="3061"/>
            <w:shd w:val="clear" w:fill="0F2A5C"/>
          </w:tcPr>
          <w:p>
            <w:pPr>
              <w:bidi/>
              <w:spacing w:after="0"/>
              <w:jc w:val="center"/>
            </w:pPr>
            <w:r>
              <w:rPr>
                <w:rFonts w:ascii="Segoe UI" w:hAnsi="Segoe UI" w:cs="Segoe UI"/>
                <w:b/>
                <w:bCs/>
                <w:color w:val="FFFFFF"/>
                <w:sz w:val="17"/>
                <w:szCs w:val="17"/>
                <w:rtl/>
              </w:rPr>
              <w:t>مؤشر الاكتمال</w:t>
            </w:r>
          </w:p>
        </w:tc>
        <w:tc>
          <w:tcPr>
            <w:tcW w:type="dxa" w:w="2041"/>
            <w:shd w:val="clear" w:fill="0F2A5C"/>
          </w:tcPr>
          <w:p>
            <w:pPr>
              <w:bidi/>
              <w:spacing w:after="0"/>
              <w:jc w:val="center"/>
            </w:pPr>
            <w:r>
              <w:rPr>
                <w:rFonts w:ascii="Segoe UI" w:hAnsi="Segoe UI" w:cs="Segoe UI"/>
                <w:b/>
                <w:bCs/>
                <w:color w:val="FFFFFF"/>
                <w:sz w:val="17"/>
                <w:szCs w:val="17"/>
                <w:rtl/>
              </w:rPr>
              <w:t>دمشق</w:t>
            </w:r>
          </w:p>
        </w:tc>
        <w:tc>
          <w:tcPr>
            <w:tcW w:type="dxa" w:w="2041"/>
            <w:shd w:val="clear" w:fill="0F2A5C"/>
          </w:tcPr>
          <w:p>
            <w:pPr>
              <w:bidi/>
              <w:spacing w:after="0"/>
              <w:jc w:val="center"/>
            </w:pPr>
            <w:r>
              <w:rPr>
                <w:rFonts w:ascii="Segoe UI" w:hAnsi="Segoe UI" w:cs="Segoe UI"/>
                <w:b/>
                <w:bCs/>
                <w:color w:val="FFFFFF"/>
                <w:sz w:val="17"/>
                <w:szCs w:val="17"/>
                <w:rtl/>
              </w:rPr>
              <w:t>حلب</w:t>
            </w:r>
          </w:p>
        </w:tc>
        <w:tc>
          <w:tcPr>
            <w:tcW w:type="dxa" w:w="1928"/>
            <w:shd w:val="clear" w:fill="0F2A5C"/>
          </w:tcPr>
          <w:p>
            <w:pPr>
              <w:bidi/>
              <w:spacing w:after="0"/>
              <w:jc w:val="center"/>
            </w:pPr>
            <w:r>
              <w:rPr>
                <w:rFonts w:ascii="Segoe UI" w:hAnsi="Segoe UI" w:cs="Segoe UI"/>
                <w:b/>
                <w:bCs/>
                <w:color w:val="FFFFFF"/>
                <w:sz w:val="17"/>
                <w:szCs w:val="17"/>
                <w:rtl/>
              </w:rPr>
              <w:t>اللاذقية</w:t>
            </w:r>
          </w:p>
        </w:tc>
      </w:tr>
      <w:tr>
        <w:tc>
          <w:tcPr>
            <w:tcW w:type="dxa" w:w="3061"/>
          </w:tcPr>
          <w:p>
            <w:pPr>
              <w:bidi/>
              <w:spacing w:after="0"/>
            </w:pPr>
            <w:r>
              <w:rPr>
                <w:rFonts w:ascii="Segoe UI" w:hAnsi="Segoe UI" w:cs="Segoe UI"/>
                <w:sz w:val="17"/>
                <w:szCs w:val="17"/>
                <w:rtl/>
              </w:rPr>
              <w:t>سجلات بلا وقت إقلاع مسجّل</w:t>
            </w:r>
          </w:p>
        </w:tc>
        <w:tc>
          <w:tcPr>
            <w:tcW w:type="dxa" w:w="2041"/>
          </w:tcPr>
          <w:p>
            <w:pPr>
              <w:bidi/>
              <w:spacing w:after="0"/>
              <w:jc w:val="center"/>
            </w:pPr>
            <w:r>
              <w:rPr>
                <w:rFonts w:ascii="Segoe UI" w:hAnsi="Segoe UI" w:cs="Segoe UI"/>
                <w:sz w:val="17"/>
                <w:szCs w:val="17"/>
                <w:rtl/>
              </w:rPr>
              <w:t>558 (2.8%)</w:t>
            </w:r>
          </w:p>
        </w:tc>
        <w:tc>
          <w:tcPr>
            <w:tcW w:type="dxa" w:w="2041"/>
          </w:tcPr>
          <w:p>
            <w:pPr>
              <w:bidi/>
              <w:spacing w:after="0"/>
              <w:jc w:val="center"/>
            </w:pPr>
            <w:r>
              <w:rPr>
                <w:rFonts w:ascii="Segoe UI" w:hAnsi="Segoe UI" w:cs="Segoe UI"/>
                <w:sz w:val="17"/>
                <w:szCs w:val="17"/>
                <w:rtl/>
              </w:rPr>
              <w:t>459 (9.1%)</w:t>
            </w:r>
          </w:p>
        </w:tc>
        <w:tc>
          <w:tcPr>
            <w:tcW w:type="dxa" w:w="1928"/>
          </w:tcPr>
          <w:p>
            <w:pPr>
              <w:bidi/>
              <w:spacing w:after="0"/>
              <w:jc w:val="center"/>
            </w:pPr>
            <w:r>
              <w:rPr>
                <w:rFonts w:ascii="Segoe UI" w:hAnsi="Segoe UI" w:cs="Segoe UI"/>
                <w:sz w:val="17"/>
                <w:szCs w:val="17"/>
                <w:rtl/>
              </w:rPr>
              <w:t>59 (23.4%)</w:t>
            </w:r>
          </w:p>
        </w:tc>
      </w:tr>
      <w:tr>
        <w:tc>
          <w:tcPr>
            <w:tcW w:type="dxa" w:w="3061"/>
            <w:shd w:val="clear" w:fill="F5F7FA"/>
          </w:tcPr>
          <w:p>
            <w:pPr>
              <w:bidi/>
              <w:spacing w:after="0"/>
            </w:pPr>
            <w:r>
              <w:rPr>
                <w:rFonts w:ascii="Segoe UI" w:hAnsi="Segoe UI" w:cs="Segoe UI"/>
                <w:sz w:val="17"/>
                <w:szCs w:val="17"/>
                <w:rtl/>
              </w:rPr>
              <w:t>سجلات بلا وقت هبوط مسجّل</w:t>
            </w:r>
          </w:p>
        </w:tc>
        <w:tc>
          <w:tcPr>
            <w:tcW w:type="dxa" w:w="2041"/>
            <w:shd w:val="clear" w:fill="F5F7FA"/>
          </w:tcPr>
          <w:p>
            <w:pPr>
              <w:bidi/>
              <w:spacing w:after="0"/>
              <w:jc w:val="center"/>
            </w:pPr>
            <w:r>
              <w:rPr>
                <w:rFonts w:ascii="Segoe UI" w:hAnsi="Segoe UI" w:cs="Segoe UI"/>
                <w:sz w:val="17"/>
                <w:szCs w:val="17"/>
                <w:rtl/>
              </w:rPr>
              <w:t>2,234</w:t>
            </w:r>
          </w:p>
        </w:tc>
        <w:tc>
          <w:tcPr>
            <w:tcW w:type="dxa" w:w="2041"/>
            <w:shd w:val="clear" w:fill="F5F7FA"/>
          </w:tcPr>
          <w:p>
            <w:pPr>
              <w:bidi/>
              <w:spacing w:after="0"/>
              <w:jc w:val="center"/>
            </w:pPr>
            <w:r>
              <w:rPr>
                <w:rFonts w:ascii="Segoe UI" w:hAnsi="Segoe UI" w:cs="Segoe UI"/>
                <w:sz w:val="17"/>
                <w:szCs w:val="17"/>
                <w:rtl/>
              </w:rPr>
              <w:t>1,317</w:t>
            </w:r>
          </w:p>
        </w:tc>
        <w:tc>
          <w:tcPr>
            <w:tcW w:type="dxa" w:w="1928"/>
            <w:shd w:val="clear" w:fill="F5F7FA"/>
          </w:tcPr>
          <w:p>
            <w:pPr>
              <w:bidi/>
              <w:spacing w:after="0"/>
              <w:jc w:val="center"/>
            </w:pPr>
            <w:r>
              <w:rPr>
                <w:rFonts w:ascii="Segoe UI" w:hAnsi="Segoe UI" w:cs="Segoe UI"/>
                <w:sz w:val="17"/>
                <w:szCs w:val="17"/>
                <w:rtl/>
              </w:rPr>
              <w:t>117</w:t>
            </w:r>
          </w:p>
        </w:tc>
      </w:tr>
      <w:tr>
        <w:tc>
          <w:tcPr>
            <w:tcW w:type="dxa" w:w="3061"/>
          </w:tcPr>
          <w:p>
            <w:pPr>
              <w:bidi/>
              <w:spacing w:after="0"/>
            </w:pPr>
            <w:r>
              <w:rPr>
                <w:rFonts w:ascii="Segoe UI" w:hAnsi="Segoe UI" w:cs="Segoe UI"/>
                <w:sz w:val="17"/>
                <w:szCs w:val="17"/>
                <w:rtl/>
              </w:rPr>
              <w:t>سجلات بلا مشغّل محدد</w:t>
            </w:r>
          </w:p>
        </w:tc>
        <w:tc>
          <w:tcPr>
            <w:tcW w:type="dxa" w:w="2041"/>
          </w:tcPr>
          <w:p>
            <w:pPr>
              <w:bidi/>
              <w:spacing w:after="0"/>
              <w:jc w:val="center"/>
            </w:pPr>
            <w:r>
              <w:rPr>
                <w:rFonts w:ascii="Segoe UI" w:hAnsi="Segoe UI" w:cs="Segoe UI"/>
                <w:sz w:val="17"/>
                <w:szCs w:val="17"/>
                <w:rtl/>
              </w:rPr>
              <w:t>391</w:t>
            </w:r>
          </w:p>
        </w:tc>
        <w:tc>
          <w:tcPr>
            <w:tcW w:type="dxa" w:w="2041"/>
          </w:tcPr>
          <w:p>
            <w:pPr>
              <w:bidi/>
              <w:spacing w:after="0"/>
              <w:jc w:val="center"/>
            </w:pPr>
            <w:r>
              <w:rPr>
                <w:rFonts w:ascii="Segoe UI" w:hAnsi="Segoe UI" w:cs="Segoe UI"/>
                <w:sz w:val="17"/>
                <w:szCs w:val="17"/>
                <w:rtl/>
              </w:rPr>
              <w:t>60</w:t>
            </w:r>
          </w:p>
        </w:tc>
        <w:tc>
          <w:tcPr>
            <w:tcW w:type="dxa" w:w="1928"/>
          </w:tcPr>
          <w:p>
            <w:pPr>
              <w:bidi/>
              <w:spacing w:after="0"/>
              <w:jc w:val="center"/>
            </w:pPr>
            <w:r>
              <w:rPr>
                <w:rFonts w:ascii="Segoe UI" w:hAnsi="Segoe UI" w:cs="Segoe UI"/>
                <w:sz w:val="17"/>
                <w:szCs w:val="17"/>
                <w:rtl/>
              </w:rPr>
              <w:t>52</w:t>
            </w:r>
          </w:p>
        </w:tc>
      </w:tr>
      <w:tr>
        <w:tc>
          <w:tcPr>
            <w:tcW w:type="dxa" w:w="3061"/>
            <w:shd w:val="clear" w:fill="F5F7FA"/>
          </w:tcPr>
          <w:p>
            <w:pPr>
              <w:bidi/>
              <w:spacing w:after="0"/>
            </w:pPr>
            <w:r>
              <w:rPr>
                <w:rFonts w:ascii="Segoe UI" w:hAnsi="Segoe UI" w:cs="Segoe UI"/>
                <w:sz w:val="17"/>
                <w:szCs w:val="17"/>
                <w:rtl/>
              </w:rPr>
              <w:t>سجلات بلا مدة رحلة</w:t>
            </w:r>
          </w:p>
        </w:tc>
        <w:tc>
          <w:tcPr>
            <w:tcW w:type="dxa" w:w="2041"/>
            <w:shd w:val="clear" w:fill="F5F7FA"/>
          </w:tcPr>
          <w:p>
            <w:pPr>
              <w:bidi/>
              <w:spacing w:after="0"/>
              <w:jc w:val="center"/>
            </w:pPr>
            <w:r>
              <w:rPr>
                <w:rFonts w:ascii="Segoe UI" w:hAnsi="Segoe UI" w:cs="Segoe UI"/>
                <w:sz w:val="17"/>
                <w:szCs w:val="17"/>
                <w:rtl/>
              </w:rPr>
              <w:t>2,815</w:t>
            </w:r>
          </w:p>
        </w:tc>
        <w:tc>
          <w:tcPr>
            <w:tcW w:type="dxa" w:w="2041"/>
            <w:shd w:val="clear" w:fill="F5F7FA"/>
          </w:tcPr>
          <w:p>
            <w:pPr>
              <w:bidi/>
              <w:spacing w:after="0"/>
              <w:jc w:val="center"/>
            </w:pPr>
            <w:r>
              <w:rPr>
                <w:rFonts w:ascii="Segoe UI" w:hAnsi="Segoe UI" w:cs="Segoe UI"/>
                <w:sz w:val="17"/>
                <w:szCs w:val="17"/>
                <w:rtl/>
              </w:rPr>
              <w:t>1,729</w:t>
            </w:r>
          </w:p>
        </w:tc>
        <w:tc>
          <w:tcPr>
            <w:tcW w:type="dxa" w:w="1928"/>
            <w:shd w:val="clear" w:fill="F5F7FA"/>
          </w:tcPr>
          <w:p>
            <w:pPr>
              <w:bidi/>
              <w:spacing w:after="0"/>
              <w:jc w:val="center"/>
            </w:pPr>
            <w:r>
              <w:rPr>
                <w:rFonts w:ascii="Segoe UI" w:hAnsi="Segoe UI" w:cs="Segoe UI"/>
                <w:sz w:val="17"/>
                <w:szCs w:val="17"/>
                <w:rtl/>
              </w:rPr>
              <w:t>168</w:t>
            </w:r>
          </w:p>
        </w:tc>
      </w:tr>
      <w:tr>
        <w:tc>
          <w:tcPr>
            <w:tcW w:type="dxa" w:w="3061"/>
          </w:tcPr>
          <w:p>
            <w:pPr>
              <w:bidi/>
              <w:spacing w:after="0"/>
            </w:pPr>
            <w:r>
              <w:rPr>
                <w:rFonts w:ascii="Segoe UI" w:hAnsi="Segoe UI" w:cs="Segoe UI"/>
                <w:sz w:val="17"/>
                <w:szCs w:val="17"/>
                <w:rtl/>
              </w:rPr>
              <w:t>معرّفات مكررة (fr24_id)</w:t>
            </w:r>
          </w:p>
        </w:tc>
        <w:tc>
          <w:tcPr>
            <w:tcW w:type="dxa" w:w="2041"/>
          </w:tcPr>
          <w:p>
            <w:pPr>
              <w:bidi/>
              <w:spacing w:after="0"/>
              <w:jc w:val="center"/>
            </w:pPr>
            <w:r>
              <w:rPr>
                <w:rFonts w:ascii="Segoe UI" w:hAnsi="Segoe UI" w:cs="Segoe UI"/>
                <w:sz w:val="17"/>
                <w:szCs w:val="17"/>
                <w:rtl/>
              </w:rPr>
              <w:t>0</w:t>
            </w:r>
          </w:p>
        </w:tc>
        <w:tc>
          <w:tcPr>
            <w:tcW w:type="dxa" w:w="2041"/>
          </w:tcPr>
          <w:p>
            <w:pPr>
              <w:bidi/>
              <w:spacing w:after="0"/>
              <w:jc w:val="center"/>
            </w:pPr>
            <w:r>
              <w:rPr>
                <w:rFonts w:ascii="Segoe UI" w:hAnsi="Segoe UI" w:cs="Segoe UI"/>
                <w:sz w:val="17"/>
                <w:szCs w:val="17"/>
                <w:rtl/>
              </w:rPr>
              <w:t>0</w:t>
            </w:r>
          </w:p>
        </w:tc>
        <w:tc>
          <w:tcPr>
            <w:tcW w:type="dxa" w:w="1928"/>
          </w:tcPr>
          <w:p>
            <w:pPr>
              <w:bidi/>
              <w:spacing w:after="0"/>
              <w:jc w:val="center"/>
            </w:pPr>
            <w:r>
              <w:rPr>
                <w:rFonts w:ascii="Segoe UI" w:hAnsi="Segoe UI" w:cs="Segoe UI"/>
                <w:sz w:val="17"/>
                <w:szCs w:val="17"/>
                <w:rtl/>
              </w:rPr>
              <w:t>0</w:t>
            </w:r>
          </w:p>
        </w:tc>
      </w:tr>
      <w:tr>
        <w:tc>
          <w:tcPr>
            <w:tcW w:type="dxa" w:w="3061"/>
            <w:shd w:val="clear" w:fill="F5F7FA"/>
          </w:tcPr>
          <w:p>
            <w:pPr>
              <w:bidi/>
              <w:spacing w:after="0"/>
            </w:pPr>
            <w:r>
              <w:rPr>
                <w:rFonts w:ascii="Segoe UI" w:hAnsi="Segoe UI" w:cs="Segoe UI"/>
                <w:sz w:val="17"/>
                <w:szCs w:val="17"/>
                <w:rtl/>
              </w:rPr>
              <w:t>أشهر منخفضة/فجوات</w:t>
            </w:r>
          </w:p>
        </w:tc>
        <w:tc>
          <w:tcPr>
            <w:tcW w:type="dxa" w:w="2041"/>
            <w:shd w:val="clear" w:fill="F5F7FA"/>
          </w:tcPr>
          <w:p>
            <w:pPr>
              <w:bidi/>
              <w:spacing w:after="0"/>
              <w:jc w:val="center"/>
            </w:pPr>
            <w:r>
              <w:rPr>
                <w:rFonts w:ascii="Segoe UI" w:hAnsi="Segoe UI" w:cs="Segoe UI"/>
                <w:sz w:val="17"/>
                <w:szCs w:val="17"/>
                <w:rtl/>
              </w:rPr>
              <w:t>2026-03 (فجوة) · 2026-09 (جزئي)</w:t>
            </w:r>
          </w:p>
        </w:tc>
        <w:tc>
          <w:tcPr>
            <w:tcW w:type="dxa" w:w="2041"/>
            <w:shd w:val="clear" w:fill="F5F7FA"/>
          </w:tcPr>
          <w:p>
            <w:pPr>
              <w:bidi/>
              <w:spacing w:after="0"/>
              <w:jc w:val="center"/>
            </w:pPr>
            <w:r>
              <w:rPr>
                <w:rFonts w:ascii="Segoe UI" w:hAnsi="Segoe UI" w:cs="Segoe UI"/>
                <w:sz w:val="17"/>
                <w:szCs w:val="17"/>
                <w:rtl/>
              </w:rPr>
              <w:t>2025-01..04 (بداية تدريجية)</w:t>
            </w:r>
          </w:p>
        </w:tc>
        <w:tc>
          <w:tcPr>
            <w:tcW w:type="dxa" w:w="1928"/>
            <w:shd w:val="clear" w:fill="F5F7FA"/>
          </w:tcPr>
          <w:p>
            <w:pPr>
              <w:bidi/>
              <w:spacing w:after="0"/>
              <w:jc w:val="center"/>
            </w:pPr>
            <w:r>
              <w:rPr>
                <w:rFonts w:ascii="Segoe UI" w:hAnsi="Segoe UI" w:cs="Segoe UI"/>
                <w:sz w:val="17"/>
                <w:szCs w:val="17"/>
                <w:rtl/>
              </w:rPr>
              <w:t>لا شيء جوهرياً</w:t>
            </w:r>
          </w:p>
        </w:tc>
      </w:tr>
    </w:tbl>
    <w:p>
      <w:pPr>
        <w:bidi/>
        <w:spacing w:after="40"/>
      </w:pPr>
      <w:r>
        <w:rPr>
          <w:rFonts w:ascii="Segoe UI" w:hAnsi="Segoe UI" w:cs="Segoe UI"/>
          <w:color w:val="6B7280"/>
          <w:sz w:val="19"/>
          <w:szCs w:val="19"/>
          <w:rtl/>
        </w:rPr>
        <w:t>كل السجلات الناقصة حقولاً تبقى محسوبة ضمن الحركات الكلية، وتُستبعد فقط من المؤشر الذي يشترط الحقل المعني.</w:t>
      </w:r>
    </w:p>
    <w:p>
      <w:r>
        <w:br w:type="page"/>
      </w:r>
    </w:p>
    <w:p>
      <w:pPr>
        <w:bidi/>
        <w:spacing w:after="200"/>
        <w:outlineLvl w:val="0"/>
      </w:pPr>
      <w:r>
        <w:rPr>
          <w:rFonts w:ascii="Segoe UI" w:hAnsi="Segoe UI" w:cs="Segoe UI"/>
          <w:b/>
          <w:bCs/>
          <w:color w:val="0F2A5C"/>
          <w:sz w:val="34"/>
          <w:szCs w:val="34"/>
          <w:rtl/>
        </w:rPr>
        <w:t>3. لوحة المؤشرات المقارنة</w:t>
      </w:r>
    </w:p>
    <w:p>
      <w:pPr>
        <w:bidi/>
        <w:spacing w:after="120"/>
      </w:pPr>
      <w:r>
        <w:rPr>
          <w:rFonts w:ascii="Segoe UI" w:hAnsi="Segoe UI" w:cs="Segoe UI"/>
          <w:sz w:val="22"/>
          <w:szCs w:val="22"/>
          <w:rtl/>
        </w:rPr>
        <w:t>الجدول التالي يجمع المؤشرات الرئيسية للمطارات الثلاثة جنباً إلى جنب (قابل للتحرير كمجدول Word):</w:t>
      </w:r>
    </w:p>
    <w:tbl>
      <w:tblPr>
        <w:tblStyle w:val="TableGrid"/>
        <w:bidiVisual/>
        <w:tblW w:type="auto" w:w="0"/>
        <w:jc w:val="center"/>
        <w:tblLayout w:type="fixed"/>
        <w:tblLook w:firstColumn="1" w:firstRow="1" w:lastColumn="0" w:lastRow="0" w:noHBand="0" w:noVBand="1" w:val="04A0"/>
      </w:tblPr>
      <w:tblGrid>
        <w:gridCol w:w="2409"/>
        <w:gridCol w:w="2409"/>
        <w:gridCol w:w="2409"/>
        <w:gridCol w:w="2409"/>
      </w:tblGrid>
      <w:tr>
        <w:tc>
          <w:tcPr>
            <w:tcW w:type="dxa" w:w="3628"/>
            <w:shd w:val="clear" w:fill="0F2A5C"/>
          </w:tcPr>
          <w:p>
            <w:pPr>
              <w:bidi/>
              <w:spacing w:after="0"/>
              <w:jc w:val="center"/>
            </w:pPr>
            <w:r>
              <w:rPr>
                <w:rFonts w:ascii="Segoe UI" w:hAnsi="Segoe UI" w:cs="Segoe UI"/>
                <w:b/>
                <w:bCs/>
                <w:color w:val="FFFFFF"/>
                <w:sz w:val="17"/>
                <w:szCs w:val="17"/>
                <w:rtl/>
              </w:rPr>
              <w:t>المؤشر</w:t>
            </w:r>
          </w:p>
        </w:tc>
        <w:tc>
          <w:tcPr>
            <w:tcW w:type="dxa" w:w="1928"/>
            <w:shd w:val="clear" w:fill="0F2A5C"/>
          </w:tcPr>
          <w:p>
            <w:pPr>
              <w:bidi/>
              <w:spacing w:after="0"/>
              <w:jc w:val="center"/>
            </w:pPr>
            <w:r>
              <w:rPr>
                <w:rFonts w:ascii="Segoe UI" w:hAnsi="Segoe UI" w:cs="Segoe UI"/>
                <w:b/>
                <w:bCs/>
                <w:color w:val="FFFFFF"/>
                <w:sz w:val="17"/>
                <w:szCs w:val="17"/>
                <w:rtl/>
              </w:rPr>
              <w:t>دمشق</w:t>
            </w:r>
          </w:p>
        </w:tc>
        <w:tc>
          <w:tcPr>
            <w:tcW w:type="dxa" w:w="1814"/>
            <w:shd w:val="clear" w:fill="0F2A5C"/>
          </w:tcPr>
          <w:p>
            <w:pPr>
              <w:bidi/>
              <w:spacing w:after="0"/>
              <w:jc w:val="center"/>
            </w:pPr>
            <w:r>
              <w:rPr>
                <w:rFonts w:ascii="Segoe UI" w:hAnsi="Segoe UI" w:cs="Segoe UI"/>
                <w:b/>
                <w:bCs/>
                <w:color w:val="FFFFFF"/>
                <w:sz w:val="17"/>
                <w:szCs w:val="17"/>
                <w:rtl/>
              </w:rPr>
              <w:t>حلب</w:t>
            </w:r>
          </w:p>
        </w:tc>
        <w:tc>
          <w:tcPr>
            <w:tcW w:type="dxa" w:w="1701"/>
            <w:shd w:val="clear" w:fill="0F2A5C"/>
          </w:tcPr>
          <w:p>
            <w:pPr>
              <w:bidi/>
              <w:spacing w:after="0"/>
              <w:jc w:val="center"/>
            </w:pPr>
            <w:r>
              <w:rPr>
                <w:rFonts w:ascii="Segoe UI" w:hAnsi="Segoe UI" w:cs="Segoe UI"/>
                <w:b/>
                <w:bCs/>
                <w:color w:val="FFFFFF"/>
                <w:sz w:val="17"/>
                <w:szCs w:val="17"/>
                <w:rtl/>
              </w:rPr>
              <w:t>اللاذقية</w:t>
            </w:r>
          </w:p>
        </w:tc>
      </w:tr>
      <w:tr>
        <w:tc>
          <w:tcPr>
            <w:tcW w:type="dxa" w:w="3628"/>
          </w:tcPr>
          <w:p>
            <w:pPr>
              <w:bidi/>
              <w:spacing w:after="0"/>
            </w:pPr>
            <w:r>
              <w:rPr>
                <w:rFonts w:ascii="Segoe UI" w:hAnsi="Segoe UI" w:cs="Segoe UI"/>
                <w:sz w:val="17"/>
                <w:szCs w:val="17"/>
                <w:rtl/>
              </w:rPr>
              <w:t>إجمالي الحركات (يناير 2025 – سبتمبر 2026)</w:t>
            </w:r>
          </w:p>
        </w:tc>
        <w:tc>
          <w:tcPr>
            <w:tcW w:type="dxa" w:w="1928"/>
          </w:tcPr>
          <w:p>
            <w:pPr>
              <w:bidi/>
              <w:spacing w:after="0"/>
              <w:jc w:val="center"/>
            </w:pPr>
            <w:r>
              <w:rPr>
                <w:rFonts w:ascii="Segoe UI" w:hAnsi="Segoe UI" w:cs="Segoe UI"/>
                <w:sz w:val="17"/>
                <w:szCs w:val="17"/>
                <w:rtl/>
              </w:rPr>
              <w:t>19,743</w:t>
            </w:r>
          </w:p>
        </w:tc>
        <w:tc>
          <w:tcPr>
            <w:tcW w:type="dxa" w:w="1814"/>
          </w:tcPr>
          <w:p>
            <w:pPr>
              <w:bidi/>
              <w:spacing w:after="0"/>
              <w:jc w:val="center"/>
            </w:pPr>
            <w:r>
              <w:rPr>
                <w:rFonts w:ascii="Segoe UI" w:hAnsi="Segoe UI" w:cs="Segoe UI"/>
                <w:sz w:val="17"/>
                <w:szCs w:val="17"/>
                <w:rtl/>
              </w:rPr>
              <w:t>5,068</w:t>
            </w:r>
          </w:p>
        </w:tc>
        <w:tc>
          <w:tcPr>
            <w:tcW w:type="dxa" w:w="1701"/>
          </w:tcPr>
          <w:p>
            <w:pPr>
              <w:bidi/>
              <w:spacing w:after="0"/>
              <w:jc w:val="center"/>
            </w:pPr>
            <w:r>
              <w:rPr>
                <w:rFonts w:ascii="Segoe UI" w:hAnsi="Segoe UI" w:cs="Segoe UI"/>
                <w:sz w:val="17"/>
                <w:szCs w:val="17"/>
                <w:rtl/>
              </w:rPr>
              <w:t>252</w:t>
            </w:r>
          </w:p>
        </w:tc>
      </w:tr>
      <w:tr>
        <w:tc>
          <w:tcPr>
            <w:tcW w:type="dxa" w:w="3628"/>
            <w:shd w:val="clear" w:fill="F5F7FA"/>
          </w:tcPr>
          <w:p>
            <w:pPr>
              <w:bidi/>
              <w:spacing w:after="0"/>
            </w:pPr>
            <w:r>
              <w:rPr>
                <w:rFonts w:ascii="Segoe UI" w:hAnsi="Segoe UI" w:cs="Segoe UI"/>
                <w:sz w:val="17"/>
                <w:szCs w:val="17"/>
                <w:rtl/>
              </w:rPr>
              <w:t>مغادرات / وصولات</w:t>
            </w:r>
          </w:p>
        </w:tc>
        <w:tc>
          <w:tcPr>
            <w:tcW w:type="dxa" w:w="1928"/>
            <w:shd w:val="clear" w:fill="F5F7FA"/>
          </w:tcPr>
          <w:p>
            <w:pPr>
              <w:bidi/>
              <w:spacing w:after="0"/>
              <w:jc w:val="center"/>
            </w:pPr>
            <w:r>
              <w:rPr>
                <w:rFonts w:ascii="Segoe UI" w:hAnsi="Segoe UI" w:cs="Segoe UI"/>
                <w:sz w:val="17"/>
                <w:szCs w:val="17"/>
                <w:rtl/>
              </w:rPr>
              <w:t>9,888 / 9,678</w:t>
            </w:r>
          </w:p>
        </w:tc>
        <w:tc>
          <w:tcPr>
            <w:tcW w:type="dxa" w:w="1814"/>
            <w:shd w:val="clear" w:fill="F5F7FA"/>
          </w:tcPr>
          <w:p>
            <w:pPr>
              <w:bidi/>
              <w:spacing w:after="0"/>
              <w:jc w:val="center"/>
            </w:pPr>
            <w:r>
              <w:rPr>
                <w:rFonts w:ascii="Segoe UI" w:hAnsi="Segoe UI" w:cs="Segoe UI"/>
                <w:sz w:val="17"/>
                <w:szCs w:val="17"/>
                <w:rtl/>
              </w:rPr>
              <w:t>2,589 / 2,468</w:t>
            </w:r>
          </w:p>
        </w:tc>
        <w:tc>
          <w:tcPr>
            <w:tcW w:type="dxa" w:w="1701"/>
            <w:shd w:val="clear" w:fill="F5F7FA"/>
          </w:tcPr>
          <w:p>
            <w:pPr>
              <w:bidi/>
              <w:spacing w:after="0"/>
              <w:jc w:val="center"/>
            </w:pPr>
            <w:r>
              <w:rPr>
                <w:rFonts w:ascii="Segoe UI" w:hAnsi="Segoe UI" w:cs="Segoe UI"/>
                <w:sz w:val="17"/>
                <w:szCs w:val="17"/>
                <w:rtl/>
              </w:rPr>
              <w:t>153 / 97</w:t>
            </w:r>
          </w:p>
        </w:tc>
      </w:tr>
      <w:tr>
        <w:tc>
          <w:tcPr>
            <w:tcW w:type="dxa" w:w="3628"/>
          </w:tcPr>
          <w:p>
            <w:pPr>
              <w:bidi/>
              <w:spacing w:after="0"/>
            </w:pPr>
            <w:r>
              <w:rPr>
                <w:rFonts w:ascii="Segoe UI" w:hAnsi="Segoe UI" w:cs="Segoe UI"/>
                <w:sz w:val="17"/>
                <w:szCs w:val="17"/>
                <w:rtl/>
              </w:rPr>
              <w:t>حصة من إجمالي المطارات الثلاثة</w:t>
            </w:r>
          </w:p>
        </w:tc>
        <w:tc>
          <w:tcPr>
            <w:tcW w:type="dxa" w:w="1928"/>
          </w:tcPr>
          <w:p>
            <w:pPr>
              <w:bidi/>
              <w:spacing w:after="0"/>
              <w:jc w:val="center"/>
            </w:pPr>
            <w:r>
              <w:rPr>
                <w:rFonts w:ascii="Segoe UI" w:hAnsi="Segoe UI" w:cs="Segoe UI"/>
                <w:sz w:val="17"/>
                <w:szCs w:val="17"/>
                <w:rtl/>
              </w:rPr>
              <w:t>78.8%</w:t>
            </w:r>
          </w:p>
        </w:tc>
        <w:tc>
          <w:tcPr>
            <w:tcW w:type="dxa" w:w="1814"/>
          </w:tcPr>
          <w:p>
            <w:pPr>
              <w:bidi/>
              <w:spacing w:after="0"/>
              <w:jc w:val="center"/>
            </w:pPr>
            <w:r>
              <w:rPr>
                <w:rFonts w:ascii="Segoe UI" w:hAnsi="Segoe UI" w:cs="Segoe UI"/>
                <w:sz w:val="17"/>
                <w:szCs w:val="17"/>
                <w:rtl/>
              </w:rPr>
              <w:t>20.2%</w:t>
            </w:r>
          </w:p>
        </w:tc>
        <w:tc>
          <w:tcPr>
            <w:tcW w:type="dxa" w:w="1701"/>
          </w:tcPr>
          <w:p>
            <w:pPr>
              <w:bidi/>
              <w:spacing w:after="0"/>
              <w:jc w:val="center"/>
            </w:pPr>
            <w:r>
              <w:rPr>
                <w:rFonts w:ascii="Segoe UI" w:hAnsi="Segoe UI" w:cs="Segoe UI"/>
                <w:sz w:val="17"/>
                <w:szCs w:val="17"/>
                <w:rtl/>
              </w:rPr>
              <w:t>1.0%</w:t>
            </w:r>
          </w:p>
        </w:tc>
      </w:tr>
      <w:tr>
        <w:tc>
          <w:tcPr>
            <w:tcW w:type="dxa" w:w="3628"/>
            <w:shd w:val="clear" w:fill="F5F7FA"/>
          </w:tcPr>
          <w:p>
            <w:pPr>
              <w:bidi/>
              <w:spacing w:after="0"/>
            </w:pPr>
            <w:r>
              <w:rPr>
                <w:rFonts w:ascii="Segoe UI" w:hAnsi="Segoe UI" w:cs="Segoe UI"/>
                <w:sz w:val="17"/>
                <w:szCs w:val="17"/>
                <w:rtl/>
              </w:rPr>
              <w:t>متوسط الحركات شهرياً (أشهر مكتملة)</w:t>
            </w:r>
          </w:p>
        </w:tc>
        <w:tc>
          <w:tcPr>
            <w:tcW w:type="dxa" w:w="1928"/>
            <w:shd w:val="clear" w:fill="F5F7FA"/>
          </w:tcPr>
          <w:p>
            <w:pPr>
              <w:bidi/>
              <w:spacing w:after="0"/>
              <w:jc w:val="center"/>
            </w:pPr>
            <w:r>
              <w:rPr>
                <w:rFonts w:ascii="Segoe UI" w:hAnsi="Segoe UI" w:cs="Segoe UI"/>
                <w:sz w:val="17"/>
                <w:szCs w:val="17"/>
                <w:rtl/>
              </w:rPr>
              <w:t>1022.7</w:t>
            </w:r>
          </w:p>
        </w:tc>
        <w:tc>
          <w:tcPr>
            <w:tcW w:type="dxa" w:w="1814"/>
            <w:shd w:val="clear" w:fill="F5F7FA"/>
          </w:tcPr>
          <w:p>
            <w:pPr>
              <w:bidi/>
              <w:spacing w:after="0"/>
              <w:jc w:val="center"/>
            </w:pPr>
            <w:r>
              <w:rPr>
                <w:rFonts w:ascii="Segoe UI" w:hAnsi="Segoe UI" w:cs="Segoe UI"/>
                <w:sz w:val="17"/>
                <w:szCs w:val="17"/>
                <w:rtl/>
              </w:rPr>
              <w:t>296.0</w:t>
            </w:r>
          </w:p>
        </w:tc>
        <w:tc>
          <w:tcPr>
            <w:tcW w:type="dxa" w:w="1701"/>
            <w:shd w:val="clear" w:fill="F5F7FA"/>
          </w:tcPr>
          <w:p>
            <w:pPr>
              <w:bidi/>
              <w:spacing w:after="0"/>
              <w:jc w:val="center"/>
            </w:pPr>
            <w:r>
              <w:rPr>
                <w:rFonts w:ascii="Segoe UI" w:hAnsi="Segoe UI" w:cs="Segoe UI"/>
                <w:sz w:val="17"/>
                <w:szCs w:val="17"/>
                <w:rtl/>
              </w:rPr>
              <w:t>13.3</w:t>
            </w:r>
          </w:p>
        </w:tc>
      </w:tr>
      <w:tr>
        <w:tc>
          <w:tcPr>
            <w:tcW w:type="dxa" w:w="3628"/>
          </w:tcPr>
          <w:p>
            <w:pPr>
              <w:bidi/>
              <w:spacing w:after="0"/>
            </w:pPr>
            <w:r>
              <w:rPr>
                <w:rFonts w:ascii="Segoe UI" w:hAnsi="Segoe UI" w:cs="Segoe UI"/>
                <w:sz w:val="17"/>
                <w:szCs w:val="17"/>
                <w:rtl/>
              </w:rPr>
              <w:t>أعلى شهر تشغيل</w:t>
            </w:r>
          </w:p>
        </w:tc>
        <w:tc>
          <w:tcPr>
            <w:tcW w:type="dxa" w:w="1928"/>
          </w:tcPr>
          <w:p>
            <w:pPr>
              <w:bidi/>
              <w:spacing w:after="0"/>
              <w:jc w:val="center"/>
            </w:pPr>
            <w:r>
              <w:rPr>
                <w:rFonts w:ascii="Segoe UI" w:hAnsi="Segoe UI" w:cs="Segoe UI"/>
                <w:sz w:val="17"/>
                <w:szCs w:val="17"/>
                <w:rtl/>
              </w:rPr>
              <w:t>2026-07 (1,408)</w:t>
            </w:r>
          </w:p>
        </w:tc>
        <w:tc>
          <w:tcPr>
            <w:tcW w:type="dxa" w:w="1814"/>
          </w:tcPr>
          <w:p>
            <w:pPr>
              <w:bidi/>
              <w:spacing w:after="0"/>
              <w:jc w:val="center"/>
            </w:pPr>
            <w:r>
              <w:rPr>
                <w:rFonts w:ascii="Segoe UI" w:hAnsi="Segoe UI" w:cs="Segoe UI"/>
                <w:sz w:val="17"/>
                <w:szCs w:val="17"/>
                <w:rtl/>
              </w:rPr>
              <w:t>2026-08 (694)</w:t>
            </w:r>
          </w:p>
        </w:tc>
        <w:tc>
          <w:tcPr>
            <w:tcW w:type="dxa" w:w="1701"/>
          </w:tcPr>
          <w:p>
            <w:pPr>
              <w:bidi/>
              <w:spacing w:after="0"/>
              <w:jc w:val="center"/>
            </w:pPr>
            <w:r>
              <w:rPr>
                <w:rFonts w:ascii="Segoe UI" w:hAnsi="Segoe UI" w:cs="Segoe UI"/>
                <w:sz w:val="17"/>
                <w:szCs w:val="17"/>
                <w:rtl/>
              </w:rPr>
              <w:t>2025-12 (37)</w:t>
            </w:r>
          </w:p>
        </w:tc>
      </w:tr>
      <w:tr>
        <w:tc>
          <w:tcPr>
            <w:tcW w:type="dxa" w:w="3628"/>
            <w:shd w:val="clear" w:fill="F5F7FA"/>
          </w:tcPr>
          <w:p>
            <w:pPr>
              <w:bidi/>
              <w:spacing w:after="0"/>
            </w:pPr>
            <w:r>
              <w:rPr>
                <w:rFonts w:ascii="Segoe UI" w:hAnsi="Segoe UI" w:cs="Segoe UI"/>
                <w:sz w:val="17"/>
                <w:szCs w:val="17"/>
                <w:rtl/>
              </w:rPr>
              <w:t>متوسط الحركات يومياً (أغسطس 2026)</w:t>
            </w:r>
          </w:p>
        </w:tc>
        <w:tc>
          <w:tcPr>
            <w:tcW w:type="dxa" w:w="1928"/>
            <w:shd w:val="clear" w:fill="F5F7FA"/>
          </w:tcPr>
          <w:p>
            <w:pPr>
              <w:bidi/>
              <w:spacing w:after="0"/>
              <w:jc w:val="center"/>
            </w:pPr>
            <w:r>
              <w:rPr>
                <w:rFonts w:ascii="Segoe UI" w:hAnsi="Segoe UI" w:cs="Segoe UI"/>
                <w:sz w:val="17"/>
                <w:szCs w:val="17"/>
                <w:rtl/>
              </w:rPr>
              <w:t>41.7</w:t>
            </w:r>
          </w:p>
        </w:tc>
        <w:tc>
          <w:tcPr>
            <w:tcW w:type="dxa" w:w="1814"/>
            <w:shd w:val="clear" w:fill="F5F7FA"/>
          </w:tcPr>
          <w:p>
            <w:pPr>
              <w:bidi/>
              <w:spacing w:after="0"/>
              <w:jc w:val="center"/>
            </w:pPr>
            <w:r>
              <w:rPr>
                <w:rFonts w:ascii="Segoe UI" w:hAnsi="Segoe UI" w:cs="Segoe UI"/>
                <w:sz w:val="17"/>
                <w:szCs w:val="17"/>
                <w:rtl/>
              </w:rPr>
              <w:t>22.4</w:t>
            </w:r>
          </w:p>
        </w:tc>
        <w:tc>
          <w:tcPr>
            <w:tcW w:type="dxa" w:w="1701"/>
            <w:shd w:val="clear" w:fill="F5F7FA"/>
          </w:tcPr>
          <w:p>
            <w:pPr>
              <w:bidi/>
              <w:spacing w:after="0"/>
              <w:jc w:val="center"/>
            </w:pPr>
            <w:r>
              <w:rPr>
                <w:rFonts w:ascii="Segoe UI" w:hAnsi="Segoe UI" w:cs="Segoe UI"/>
                <w:sz w:val="17"/>
                <w:szCs w:val="17"/>
                <w:rtl/>
              </w:rPr>
              <w:t>0.8</w:t>
            </w:r>
          </w:p>
        </w:tc>
      </w:tr>
      <w:tr>
        <w:tc>
          <w:tcPr>
            <w:tcW w:type="dxa" w:w="3628"/>
          </w:tcPr>
          <w:p>
            <w:pPr>
              <w:bidi/>
              <w:spacing w:after="0"/>
            </w:pPr>
            <w:r>
              <w:rPr>
                <w:rFonts w:ascii="Segoe UI" w:hAnsi="Segoe UI" w:cs="Segoe UI"/>
                <w:sz w:val="17"/>
                <w:szCs w:val="17"/>
                <w:rtl/>
              </w:rPr>
              <w:t>حصة رحلات الركاب</w:t>
            </w:r>
          </w:p>
        </w:tc>
        <w:tc>
          <w:tcPr>
            <w:tcW w:type="dxa" w:w="1928"/>
          </w:tcPr>
          <w:p>
            <w:pPr>
              <w:bidi/>
              <w:spacing w:after="0"/>
              <w:jc w:val="center"/>
            </w:pPr>
            <w:r>
              <w:rPr>
                <w:rFonts w:ascii="Segoe UI" w:hAnsi="Segoe UI" w:cs="Segoe UI"/>
                <w:sz w:val="17"/>
                <w:szCs w:val="17"/>
                <w:rtl/>
              </w:rPr>
              <w:t>94.6%</w:t>
            </w:r>
          </w:p>
        </w:tc>
        <w:tc>
          <w:tcPr>
            <w:tcW w:type="dxa" w:w="1814"/>
          </w:tcPr>
          <w:p>
            <w:pPr>
              <w:bidi/>
              <w:spacing w:after="0"/>
              <w:jc w:val="center"/>
            </w:pPr>
            <w:r>
              <w:rPr>
                <w:rFonts w:ascii="Segoe UI" w:hAnsi="Segoe UI" w:cs="Segoe UI"/>
                <w:sz w:val="17"/>
                <w:szCs w:val="17"/>
                <w:rtl/>
              </w:rPr>
              <w:t>95.4%</w:t>
            </w:r>
          </w:p>
        </w:tc>
        <w:tc>
          <w:tcPr>
            <w:tcW w:type="dxa" w:w="1701"/>
          </w:tcPr>
          <w:p>
            <w:pPr>
              <w:bidi/>
              <w:spacing w:after="0"/>
              <w:jc w:val="center"/>
            </w:pPr>
            <w:r>
              <w:rPr>
                <w:rFonts w:ascii="Segoe UI" w:hAnsi="Segoe UI" w:cs="Segoe UI"/>
                <w:sz w:val="17"/>
                <w:szCs w:val="17"/>
                <w:rtl/>
              </w:rPr>
              <w:t>0%</w:t>
            </w:r>
          </w:p>
        </w:tc>
      </w:tr>
      <w:tr>
        <w:tc>
          <w:tcPr>
            <w:tcW w:type="dxa" w:w="3628"/>
            <w:shd w:val="clear" w:fill="F5F7FA"/>
          </w:tcPr>
          <w:p>
            <w:pPr>
              <w:bidi/>
              <w:spacing w:after="0"/>
            </w:pPr>
            <w:r>
              <w:rPr>
                <w:rFonts w:ascii="Segoe UI" w:hAnsi="Segoe UI" w:cs="Segoe UI"/>
                <w:sz w:val="17"/>
                <w:szCs w:val="17"/>
                <w:rtl/>
              </w:rPr>
              <w:t>حصة العسكري والحكومي</w:t>
            </w:r>
          </w:p>
        </w:tc>
        <w:tc>
          <w:tcPr>
            <w:tcW w:type="dxa" w:w="1928"/>
            <w:shd w:val="clear" w:fill="F5F7FA"/>
          </w:tcPr>
          <w:p>
            <w:pPr>
              <w:bidi/>
              <w:spacing w:after="0"/>
              <w:jc w:val="center"/>
            </w:pPr>
            <w:r>
              <w:rPr>
                <w:rFonts w:ascii="Segoe UI" w:hAnsi="Segoe UI" w:cs="Segoe UI"/>
                <w:sz w:val="17"/>
                <w:szCs w:val="17"/>
                <w:rtl/>
              </w:rPr>
              <w:t>0.8%</w:t>
            </w:r>
          </w:p>
        </w:tc>
        <w:tc>
          <w:tcPr>
            <w:tcW w:type="dxa" w:w="1814"/>
            <w:shd w:val="clear" w:fill="F5F7FA"/>
          </w:tcPr>
          <w:p>
            <w:pPr>
              <w:bidi/>
              <w:spacing w:after="0"/>
              <w:jc w:val="center"/>
            </w:pPr>
            <w:r>
              <w:rPr>
                <w:rFonts w:ascii="Segoe UI" w:hAnsi="Segoe UI" w:cs="Segoe UI"/>
                <w:sz w:val="17"/>
                <w:szCs w:val="17"/>
                <w:rtl/>
              </w:rPr>
              <w:t>0.5%</w:t>
            </w:r>
          </w:p>
        </w:tc>
        <w:tc>
          <w:tcPr>
            <w:tcW w:type="dxa" w:w="1701"/>
            <w:shd w:val="clear" w:fill="F5F7FA"/>
          </w:tcPr>
          <w:p>
            <w:pPr>
              <w:bidi/>
              <w:spacing w:after="0"/>
              <w:jc w:val="center"/>
            </w:pPr>
            <w:r>
              <w:rPr>
                <w:rFonts w:ascii="Segoe UI" w:hAnsi="Segoe UI" w:cs="Segoe UI"/>
                <w:sz w:val="17"/>
                <w:szCs w:val="17"/>
                <w:rtl/>
              </w:rPr>
              <w:t>96.0%</w:t>
            </w:r>
          </w:p>
        </w:tc>
      </w:tr>
      <w:tr>
        <w:tc>
          <w:tcPr>
            <w:tcW w:type="dxa" w:w="3628"/>
          </w:tcPr>
          <w:p>
            <w:pPr>
              <w:bidi/>
              <w:spacing w:after="0"/>
            </w:pPr>
            <w:r>
              <w:rPr>
                <w:rFonts w:ascii="Segoe UI" w:hAnsi="Segoe UI" w:cs="Segoe UI"/>
                <w:sz w:val="17"/>
                <w:szCs w:val="17"/>
                <w:rtl/>
              </w:rPr>
              <w:t>حصة طيران الأعمال</w:t>
            </w:r>
          </w:p>
        </w:tc>
        <w:tc>
          <w:tcPr>
            <w:tcW w:type="dxa" w:w="1928"/>
          </w:tcPr>
          <w:p>
            <w:pPr>
              <w:bidi/>
              <w:spacing w:after="0"/>
              <w:jc w:val="center"/>
            </w:pPr>
            <w:r>
              <w:rPr>
                <w:rFonts w:ascii="Segoe UI" w:hAnsi="Segoe UI" w:cs="Segoe UI"/>
                <w:sz w:val="17"/>
                <w:szCs w:val="17"/>
                <w:rtl/>
              </w:rPr>
              <w:t>2.3%</w:t>
            </w:r>
          </w:p>
        </w:tc>
        <w:tc>
          <w:tcPr>
            <w:tcW w:type="dxa" w:w="1814"/>
          </w:tcPr>
          <w:p>
            <w:pPr>
              <w:bidi/>
              <w:spacing w:after="0"/>
              <w:jc w:val="center"/>
            </w:pPr>
            <w:r>
              <w:rPr>
                <w:rFonts w:ascii="Segoe UI" w:hAnsi="Segoe UI" w:cs="Segoe UI"/>
                <w:sz w:val="17"/>
                <w:szCs w:val="17"/>
                <w:rtl/>
              </w:rPr>
              <w:t>2.4%</w:t>
            </w:r>
          </w:p>
        </w:tc>
        <w:tc>
          <w:tcPr>
            <w:tcW w:type="dxa" w:w="1701"/>
          </w:tcPr>
          <w:p>
            <w:pPr>
              <w:bidi/>
              <w:spacing w:after="0"/>
              <w:jc w:val="center"/>
            </w:pPr>
            <w:r>
              <w:rPr>
                <w:rFonts w:ascii="Segoe UI" w:hAnsi="Segoe UI" w:cs="Segoe UI"/>
                <w:sz w:val="17"/>
                <w:szCs w:val="17"/>
                <w:rtl/>
              </w:rPr>
              <w:t>0%</w:t>
            </w:r>
          </w:p>
        </w:tc>
      </w:tr>
      <w:tr>
        <w:tc>
          <w:tcPr>
            <w:tcW w:type="dxa" w:w="3628"/>
            <w:shd w:val="clear" w:fill="F5F7FA"/>
          </w:tcPr>
          <w:p>
            <w:pPr>
              <w:bidi/>
              <w:spacing w:after="0"/>
            </w:pPr>
            <w:r>
              <w:rPr>
                <w:rFonts w:ascii="Segoe UI" w:hAnsi="Segoe UI" w:cs="Segoe UI"/>
                <w:sz w:val="17"/>
                <w:szCs w:val="17"/>
                <w:rtl/>
              </w:rPr>
              <w:t>عدد شركات التشغيل</w:t>
            </w:r>
          </w:p>
        </w:tc>
        <w:tc>
          <w:tcPr>
            <w:tcW w:type="dxa" w:w="1928"/>
            <w:shd w:val="clear" w:fill="F5F7FA"/>
          </w:tcPr>
          <w:p>
            <w:pPr>
              <w:bidi/>
              <w:spacing w:after="0"/>
              <w:jc w:val="center"/>
            </w:pPr>
            <w:r>
              <w:rPr>
                <w:rFonts w:ascii="Segoe UI" w:hAnsi="Segoe UI" w:cs="Segoe UI"/>
                <w:sz w:val="17"/>
                <w:szCs w:val="17"/>
                <w:rtl/>
              </w:rPr>
              <w:t>60</w:t>
            </w:r>
          </w:p>
        </w:tc>
        <w:tc>
          <w:tcPr>
            <w:tcW w:type="dxa" w:w="1814"/>
            <w:shd w:val="clear" w:fill="F5F7FA"/>
          </w:tcPr>
          <w:p>
            <w:pPr>
              <w:bidi/>
              <w:spacing w:after="0"/>
              <w:jc w:val="center"/>
            </w:pPr>
            <w:r>
              <w:rPr>
                <w:rFonts w:ascii="Segoe UI" w:hAnsi="Segoe UI" w:cs="Segoe UI"/>
                <w:sz w:val="17"/>
                <w:szCs w:val="17"/>
                <w:rtl/>
              </w:rPr>
              <w:t>23</w:t>
            </w:r>
          </w:p>
        </w:tc>
        <w:tc>
          <w:tcPr>
            <w:tcW w:type="dxa" w:w="1701"/>
            <w:shd w:val="clear" w:fill="F5F7FA"/>
          </w:tcPr>
          <w:p>
            <w:pPr>
              <w:bidi/>
              <w:spacing w:after="0"/>
              <w:jc w:val="center"/>
            </w:pPr>
            <w:r>
              <w:rPr>
                <w:rFonts w:ascii="Segoe UI" w:hAnsi="Segoe UI" w:cs="Segoe UI"/>
                <w:sz w:val="17"/>
                <w:szCs w:val="17"/>
                <w:rtl/>
              </w:rPr>
              <w:t>5</w:t>
            </w:r>
          </w:p>
        </w:tc>
      </w:tr>
      <w:tr>
        <w:tc>
          <w:tcPr>
            <w:tcW w:type="dxa" w:w="3628"/>
          </w:tcPr>
          <w:p>
            <w:pPr>
              <w:bidi/>
              <w:spacing w:after="0"/>
            </w:pPr>
            <w:r>
              <w:rPr>
                <w:rFonts w:ascii="Segoe UI" w:hAnsi="Segoe UI" w:cs="Segoe UI"/>
                <w:sz w:val="17"/>
                <w:szCs w:val="17"/>
                <w:rtl/>
              </w:rPr>
              <w:t>أكبر مشغّل (حصته)</w:t>
            </w:r>
          </w:p>
        </w:tc>
        <w:tc>
          <w:tcPr>
            <w:tcW w:type="dxa" w:w="1928"/>
          </w:tcPr>
          <w:p>
            <w:pPr>
              <w:bidi/>
              <w:spacing w:after="0"/>
              <w:jc w:val="center"/>
            </w:pPr>
            <w:r>
              <w:rPr>
                <w:rFonts w:ascii="Segoe UI" w:hAnsi="Segoe UI" w:cs="Segoe UI"/>
                <w:sz w:val="17"/>
                <w:szCs w:val="17"/>
                <w:rtl/>
              </w:rPr>
              <w:t>الخطوط الجوية السورية (16.0%)</w:t>
            </w:r>
          </w:p>
        </w:tc>
        <w:tc>
          <w:tcPr>
            <w:tcW w:type="dxa" w:w="1814"/>
          </w:tcPr>
          <w:p>
            <w:pPr>
              <w:bidi/>
              <w:spacing w:after="0"/>
              <w:jc w:val="center"/>
            </w:pPr>
            <w:r>
              <w:rPr>
                <w:rFonts w:ascii="Segoe UI" w:hAnsi="Segoe UI" w:cs="Segoe UI"/>
                <w:sz w:val="17"/>
                <w:szCs w:val="17"/>
                <w:rtl/>
              </w:rPr>
              <w:t>الملكية الأردنية (27.8%)</w:t>
            </w:r>
          </w:p>
        </w:tc>
        <w:tc>
          <w:tcPr>
            <w:tcW w:type="dxa" w:w="1701"/>
          </w:tcPr>
          <w:p>
            <w:pPr>
              <w:bidi/>
              <w:spacing w:after="0"/>
              <w:jc w:val="center"/>
            </w:pPr>
            <w:r>
              <w:rPr>
                <w:rFonts w:ascii="Segoe UI" w:hAnsi="Segoe UI" w:cs="Segoe UI"/>
                <w:sz w:val="17"/>
                <w:szCs w:val="17"/>
                <w:rtl/>
              </w:rPr>
              <w:t>القوات الجوية الروسية (نقل عسكري) (58.7%)</w:t>
            </w:r>
          </w:p>
        </w:tc>
      </w:tr>
      <w:tr>
        <w:tc>
          <w:tcPr>
            <w:tcW w:type="dxa" w:w="3628"/>
            <w:shd w:val="clear" w:fill="F5F7FA"/>
          </w:tcPr>
          <w:p>
            <w:pPr>
              <w:bidi/>
              <w:spacing w:after="0"/>
            </w:pPr>
            <w:r>
              <w:rPr>
                <w:rFonts w:ascii="Segoe UI" w:hAnsi="Segoe UI" w:cs="Segoe UI"/>
                <w:sz w:val="17"/>
                <w:szCs w:val="17"/>
                <w:rtl/>
              </w:rPr>
              <w:t>حصة أكبر 3 مشغلين</w:t>
            </w:r>
          </w:p>
        </w:tc>
        <w:tc>
          <w:tcPr>
            <w:tcW w:type="dxa" w:w="1928"/>
            <w:shd w:val="clear" w:fill="F5F7FA"/>
          </w:tcPr>
          <w:p>
            <w:pPr>
              <w:bidi/>
              <w:spacing w:after="0"/>
              <w:jc w:val="center"/>
            </w:pPr>
            <w:r>
              <w:rPr>
                <w:rFonts w:ascii="Segoe UI" w:hAnsi="Segoe UI" w:cs="Segoe UI"/>
                <w:sz w:val="17"/>
                <w:szCs w:val="17"/>
                <w:rtl/>
              </w:rPr>
              <w:t>39.9%</w:t>
            </w:r>
          </w:p>
        </w:tc>
        <w:tc>
          <w:tcPr>
            <w:tcW w:type="dxa" w:w="1814"/>
            <w:shd w:val="clear" w:fill="F5F7FA"/>
          </w:tcPr>
          <w:p>
            <w:pPr>
              <w:bidi/>
              <w:spacing w:after="0"/>
              <w:jc w:val="center"/>
            </w:pPr>
            <w:r>
              <w:rPr>
                <w:rFonts w:ascii="Segoe UI" w:hAnsi="Segoe UI" w:cs="Segoe UI"/>
                <w:sz w:val="17"/>
                <w:szCs w:val="17"/>
                <w:rtl/>
              </w:rPr>
              <w:t>55.8%</w:t>
            </w:r>
          </w:p>
        </w:tc>
        <w:tc>
          <w:tcPr>
            <w:tcW w:type="dxa" w:w="1701"/>
            <w:shd w:val="clear" w:fill="F5F7FA"/>
          </w:tcPr>
          <w:p>
            <w:pPr>
              <w:bidi/>
              <w:spacing w:after="0"/>
              <w:jc w:val="center"/>
            </w:pPr>
            <w:r>
              <w:rPr>
                <w:rFonts w:ascii="Segoe UI" w:hAnsi="Segoe UI" w:cs="Segoe UI"/>
                <w:sz w:val="17"/>
                <w:szCs w:val="17"/>
                <w:rtl/>
              </w:rPr>
              <w:t>89.7%</w:t>
            </w:r>
          </w:p>
        </w:tc>
      </w:tr>
      <w:tr>
        <w:tc>
          <w:tcPr>
            <w:tcW w:type="dxa" w:w="3628"/>
          </w:tcPr>
          <w:p>
            <w:pPr>
              <w:bidi/>
              <w:spacing w:after="0"/>
            </w:pPr>
            <w:r>
              <w:rPr>
                <w:rFonts w:ascii="Segoe UI" w:hAnsi="Segoe UI" w:cs="Segoe UI"/>
                <w:sz w:val="17"/>
                <w:szCs w:val="17"/>
                <w:rtl/>
              </w:rPr>
              <w:t>مؤشر التركّز HHI</w:t>
            </w:r>
          </w:p>
        </w:tc>
        <w:tc>
          <w:tcPr>
            <w:tcW w:type="dxa" w:w="1928"/>
          </w:tcPr>
          <w:p>
            <w:pPr>
              <w:bidi/>
              <w:spacing w:after="0"/>
              <w:jc w:val="center"/>
            </w:pPr>
            <w:r>
              <w:rPr>
                <w:rFonts w:ascii="Segoe UI" w:hAnsi="Segoe UI" w:cs="Segoe UI"/>
                <w:sz w:val="17"/>
                <w:szCs w:val="17"/>
                <w:rtl/>
              </w:rPr>
              <w:t>881</w:t>
            </w:r>
          </w:p>
        </w:tc>
        <w:tc>
          <w:tcPr>
            <w:tcW w:type="dxa" w:w="1814"/>
          </w:tcPr>
          <w:p>
            <w:pPr>
              <w:bidi/>
              <w:spacing w:after="0"/>
              <w:jc w:val="center"/>
            </w:pPr>
            <w:r>
              <w:rPr>
                <w:rFonts w:ascii="Segoe UI" w:hAnsi="Segoe UI" w:cs="Segoe UI"/>
                <w:sz w:val="17"/>
                <w:szCs w:val="17"/>
                <w:rtl/>
              </w:rPr>
              <w:t>1433</w:t>
            </w:r>
          </w:p>
        </w:tc>
        <w:tc>
          <w:tcPr>
            <w:tcW w:type="dxa" w:w="1701"/>
          </w:tcPr>
          <w:p>
            <w:pPr>
              <w:bidi/>
              <w:spacing w:after="0"/>
              <w:jc w:val="center"/>
            </w:pPr>
            <w:r>
              <w:rPr>
                <w:rFonts w:ascii="Segoe UI" w:hAnsi="Segoe UI" w:cs="Segoe UI"/>
                <w:sz w:val="17"/>
                <w:szCs w:val="17"/>
                <w:rtl/>
              </w:rPr>
              <w:t>4043</w:t>
            </w:r>
          </w:p>
        </w:tc>
      </w:tr>
      <w:tr>
        <w:tc>
          <w:tcPr>
            <w:tcW w:type="dxa" w:w="3628"/>
            <w:shd w:val="clear" w:fill="F5F7FA"/>
          </w:tcPr>
          <w:p>
            <w:pPr>
              <w:bidi/>
              <w:spacing w:after="0"/>
            </w:pPr>
            <w:r>
              <w:rPr>
                <w:rFonts w:ascii="Segoe UI" w:hAnsi="Segoe UI" w:cs="Segoe UI"/>
                <w:sz w:val="17"/>
                <w:szCs w:val="17"/>
                <w:rtl/>
              </w:rPr>
              <w:t>عدد الوجهات المخدمة</w:t>
            </w:r>
          </w:p>
        </w:tc>
        <w:tc>
          <w:tcPr>
            <w:tcW w:type="dxa" w:w="1928"/>
            <w:shd w:val="clear" w:fill="F5F7FA"/>
          </w:tcPr>
          <w:p>
            <w:pPr>
              <w:bidi/>
              <w:spacing w:after="0"/>
              <w:jc w:val="center"/>
            </w:pPr>
            <w:r>
              <w:rPr>
                <w:rFonts w:ascii="Segoe UI" w:hAnsi="Segoe UI" w:cs="Segoe UI"/>
                <w:sz w:val="17"/>
                <w:szCs w:val="17"/>
                <w:rtl/>
              </w:rPr>
              <w:t>95</w:t>
            </w:r>
          </w:p>
        </w:tc>
        <w:tc>
          <w:tcPr>
            <w:tcW w:type="dxa" w:w="1814"/>
            <w:shd w:val="clear" w:fill="F5F7FA"/>
          </w:tcPr>
          <w:p>
            <w:pPr>
              <w:bidi/>
              <w:spacing w:after="0"/>
              <w:jc w:val="center"/>
            </w:pPr>
            <w:r>
              <w:rPr>
                <w:rFonts w:ascii="Segoe UI" w:hAnsi="Segoe UI" w:cs="Segoe UI"/>
                <w:sz w:val="17"/>
                <w:szCs w:val="17"/>
                <w:rtl/>
              </w:rPr>
              <w:t>26</w:t>
            </w:r>
          </w:p>
        </w:tc>
        <w:tc>
          <w:tcPr>
            <w:tcW w:type="dxa" w:w="1701"/>
            <w:shd w:val="clear" w:fill="F5F7FA"/>
          </w:tcPr>
          <w:p>
            <w:pPr>
              <w:bidi/>
              <w:spacing w:after="0"/>
              <w:jc w:val="center"/>
            </w:pPr>
            <w:r>
              <w:rPr>
                <w:rFonts w:ascii="Segoe UI" w:hAnsi="Segoe UI" w:cs="Segoe UI"/>
                <w:sz w:val="17"/>
                <w:szCs w:val="17"/>
                <w:rtl/>
              </w:rPr>
              <w:t>14</w:t>
            </w:r>
          </w:p>
        </w:tc>
      </w:tr>
      <w:tr>
        <w:tc>
          <w:tcPr>
            <w:tcW w:type="dxa" w:w="3628"/>
          </w:tcPr>
          <w:p>
            <w:pPr>
              <w:bidi/>
              <w:spacing w:after="0"/>
            </w:pPr>
            <w:r>
              <w:rPr>
                <w:rFonts w:ascii="Segoe UI" w:hAnsi="Segoe UI" w:cs="Segoe UI"/>
                <w:sz w:val="17"/>
                <w:szCs w:val="17"/>
                <w:rtl/>
              </w:rPr>
              <w:t>الوجهة الأولى (مغادرات)</w:t>
            </w:r>
          </w:p>
        </w:tc>
        <w:tc>
          <w:tcPr>
            <w:tcW w:type="dxa" w:w="1928"/>
          </w:tcPr>
          <w:p>
            <w:pPr>
              <w:bidi/>
              <w:spacing w:after="0"/>
              <w:jc w:val="center"/>
            </w:pPr>
            <w:r>
              <w:rPr>
                <w:rFonts w:ascii="Segoe UI" w:hAnsi="Segoe UI" w:cs="Segoe UI"/>
                <w:sz w:val="17"/>
                <w:szCs w:val="17"/>
                <w:rtl/>
              </w:rPr>
              <w:t>الكويت (1,418)</w:t>
            </w:r>
          </w:p>
        </w:tc>
        <w:tc>
          <w:tcPr>
            <w:tcW w:type="dxa" w:w="1814"/>
          </w:tcPr>
          <w:p>
            <w:pPr>
              <w:bidi/>
              <w:spacing w:after="0"/>
              <w:jc w:val="center"/>
            </w:pPr>
            <w:r>
              <w:rPr>
                <w:rFonts w:ascii="Segoe UI" w:hAnsi="Segoe UI" w:cs="Segoe UI"/>
                <w:sz w:val="17"/>
                <w:szCs w:val="17"/>
                <w:rtl/>
              </w:rPr>
              <w:t>عمّان (700)</w:t>
            </w:r>
          </w:p>
        </w:tc>
        <w:tc>
          <w:tcPr>
            <w:tcW w:type="dxa" w:w="1701"/>
          </w:tcPr>
          <w:p>
            <w:pPr>
              <w:bidi/>
              <w:spacing w:after="0"/>
              <w:jc w:val="center"/>
            </w:pPr>
            <w:r>
              <w:rPr>
                <w:rFonts w:ascii="Segoe UI" w:hAnsi="Segoe UI" w:cs="Segoe UI"/>
                <w:sz w:val="17"/>
                <w:szCs w:val="17"/>
                <w:rtl/>
              </w:rPr>
              <w:t>تشكالوفسكي (قاعدة عسكرية، روسيا) (17)</w:t>
            </w:r>
          </w:p>
        </w:tc>
      </w:tr>
      <w:tr>
        <w:tc>
          <w:tcPr>
            <w:tcW w:type="dxa" w:w="3628"/>
            <w:shd w:val="clear" w:fill="F5F7FA"/>
          </w:tcPr>
          <w:p>
            <w:pPr>
              <w:bidi/>
              <w:spacing w:after="0"/>
            </w:pPr>
            <w:r>
              <w:rPr>
                <w:rFonts w:ascii="Segoe UI" w:hAnsi="Segoe UI" w:cs="Segoe UI"/>
                <w:sz w:val="17"/>
                <w:szCs w:val="17"/>
                <w:rtl/>
              </w:rPr>
              <w:t>حصة الخليج من المغادرات الدولية</w:t>
            </w:r>
          </w:p>
        </w:tc>
        <w:tc>
          <w:tcPr>
            <w:tcW w:type="dxa" w:w="1928"/>
            <w:shd w:val="clear" w:fill="F5F7FA"/>
          </w:tcPr>
          <w:p>
            <w:pPr>
              <w:bidi/>
              <w:spacing w:after="0"/>
              <w:jc w:val="center"/>
            </w:pPr>
            <w:r>
              <w:rPr>
                <w:rFonts w:ascii="Segoe UI" w:hAnsi="Segoe UI" w:cs="Segoe UI"/>
                <w:sz w:val="17"/>
                <w:szCs w:val="17"/>
                <w:rtl/>
              </w:rPr>
              <w:t>68.3%</w:t>
            </w:r>
          </w:p>
        </w:tc>
        <w:tc>
          <w:tcPr>
            <w:tcW w:type="dxa" w:w="1814"/>
            <w:shd w:val="clear" w:fill="F5F7FA"/>
          </w:tcPr>
          <w:p>
            <w:pPr>
              <w:bidi/>
              <w:spacing w:after="0"/>
              <w:jc w:val="center"/>
            </w:pPr>
            <w:r>
              <w:rPr>
                <w:rFonts w:ascii="Segoe UI" w:hAnsi="Segoe UI" w:cs="Segoe UI"/>
                <w:sz w:val="17"/>
                <w:szCs w:val="17"/>
                <w:rtl/>
              </w:rPr>
              <w:t>27.1%</w:t>
            </w:r>
          </w:p>
        </w:tc>
        <w:tc>
          <w:tcPr>
            <w:tcW w:type="dxa" w:w="1701"/>
            <w:shd w:val="clear" w:fill="F5F7FA"/>
          </w:tcPr>
          <w:p>
            <w:pPr>
              <w:bidi/>
              <w:spacing w:after="0"/>
              <w:jc w:val="center"/>
            </w:pPr>
            <w:r>
              <w:rPr>
                <w:rFonts w:ascii="Segoe UI" w:hAnsi="Segoe UI" w:cs="Segoe UI"/>
                <w:sz w:val="17"/>
                <w:szCs w:val="17"/>
                <w:rtl/>
              </w:rPr>
              <w:t>—</w:t>
            </w:r>
          </w:p>
        </w:tc>
      </w:tr>
      <w:tr>
        <w:tc>
          <w:tcPr>
            <w:tcW w:type="dxa" w:w="3628"/>
          </w:tcPr>
          <w:p>
            <w:pPr>
              <w:bidi/>
              <w:spacing w:after="0"/>
            </w:pPr>
            <w:r>
              <w:rPr>
                <w:rFonts w:ascii="Segoe UI" w:hAnsi="Segoe UI" w:cs="Segoe UI"/>
                <w:sz w:val="17"/>
                <w:szCs w:val="17"/>
                <w:rtl/>
              </w:rPr>
              <w:t>نوع الطائرة الأكثر تكراراً</w:t>
            </w:r>
          </w:p>
        </w:tc>
        <w:tc>
          <w:tcPr>
            <w:tcW w:type="dxa" w:w="1928"/>
          </w:tcPr>
          <w:p>
            <w:pPr>
              <w:bidi/>
              <w:spacing w:after="0"/>
              <w:jc w:val="center"/>
            </w:pPr>
            <w:r>
              <w:rPr>
                <w:rFonts w:ascii="Segoe UI" w:hAnsi="Segoe UI" w:cs="Segoe UI"/>
                <w:sz w:val="17"/>
                <w:szCs w:val="17"/>
                <w:rtl/>
              </w:rPr>
              <w:t>A320 (9,647)</w:t>
            </w:r>
          </w:p>
        </w:tc>
        <w:tc>
          <w:tcPr>
            <w:tcW w:type="dxa" w:w="1814"/>
          </w:tcPr>
          <w:p>
            <w:pPr>
              <w:bidi/>
              <w:spacing w:after="0"/>
              <w:jc w:val="center"/>
            </w:pPr>
            <w:r>
              <w:rPr>
                <w:rFonts w:ascii="Segoe UI" w:hAnsi="Segoe UI" w:cs="Segoe UI"/>
                <w:sz w:val="17"/>
                <w:szCs w:val="17"/>
                <w:rtl/>
              </w:rPr>
              <w:t>A320 (1,515)</w:t>
            </w:r>
          </w:p>
        </w:tc>
        <w:tc>
          <w:tcPr>
            <w:tcW w:type="dxa" w:w="1701"/>
          </w:tcPr>
          <w:p>
            <w:pPr>
              <w:bidi/>
              <w:spacing w:after="0"/>
              <w:jc w:val="center"/>
            </w:pPr>
            <w:r>
              <w:rPr>
                <w:rFonts w:ascii="Segoe UI" w:hAnsi="Segoe UI" w:cs="Segoe UI"/>
                <w:sz w:val="17"/>
                <w:szCs w:val="17"/>
                <w:rtl/>
              </w:rPr>
              <w:t>IL76 (104)</w:t>
            </w:r>
          </w:p>
        </w:tc>
      </w:tr>
      <w:tr>
        <w:tc>
          <w:tcPr>
            <w:tcW w:type="dxa" w:w="3628"/>
            <w:shd w:val="clear" w:fill="F5F7FA"/>
          </w:tcPr>
          <w:p>
            <w:pPr>
              <w:bidi/>
              <w:spacing w:after="0"/>
            </w:pPr>
            <w:r>
              <w:rPr>
                <w:rFonts w:ascii="Segoe UI" w:hAnsi="Segoe UI" w:cs="Segoe UI"/>
                <w:sz w:val="17"/>
                <w:szCs w:val="17"/>
                <w:rtl/>
              </w:rPr>
              <w:t>أنواع مختلفة / طائرات فريدة</w:t>
            </w:r>
          </w:p>
        </w:tc>
        <w:tc>
          <w:tcPr>
            <w:tcW w:type="dxa" w:w="1928"/>
            <w:shd w:val="clear" w:fill="F5F7FA"/>
          </w:tcPr>
          <w:p>
            <w:pPr>
              <w:bidi/>
              <w:spacing w:after="0"/>
              <w:jc w:val="center"/>
            </w:pPr>
            <w:r>
              <w:rPr>
                <w:rFonts w:ascii="Segoe UI" w:hAnsi="Segoe UI" w:cs="Segoe UI"/>
                <w:sz w:val="17"/>
                <w:szCs w:val="17"/>
                <w:rtl/>
              </w:rPr>
              <w:t>64 / 546</w:t>
            </w:r>
          </w:p>
        </w:tc>
        <w:tc>
          <w:tcPr>
            <w:tcW w:type="dxa" w:w="1814"/>
            <w:shd w:val="clear" w:fill="F5F7FA"/>
          </w:tcPr>
          <w:p>
            <w:pPr>
              <w:bidi/>
              <w:spacing w:after="0"/>
              <w:jc w:val="center"/>
            </w:pPr>
            <w:r>
              <w:rPr>
                <w:rFonts w:ascii="Segoe UI" w:hAnsi="Segoe UI" w:cs="Segoe UI"/>
                <w:sz w:val="17"/>
                <w:szCs w:val="17"/>
                <w:rtl/>
              </w:rPr>
              <w:t>22 / 216</w:t>
            </w:r>
          </w:p>
        </w:tc>
        <w:tc>
          <w:tcPr>
            <w:tcW w:type="dxa" w:w="1701"/>
            <w:shd w:val="clear" w:fill="F5F7FA"/>
          </w:tcPr>
          <w:p>
            <w:pPr>
              <w:bidi/>
              <w:spacing w:after="0"/>
              <w:jc w:val="center"/>
            </w:pPr>
            <w:r>
              <w:rPr>
                <w:rFonts w:ascii="Segoe UI" w:hAnsi="Segoe UI" w:cs="Segoe UI"/>
                <w:sz w:val="17"/>
                <w:szCs w:val="17"/>
                <w:rtl/>
              </w:rPr>
              <w:t>12 / 33</w:t>
            </w:r>
          </w:p>
        </w:tc>
      </w:tr>
      <w:tr>
        <w:tc>
          <w:tcPr>
            <w:tcW w:type="dxa" w:w="3628"/>
          </w:tcPr>
          <w:p>
            <w:pPr>
              <w:bidi/>
              <w:spacing w:after="0"/>
            </w:pPr>
            <w:r>
              <w:rPr>
                <w:rFonts w:ascii="Segoe UI" w:hAnsi="Segoe UI" w:cs="Segoe UI"/>
                <w:sz w:val="17"/>
                <w:szCs w:val="17"/>
                <w:rtl/>
              </w:rPr>
              <w:t>حصة الطائرات العريضة البدن</w:t>
            </w:r>
          </w:p>
        </w:tc>
        <w:tc>
          <w:tcPr>
            <w:tcW w:type="dxa" w:w="1928"/>
          </w:tcPr>
          <w:p>
            <w:pPr>
              <w:bidi/>
              <w:spacing w:after="0"/>
              <w:jc w:val="center"/>
            </w:pPr>
            <w:r>
              <w:rPr>
                <w:rFonts w:ascii="Segoe UI" w:hAnsi="Segoe UI" w:cs="Segoe UI"/>
                <w:sz w:val="17"/>
                <w:szCs w:val="17"/>
                <w:rtl/>
              </w:rPr>
              <w:t>9.9%</w:t>
            </w:r>
          </w:p>
        </w:tc>
        <w:tc>
          <w:tcPr>
            <w:tcW w:type="dxa" w:w="1814"/>
          </w:tcPr>
          <w:p>
            <w:pPr>
              <w:bidi/>
              <w:spacing w:after="0"/>
              <w:jc w:val="center"/>
            </w:pPr>
            <w:r>
              <w:rPr>
                <w:rFonts w:ascii="Segoe UI" w:hAnsi="Segoe UI" w:cs="Segoe UI"/>
                <w:sz w:val="17"/>
                <w:szCs w:val="17"/>
                <w:rtl/>
              </w:rPr>
              <w:t>3.7%</w:t>
            </w:r>
          </w:p>
        </w:tc>
        <w:tc>
          <w:tcPr>
            <w:tcW w:type="dxa" w:w="1701"/>
          </w:tcPr>
          <w:p>
            <w:pPr>
              <w:bidi/>
              <w:spacing w:after="0"/>
              <w:jc w:val="center"/>
            </w:pPr>
            <w:r>
              <w:rPr>
                <w:rFonts w:ascii="Segoe UI" w:hAnsi="Segoe UI" w:cs="Segoe UI"/>
                <w:sz w:val="17"/>
                <w:szCs w:val="17"/>
                <w:rtl/>
              </w:rPr>
              <w:t>25.4%</w:t>
            </w:r>
          </w:p>
        </w:tc>
      </w:tr>
      <w:tr>
        <w:tc>
          <w:tcPr>
            <w:tcW w:type="dxa" w:w="3628"/>
            <w:shd w:val="clear" w:fill="F5F7FA"/>
          </w:tcPr>
          <w:p>
            <w:pPr>
              <w:bidi/>
              <w:spacing w:after="0"/>
            </w:pPr>
            <w:r>
              <w:rPr>
                <w:rFonts w:ascii="Segoe UI" w:hAnsi="Segoe UI" w:cs="Segoe UI"/>
                <w:sz w:val="17"/>
                <w:szCs w:val="17"/>
                <w:rtl/>
              </w:rPr>
              <w:t>وسيط زمن الرحلة (دقيقة)</w:t>
            </w:r>
          </w:p>
        </w:tc>
        <w:tc>
          <w:tcPr>
            <w:tcW w:type="dxa" w:w="1928"/>
            <w:shd w:val="clear" w:fill="F5F7FA"/>
          </w:tcPr>
          <w:p>
            <w:pPr>
              <w:bidi/>
              <w:spacing w:after="0"/>
              <w:jc w:val="center"/>
            </w:pPr>
            <w:r>
              <w:rPr>
                <w:rFonts w:ascii="Segoe UI" w:hAnsi="Segoe UI" w:cs="Segoe UI"/>
                <w:sz w:val="17"/>
                <w:szCs w:val="17"/>
                <w:rtl/>
              </w:rPr>
              <w:t>121.0</w:t>
            </w:r>
          </w:p>
        </w:tc>
        <w:tc>
          <w:tcPr>
            <w:tcW w:type="dxa" w:w="1814"/>
            <w:shd w:val="clear" w:fill="F5F7FA"/>
          </w:tcPr>
          <w:p>
            <w:pPr>
              <w:bidi/>
              <w:spacing w:after="0"/>
              <w:jc w:val="center"/>
            </w:pPr>
            <w:r>
              <w:rPr>
                <w:rFonts w:ascii="Segoe UI" w:hAnsi="Segoe UI" w:cs="Segoe UI"/>
                <w:sz w:val="17"/>
                <w:szCs w:val="17"/>
                <w:rtl/>
              </w:rPr>
              <w:t>90.0</w:t>
            </w:r>
          </w:p>
        </w:tc>
        <w:tc>
          <w:tcPr>
            <w:tcW w:type="dxa" w:w="1701"/>
            <w:shd w:val="clear" w:fill="F5F7FA"/>
          </w:tcPr>
          <w:p>
            <w:pPr>
              <w:bidi/>
              <w:spacing w:after="0"/>
              <w:jc w:val="center"/>
            </w:pPr>
            <w:r>
              <w:rPr>
                <w:rFonts w:ascii="Segoe UI" w:hAnsi="Segoe UI" w:cs="Segoe UI"/>
                <w:sz w:val="17"/>
                <w:szCs w:val="17"/>
                <w:rtl/>
              </w:rPr>
              <w:t>250.0</w:t>
            </w:r>
          </w:p>
        </w:tc>
      </w:tr>
      <w:tr>
        <w:tc>
          <w:tcPr>
            <w:tcW w:type="dxa" w:w="3628"/>
          </w:tcPr>
          <w:p>
            <w:pPr>
              <w:bidi/>
              <w:spacing w:after="0"/>
            </w:pPr>
            <w:r>
              <w:rPr>
                <w:rFonts w:ascii="Segoe UI" w:hAnsi="Segoe UI" w:cs="Segoe UI"/>
                <w:sz w:val="17"/>
                <w:szCs w:val="17"/>
                <w:rtl/>
              </w:rPr>
              <w:t>وسيط المسافة المقطوعة (كم)</w:t>
            </w:r>
          </w:p>
        </w:tc>
        <w:tc>
          <w:tcPr>
            <w:tcW w:type="dxa" w:w="1928"/>
          </w:tcPr>
          <w:p>
            <w:pPr>
              <w:bidi/>
              <w:spacing w:after="0"/>
              <w:jc w:val="center"/>
            </w:pPr>
            <w:r>
              <w:rPr>
                <w:rFonts w:ascii="Segoe UI" w:hAnsi="Segoe UI" w:cs="Segoe UI"/>
                <w:sz w:val="17"/>
                <w:szCs w:val="17"/>
                <w:rtl/>
              </w:rPr>
              <w:t>1,485</w:t>
            </w:r>
          </w:p>
        </w:tc>
        <w:tc>
          <w:tcPr>
            <w:tcW w:type="dxa" w:w="1814"/>
          </w:tcPr>
          <w:p>
            <w:pPr>
              <w:bidi/>
              <w:spacing w:after="0"/>
              <w:jc w:val="center"/>
            </w:pPr>
            <w:r>
              <w:rPr>
                <w:rFonts w:ascii="Segoe UI" w:hAnsi="Segoe UI" w:cs="Segoe UI"/>
                <w:sz w:val="17"/>
                <w:szCs w:val="17"/>
                <w:rtl/>
              </w:rPr>
              <w:t>1,026</w:t>
            </w:r>
          </w:p>
        </w:tc>
        <w:tc>
          <w:tcPr>
            <w:tcW w:type="dxa" w:w="1701"/>
          </w:tcPr>
          <w:p>
            <w:pPr>
              <w:bidi/>
              <w:spacing w:after="0"/>
              <w:jc w:val="center"/>
            </w:pPr>
            <w:r>
              <w:rPr>
                <w:rFonts w:ascii="Segoe UI" w:hAnsi="Segoe UI" w:cs="Segoe UI"/>
                <w:sz w:val="17"/>
                <w:szCs w:val="17"/>
                <w:rtl/>
              </w:rPr>
              <w:t>1,658</w:t>
            </w:r>
          </w:p>
        </w:tc>
      </w:tr>
      <w:tr>
        <w:tc>
          <w:tcPr>
            <w:tcW w:type="dxa" w:w="3628"/>
            <w:shd w:val="clear" w:fill="F5F7FA"/>
          </w:tcPr>
          <w:p>
            <w:pPr>
              <w:bidi/>
              <w:spacing w:after="0"/>
            </w:pPr>
            <w:r>
              <w:rPr>
                <w:rFonts w:ascii="Segoe UI" w:hAnsi="Segoe UI" w:cs="Segoe UI"/>
                <w:sz w:val="17"/>
                <w:szCs w:val="17"/>
                <w:rtl/>
              </w:rPr>
              <w:t>ساعة الذروة (توقيت محلي)</w:t>
            </w:r>
          </w:p>
        </w:tc>
        <w:tc>
          <w:tcPr>
            <w:tcW w:type="dxa" w:w="1928"/>
            <w:shd w:val="clear" w:fill="F5F7FA"/>
          </w:tcPr>
          <w:p>
            <w:pPr>
              <w:bidi/>
              <w:spacing w:after="0"/>
              <w:jc w:val="center"/>
            </w:pPr>
            <w:r>
              <w:rPr>
                <w:rFonts w:ascii="Segoe UI" w:hAnsi="Segoe UI" w:cs="Segoe UI"/>
                <w:sz w:val="17"/>
                <w:szCs w:val="17"/>
                <w:rtl/>
              </w:rPr>
              <w:t>14:00</w:t>
            </w:r>
          </w:p>
        </w:tc>
        <w:tc>
          <w:tcPr>
            <w:tcW w:type="dxa" w:w="1814"/>
            <w:shd w:val="clear" w:fill="F5F7FA"/>
          </w:tcPr>
          <w:p>
            <w:pPr>
              <w:bidi/>
              <w:spacing w:after="0"/>
              <w:jc w:val="center"/>
            </w:pPr>
            <w:r>
              <w:rPr>
                <w:rFonts w:ascii="Segoe UI" w:hAnsi="Segoe UI" w:cs="Segoe UI"/>
                <w:sz w:val="17"/>
                <w:szCs w:val="17"/>
                <w:rtl/>
              </w:rPr>
              <w:t>7:00</w:t>
            </w:r>
          </w:p>
        </w:tc>
        <w:tc>
          <w:tcPr>
            <w:tcW w:type="dxa" w:w="1701"/>
            <w:shd w:val="clear" w:fill="F5F7FA"/>
          </w:tcPr>
          <w:p>
            <w:pPr>
              <w:bidi/>
              <w:spacing w:after="0"/>
              <w:jc w:val="center"/>
            </w:pPr>
            <w:r>
              <w:rPr>
                <w:rFonts w:ascii="Segoe UI" w:hAnsi="Segoe UI" w:cs="Segoe UI"/>
                <w:sz w:val="17"/>
                <w:szCs w:val="17"/>
                <w:rtl/>
              </w:rPr>
              <w:t>17:00</w:t>
            </w:r>
          </w:p>
        </w:tc>
      </w:tr>
      <w:tr>
        <w:tc>
          <w:tcPr>
            <w:tcW w:type="dxa" w:w="3628"/>
          </w:tcPr>
          <w:p>
            <w:pPr>
              <w:bidi/>
              <w:spacing w:after="0"/>
            </w:pPr>
            <w:r>
              <w:rPr>
                <w:rFonts w:ascii="Segoe UI" w:hAnsi="Segoe UI" w:cs="Segoe UI"/>
                <w:sz w:val="17"/>
                <w:szCs w:val="17"/>
                <w:rtl/>
              </w:rPr>
              <w:t>أكثر الأيام ازدحاماً</w:t>
            </w:r>
          </w:p>
        </w:tc>
        <w:tc>
          <w:tcPr>
            <w:tcW w:type="dxa" w:w="1928"/>
          </w:tcPr>
          <w:p>
            <w:pPr>
              <w:bidi/>
              <w:spacing w:after="0"/>
              <w:jc w:val="center"/>
            </w:pPr>
            <w:r>
              <w:rPr>
                <w:rFonts w:ascii="Segoe UI" w:hAnsi="Segoe UI" w:cs="Segoe UI"/>
                <w:sz w:val="17"/>
                <w:szCs w:val="17"/>
                <w:rtl/>
              </w:rPr>
              <w:t>2026-08-13 (81)</w:t>
            </w:r>
          </w:p>
        </w:tc>
        <w:tc>
          <w:tcPr>
            <w:tcW w:type="dxa" w:w="1814"/>
          </w:tcPr>
          <w:p>
            <w:pPr>
              <w:bidi/>
              <w:spacing w:after="0"/>
              <w:jc w:val="center"/>
            </w:pPr>
            <w:r>
              <w:rPr>
                <w:rFonts w:ascii="Segoe UI" w:hAnsi="Segoe UI" w:cs="Segoe UI"/>
                <w:sz w:val="17"/>
                <w:szCs w:val="17"/>
                <w:rtl/>
              </w:rPr>
              <w:t>2026-09-01 (28)</w:t>
            </w:r>
          </w:p>
        </w:tc>
        <w:tc>
          <w:tcPr>
            <w:tcW w:type="dxa" w:w="1701"/>
          </w:tcPr>
          <w:p>
            <w:pPr>
              <w:bidi/>
              <w:spacing w:after="0"/>
              <w:jc w:val="center"/>
            </w:pPr>
            <w:r>
              <w:rPr>
                <w:rFonts w:ascii="Segoe UI" w:hAnsi="Segoe UI" w:cs="Segoe UI"/>
                <w:sz w:val="17"/>
                <w:szCs w:val="17"/>
                <w:rtl/>
              </w:rPr>
              <w:t>2026-07-30 (5)</w:t>
            </w:r>
          </w:p>
        </w:tc>
      </w:tr>
      <w:tr>
        <w:tc>
          <w:tcPr>
            <w:tcW w:type="dxa" w:w="3628"/>
            <w:shd w:val="clear" w:fill="F5F7FA"/>
          </w:tcPr>
          <w:p>
            <w:pPr>
              <w:bidi/>
              <w:spacing w:after="0"/>
            </w:pPr>
            <w:r>
              <w:rPr>
                <w:rFonts w:ascii="Segoe UI" w:hAnsi="Segoe UI" w:cs="Segoe UI"/>
                <w:sz w:val="17"/>
                <w:szCs w:val="17"/>
                <w:rtl/>
              </w:rPr>
              <w:t>النمو: يناير–أغسطس 2025 ← 2026</w:t>
            </w:r>
          </w:p>
        </w:tc>
        <w:tc>
          <w:tcPr>
            <w:tcW w:type="dxa" w:w="1928"/>
            <w:shd w:val="clear" w:fill="F5F7FA"/>
          </w:tcPr>
          <w:p>
            <w:pPr>
              <w:bidi/>
              <w:spacing w:after="0"/>
              <w:jc w:val="center"/>
            </w:pPr>
            <w:r>
              <w:rPr>
                <w:rFonts w:ascii="Segoe UI" w:hAnsi="Segoe UI" w:cs="Segoe UI"/>
                <w:sz w:val="17"/>
                <w:szCs w:val="17"/>
                <w:rtl/>
              </w:rPr>
              <w:t>+30.7%</w:t>
            </w:r>
          </w:p>
        </w:tc>
        <w:tc>
          <w:tcPr>
            <w:tcW w:type="dxa" w:w="1814"/>
            <w:shd w:val="clear" w:fill="F5F7FA"/>
          </w:tcPr>
          <w:p>
            <w:pPr>
              <w:bidi/>
              <w:spacing w:after="0"/>
              <w:jc w:val="center"/>
            </w:pPr>
            <w:r>
              <w:rPr>
                <w:rFonts w:ascii="Segoe UI" w:hAnsi="Segoe UI" w:cs="Segoe UI"/>
                <w:sz w:val="17"/>
                <w:szCs w:val="17"/>
                <w:rtl/>
              </w:rPr>
              <w:t>+358.1%</w:t>
            </w:r>
          </w:p>
        </w:tc>
        <w:tc>
          <w:tcPr>
            <w:tcW w:type="dxa" w:w="1701"/>
            <w:shd w:val="clear" w:fill="F5F7FA"/>
          </w:tcPr>
          <w:p>
            <w:pPr>
              <w:bidi/>
              <w:spacing w:after="0"/>
              <w:jc w:val="center"/>
            </w:pPr>
            <w:r>
              <w:rPr>
                <w:rFonts w:ascii="Segoe UI" w:hAnsi="Segoe UI" w:cs="Segoe UI"/>
                <w:sz w:val="17"/>
                <w:szCs w:val="17"/>
                <w:rtl/>
              </w:rPr>
              <w:t>+235.1%</w:t>
            </w:r>
          </w:p>
        </w:tc>
      </w:tr>
    </w:tbl>
    <w:p>
      <w:r>
        <w:br w:type="page"/>
      </w:r>
    </w:p>
    <w:p>
      <w:pPr>
        <w:bidi/>
        <w:spacing w:after="200"/>
        <w:outlineLvl w:val="0"/>
      </w:pPr>
      <w:r>
        <w:rPr>
          <w:rFonts w:ascii="Segoe UI" w:hAnsi="Segoe UI" w:cs="Segoe UI"/>
          <w:b/>
          <w:bCs/>
          <w:color w:val="0F2A5C"/>
          <w:sz w:val="34"/>
          <w:szCs w:val="34"/>
          <w:rtl/>
        </w:rPr>
        <w:t>4. الاتجاه الزمني والنمو</w:t>
      </w:r>
    </w:p>
    <w:p xmlns:w="http://schemas.openxmlformats.org/wordprocessingml/2006/main">
      <w:pPr>
        <w:bidi/>
        <w:jc w:val="center"/>
      </w:pPr>
      <w:drawing>
        <wp:inline xmlns:wp="http://schemas.openxmlformats.org/drawingml/2006/wordprocessingDrawing" distT="0" distB="0" distL="0" distR="0">
          <wp:extent cx="5212080" cy="3291840"/>
          <wp:effectExtent l="0" t="0" r="0" b="0"/>
          <wp:docPr id="1002" name="Chart monthly"/>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2"/>
            </a:graphicData>
          </a:graphic>
        </wp:inline>
      </w:drawing>
    </w:p>
    <w:p>
      <w:pPr>
        <w:bidi/>
        <w:spacing w:after="200"/>
      </w:pPr>
      <w:r>
        <w:rPr>
          <w:rFonts w:ascii="Segoe UI" w:hAnsi="Segoe UI" w:cs="Segoe UI"/>
          <w:color w:val="6B7280"/>
          <w:sz w:val="19"/>
          <w:szCs w:val="19"/>
          <w:rtl/>
        </w:rPr>
        <w:t>الشكل 1 — التطور الشهري: ثبات دمشق حول 1,200–1,400 حركة شهرياً، وصعود حلب المتسارع حتى 694 حركة في أغسطس 2026، ونشاط اللاذقية المتقطع منخفض الكم. لاحظ انخفاض مارس 2026 في سلسلة دمشق بسبب فجوة التسجيل الموثقة في القسم 2.3، وأن سبتمبر 2026 غير مكتمل (رسم Word أصلي قابل للتحرير).</w:t>
      </w:r>
    </w:p>
    <w:p xmlns:w="http://schemas.openxmlformats.org/wordprocessingml/2006/main">
      <w:pPr>
        <w:bidi/>
        <w:jc w:val="center"/>
      </w:pPr>
      <w:drawing>
        <wp:inline xmlns:wp="http://schemas.openxmlformats.org/drawingml/2006/wordprocessingDrawing" distT="0" distB="0" distL="0" distR="0">
          <wp:extent cx="5212080" cy="3200400"/>
          <wp:effectExtent l="0" t="0" r="0" b="0"/>
          <wp:docPr id="1015" name="Chart growth"/>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15"/>
            </a:graphicData>
          </a:graphic>
        </wp:inline>
      </w:drawing>
    </w:p>
    <w:p>
      <w:pPr>
        <w:bidi/>
        <w:spacing w:after="200"/>
      </w:pPr>
      <w:r>
        <w:rPr>
          <w:rFonts w:ascii="Segoe UI" w:hAnsi="Segoe UI" w:cs="Segoe UI"/>
          <w:color w:val="6B7280"/>
          <w:sz w:val="19"/>
          <w:szCs w:val="19"/>
          <w:rtl/>
        </w:rPr>
        <w:t>الشكل 2 — مقارنة عادلة للفترة يناير–أغسطس بين عامي 2025 و2026: نمو دمشق +30.7%، وحلب +358.1% (أربعة أضعاف تقريباً)، واللاذقية +235.1% عن قاعدة منخفضة (رسم Word أصلي قابل للتحرير).</w:t>
      </w:r>
    </w:p>
    <w:p>
      <w:pPr>
        <w:bidi/>
        <w:spacing w:after="120"/>
      </w:pPr>
      <w:r>
        <w:rPr>
          <w:rFonts w:ascii="Segoe UI" w:hAnsi="Segoe UI" w:cs="Segoe UI"/>
          <w:sz w:val="22"/>
          <w:szCs w:val="22"/>
          <w:rtl/>
        </w:rPr>
        <w:t>القراءة التحليلية: منحنى حلب على شكل «منحنى إقلاع» نموذجي لمطار يعيد بناء شبكته — فتح خطوط عمّان وإسطنبول أولاً، ثم الخليج تدريجياً، ثم تكثيف الترددات. أما دمشق فتُظهر نضجاً مبكراً استعاد حجمه بسرعة خلال 2025 وثبّته في 2026، ما يوحي بأن العرض (المقاعد) لحق بالطلب خلال أقل من عام.</w:t>
      </w:r>
    </w:p>
    <w:p>
      <w:r>
        <w:br w:type="page"/>
      </w:r>
    </w:p>
    <w:p>
      <w:pPr>
        <w:bidi/>
        <w:spacing w:after="200"/>
        <w:outlineLvl w:val="0"/>
      </w:pPr>
      <w:r>
        <w:rPr>
          <w:rFonts w:ascii="Segoe UI" w:hAnsi="Segoe UI" w:cs="Segoe UI"/>
          <w:b/>
          <w:bCs/>
          <w:color w:val="0F2A5C"/>
          <w:sz w:val="34"/>
          <w:szCs w:val="34"/>
          <w:rtl/>
        </w:rPr>
        <w:t>5. تركيب الحركة: أحجام وفئات</w:t>
      </w:r>
    </w:p>
    <w:p xmlns:w="http://schemas.openxmlformats.org/wordprocessingml/2006/main">
      <w:pPr>
        <w:bidi/>
        <w:jc w:val="center"/>
      </w:pPr>
      <w:drawing>
        <wp:inline xmlns:wp="http://schemas.openxmlformats.org/drawingml/2006/wordprocessingDrawing" distT="0" distB="0" distL="0" distR="0">
          <wp:extent cx="5212080" cy="3063240"/>
          <wp:effectExtent l="0" t="0" r="0" b="0"/>
          <wp:docPr id="1001" name="Chart totals"/>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1"/>
            </a:graphicData>
          </a:graphic>
        </wp:inline>
      </w:drawing>
    </w:p>
    <w:p>
      <w:pPr>
        <w:bidi/>
        <w:spacing w:after="200"/>
      </w:pPr>
      <w:r>
        <w:rPr>
          <w:rFonts w:ascii="Segoe UI" w:hAnsi="Segoe UI" w:cs="Segoe UI"/>
          <w:color w:val="6B7280"/>
          <w:sz w:val="19"/>
          <w:szCs w:val="19"/>
          <w:rtl/>
        </w:rPr>
        <w:t>الشكل 3 — المغادرات مقابل الوصولات: توازن شبه تام في دمشق وحلب (فرق أقل من 2%) وهو متوقع لمطار مدني بخطوط منتظمة؛ أما اللاذقية فالمغادرات تزيد على الوصولات (153 مقابل 97)، بما يوحي بمغادرة طائرات عائدة لقواعدها أكثر من الواصلة.</w:t>
      </w:r>
    </w:p>
    <w:p xmlns:w="http://schemas.openxmlformats.org/wordprocessingml/2006/main">
      <w:pPr>
        <w:bidi/>
        <w:jc w:val="center"/>
      </w:pPr>
      <w:drawing>
        <wp:inline xmlns:wp="http://schemas.openxmlformats.org/drawingml/2006/wordprocessingDrawing" distT="0" distB="0" distL="0" distR="0">
          <wp:extent cx="5212080" cy="2926080"/>
          <wp:effectExtent l="0" t="0" r="0" b="0"/>
          <wp:docPr id="1003" name="Chart categories"/>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3"/>
            </a:graphicData>
          </a:graphic>
        </wp:inline>
      </w:drawing>
    </w:p>
    <w:p>
      <w:pPr>
        <w:bidi/>
        <w:spacing w:after="200"/>
      </w:pPr>
      <w:r>
        <w:rPr>
          <w:rFonts w:ascii="Segoe UI" w:hAnsi="Segoe UI" w:cs="Segoe UI"/>
          <w:color w:val="6B7280"/>
          <w:sz w:val="19"/>
          <w:szCs w:val="19"/>
          <w:rtl/>
        </w:rPr>
        <w:t>الشكل 4 — تركيب الحركة حسب الفئة: دمشق وحلب مطاران مدنيان بامتياز (ركاب 94.6% و95.4%)، واللاذقية 96% عسكري وحكومي (رسم قابل للتحرير).</w:t>
      </w:r>
    </w:p>
    <w:p xmlns:w="http://schemas.openxmlformats.org/wordprocessingml/2006/main">
      <w:pPr>
        <w:bidi/>
        <w:jc w:val="center"/>
      </w:pPr>
      <w:drawing>
        <wp:inline xmlns:wp="http://schemas.openxmlformats.org/drawingml/2006/wordprocessingDrawing" distT="0" distB="0" distL="0" distR="0">
          <wp:extent cx="5212080" cy="2926080"/>
          <wp:effectExtent l="0" t="0" r="0" b="0"/>
          <wp:docPr id="1019" name="Chart domestic"/>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19"/>
            </a:graphicData>
          </a:graphic>
        </wp:inline>
      </w:drawing>
    </w:p>
    <w:p>
      <w:pPr>
        <w:bidi/>
        <w:spacing w:after="200"/>
      </w:pPr>
      <w:r>
        <w:rPr>
          <w:rFonts w:ascii="Segoe UI" w:hAnsi="Segoe UI" w:cs="Segoe UI"/>
          <w:color w:val="6B7280"/>
          <w:sz w:val="19"/>
          <w:szCs w:val="19"/>
          <w:rtl/>
        </w:rPr>
        <w:t>الشكل 5 — المغادرات الداخلية شبه غائبة في المطارات الثلاثة؛ إعادة الإعمار الجوي تركّزت حتى الآن على الربط الدولي.</w:t>
      </w:r>
    </w:p>
    <w:p>
      <w:r>
        <w:br w:type="page"/>
      </w:r>
    </w:p>
    <w:p>
      <w:pPr>
        <w:bidi/>
        <w:spacing w:after="200"/>
        <w:outlineLvl w:val="0"/>
      </w:pPr>
      <w:r>
        <w:rPr>
          <w:rFonts w:ascii="Segoe UI" w:hAnsi="Segoe UI" w:cs="Segoe UI"/>
          <w:b/>
          <w:bCs/>
          <w:color w:val="0F2A5C"/>
          <w:sz w:val="34"/>
          <w:szCs w:val="34"/>
          <w:rtl/>
        </w:rPr>
        <w:t>6. سوق شركات التشغيل</w:t>
      </w:r>
    </w:p>
    <w:p xmlns:w="http://schemas.openxmlformats.org/wordprocessingml/2006/main">
      <w:pPr>
        <w:bidi/>
        <w:jc w:val="center"/>
      </w:pPr>
      <w:drawing>
        <wp:inline xmlns:wp="http://schemas.openxmlformats.org/drawingml/2006/wordprocessingDrawing" distT="0" distB="0" distL="0" distR="0">
          <wp:extent cx="5212080" cy="4206240"/>
          <wp:effectExtent l="0" t="0" r="0" b="0"/>
          <wp:docPr id="1004" name="Chart airlines"/>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4"/>
            </a:graphicData>
          </a:graphic>
        </wp:inline>
      </w:drawing>
    </w:p>
    <w:p>
      <w:pPr>
        <w:bidi/>
        <w:spacing w:after="200"/>
      </w:pPr>
      <w:r>
        <w:rPr>
          <w:rFonts w:ascii="Segoe UI" w:hAnsi="Segoe UI" w:cs="Segoe UI"/>
          <w:color w:val="6B7280"/>
          <w:sz w:val="19"/>
          <w:szCs w:val="19"/>
          <w:rtl/>
        </w:rPr>
        <w:t>الشكل 6 — أكبر 12 شركة تشغيل (مكدّسة حسب المطار): تتقدم الخطوط السورية بـ 3,629 حركة تليها فلاي شام الناشئة بـ 3,714 — أي أن شركتين سوريتين تمثلان معاً نحو 29.3% من كل الحركات المسجلة (رسم قابل للتحرير).</w:t>
      </w:r>
    </w:p>
    <w:p xmlns:w="http://schemas.openxmlformats.org/wordprocessingml/2006/main">
      <w:pPr>
        <w:bidi/>
        <w:jc w:val="center"/>
      </w:pPr>
      <w:drawing>
        <wp:inline xmlns:wp="http://schemas.openxmlformats.org/drawingml/2006/wordprocessingDrawing" distT="0" distB="0" distL="0" distR="0">
          <wp:extent cx="4480560" cy="3566160"/>
          <wp:effectExtent l="0" t="0" r="0" b="0"/>
          <wp:docPr id="1005" name="Chart share_dam"/>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5"/>
            </a:graphicData>
          </a:graphic>
        </wp:inline>
      </w:drawing>
    </w:p>
    <w:p>
      <w:pPr>
        <w:bidi/>
        <w:spacing w:after="200"/>
      </w:pPr>
      <w:r>
        <w:rPr>
          <w:rFonts w:ascii="Segoe UI" w:hAnsi="Segoe UI" w:cs="Segoe UI"/>
          <w:color w:val="6B7280"/>
          <w:sz w:val="19"/>
          <w:szCs w:val="19"/>
          <w:rtl/>
        </w:rPr>
        <w:t>الشكل 7 — حصص السوق في دمشق (أكبر 7 شركات + آخرون): سوق موزّع بين ناقلات خليجية والناقلتين السوريتين والملكية الأردنية (رسم قابل للتحرير).</w:t>
      </w:r>
    </w:p>
    <w:p xmlns:w="http://schemas.openxmlformats.org/wordprocessingml/2006/main">
      <w:pPr>
        <w:bidi/>
        <w:jc w:val="center"/>
      </w:pPr>
      <w:drawing>
        <wp:inline xmlns:wp="http://schemas.openxmlformats.org/drawingml/2006/wordprocessingDrawing" distT="0" distB="0" distL="0" distR="0">
          <wp:extent cx="4480560" cy="3566160"/>
          <wp:effectExtent l="0" t="0" r="0" b="0"/>
          <wp:docPr id="1006" name="Chart share_alp"/>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6"/>
            </a:graphicData>
          </a:graphic>
        </wp:inline>
      </w:drawing>
    </w:p>
    <w:p>
      <w:pPr>
        <w:bidi/>
        <w:spacing w:after="200"/>
      </w:pPr>
      <w:r>
        <w:rPr>
          <w:rFonts w:ascii="Segoe UI" w:hAnsi="Segoe UI" w:cs="Segoe UI"/>
          <w:color w:val="6B7280"/>
          <w:sz w:val="19"/>
          <w:szCs w:val="19"/>
          <w:rtl/>
        </w:rPr>
        <w:t>الشكل 8 — حصص السوق في حلب: تقود الملكية الأردنية (27.8%) ثم التركية وإيه جت — جغرافيا تجارية مختلفة عن دمشق (رسم قابل للتحرير).</w:t>
      </w:r>
    </w:p>
    <w:p>
      <w:pPr>
        <w:bidi/>
        <w:spacing w:after="120"/>
        <w:outlineLvl w:val="1"/>
      </w:pPr>
      <w:r>
        <w:rPr>
          <w:rFonts w:ascii="Segoe UI" w:hAnsi="Segoe UI" w:cs="Segoe UI"/>
          <w:b/>
          <w:bCs/>
          <w:color w:val="1F2937"/>
          <w:sz w:val="27"/>
          <w:szCs w:val="27"/>
          <w:rtl/>
        </w:rPr>
        <w:t>6.1 أكبر الشركات في كل مطار</w:t>
      </w:r>
    </w:p>
    <w:p>
      <w:pPr>
        <w:bidi/>
        <w:spacing w:after="60"/>
      </w:pPr>
      <w:r>
        <w:rPr>
          <w:rFonts w:ascii="Segoe UI" w:hAnsi="Segoe UI" w:cs="Segoe UI"/>
          <w:b/>
          <w:bCs/>
          <w:color w:val="1E5AA8"/>
          <w:sz w:val="23"/>
          <w:szCs w:val="23"/>
          <w:rtl/>
        </w:rPr>
        <w:t>دمشق</w:t>
      </w:r>
    </w:p>
    <w:tbl>
      <w:tblPr>
        <w:tblStyle w:val="TableGrid"/>
        <w:bidiVisual/>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510"/>
            <w:shd w:val="clear" w:fill="0F2A5C"/>
          </w:tcPr>
          <w:p>
            <w:pPr>
              <w:bidi/>
              <w:spacing w:after="0"/>
              <w:jc w:val="center"/>
            </w:pPr>
            <w:r>
              <w:rPr>
                <w:rFonts w:ascii="Segoe UI" w:hAnsi="Segoe UI" w:cs="Segoe UI"/>
                <w:b/>
                <w:bCs/>
                <w:color w:val="FFFFFF"/>
                <w:sz w:val="17"/>
                <w:szCs w:val="17"/>
                <w:rtl/>
              </w:rPr>
              <w:t>#</w:t>
            </w:r>
          </w:p>
        </w:tc>
        <w:tc>
          <w:tcPr>
            <w:tcW w:type="dxa" w:w="2608"/>
            <w:shd w:val="clear" w:fill="0F2A5C"/>
          </w:tcPr>
          <w:p>
            <w:pPr>
              <w:bidi/>
              <w:spacing w:after="0"/>
              <w:jc w:val="center"/>
            </w:pPr>
            <w:r>
              <w:rPr>
                <w:rFonts w:ascii="Segoe UI" w:hAnsi="Segoe UI" w:cs="Segoe UI"/>
                <w:b/>
                <w:bCs/>
                <w:color w:val="FFFFFF"/>
                <w:sz w:val="17"/>
                <w:szCs w:val="17"/>
                <w:rtl/>
              </w:rPr>
              <w:t>الشركة</w:t>
            </w:r>
          </w:p>
        </w:tc>
        <w:tc>
          <w:tcPr>
            <w:tcW w:type="dxa" w:w="1247"/>
            <w:shd w:val="clear" w:fill="0F2A5C"/>
          </w:tcPr>
          <w:p>
            <w:pPr>
              <w:bidi/>
              <w:spacing w:after="0"/>
              <w:jc w:val="center"/>
            </w:pPr>
            <w:r>
              <w:rPr>
                <w:rFonts w:ascii="Segoe UI" w:hAnsi="Segoe UI" w:cs="Segoe UI"/>
                <w:b/>
                <w:bCs/>
                <w:color w:val="FFFFFF"/>
                <w:sz w:val="17"/>
                <w:szCs w:val="17"/>
                <w:rtl/>
              </w:rPr>
              <w:t>الرمز</w:t>
            </w:r>
          </w:p>
        </w:tc>
        <w:tc>
          <w:tcPr>
            <w:tcW w:type="dxa" w:w="1928"/>
            <w:shd w:val="clear" w:fill="0F2A5C"/>
          </w:tcPr>
          <w:p>
            <w:pPr>
              <w:bidi/>
              <w:spacing w:after="0"/>
              <w:jc w:val="center"/>
            </w:pPr>
            <w:r>
              <w:rPr>
                <w:rFonts w:ascii="Segoe UI" w:hAnsi="Segoe UI" w:cs="Segoe UI"/>
                <w:b/>
                <w:bCs/>
                <w:color w:val="FFFFFF"/>
                <w:sz w:val="17"/>
                <w:szCs w:val="17"/>
                <w:rtl/>
              </w:rPr>
              <w:t>الجنسية</w:t>
            </w:r>
          </w:p>
        </w:tc>
        <w:tc>
          <w:tcPr>
            <w:tcW w:type="dxa" w:w="1134"/>
            <w:shd w:val="clear" w:fill="0F2A5C"/>
          </w:tcPr>
          <w:p>
            <w:pPr>
              <w:bidi/>
              <w:spacing w:after="0"/>
              <w:jc w:val="center"/>
            </w:pPr>
            <w:r>
              <w:rPr>
                <w:rFonts w:ascii="Segoe UI" w:hAnsi="Segoe UI" w:cs="Segoe UI"/>
                <w:b/>
                <w:bCs/>
                <w:color w:val="FFFFFF"/>
                <w:sz w:val="17"/>
                <w:szCs w:val="17"/>
                <w:rtl/>
              </w:rPr>
              <w:t>الحركات</w:t>
            </w:r>
          </w:p>
        </w:tc>
        <w:tc>
          <w:tcPr>
            <w:tcW w:type="dxa" w:w="964"/>
            <w:shd w:val="clear" w:fill="0F2A5C"/>
          </w:tcPr>
          <w:p>
            <w:pPr>
              <w:bidi/>
              <w:spacing w:after="0"/>
              <w:jc w:val="center"/>
            </w:pPr>
            <w:r>
              <w:rPr>
                <w:rFonts w:ascii="Segoe UI" w:hAnsi="Segoe UI" w:cs="Segoe UI"/>
                <w:b/>
                <w:bCs/>
                <w:color w:val="FFFFFF"/>
                <w:sz w:val="17"/>
                <w:szCs w:val="17"/>
                <w:rtl/>
              </w:rPr>
              <w:t>الحصة</w:t>
            </w:r>
          </w:p>
        </w:tc>
      </w:tr>
      <w:tr>
        <w:tc>
          <w:tcPr>
            <w:tcW w:type="dxa" w:w="510"/>
          </w:tcPr>
          <w:p>
            <w:pPr>
              <w:bidi/>
              <w:spacing w:after="0"/>
            </w:pPr>
            <w:r>
              <w:rPr>
                <w:rFonts w:ascii="Segoe UI" w:hAnsi="Segoe UI" w:cs="Segoe UI"/>
                <w:sz w:val="17"/>
                <w:szCs w:val="17"/>
                <w:rtl/>
              </w:rPr>
              <w:t>1</w:t>
            </w:r>
          </w:p>
        </w:tc>
        <w:tc>
          <w:tcPr>
            <w:tcW w:type="dxa" w:w="2608"/>
          </w:tcPr>
          <w:p>
            <w:pPr>
              <w:bidi/>
              <w:spacing w:after="0"/>
              <w:jc w:val="center"/>
            </w:pPr>
            <w:r>
              <w:rPr>
                <w:rFonts w:ascii="Segoe UI" w:hAnsi="Segoe UI" w:cs="Segoe UI"/>
                <w:sz w:val="17"/>
                <w:szCs w:val="17"/>
                <w:rtl/>
              </w:rPr>
              <w:t>الخطوط الجوية السورية</w:t>
            </w:r>
          </w:p>
        </w:tc>
        <w:tc>
          <w:tcPr>
            <w:tcW w:type="dxa" w:w="1247"/>
          </w:tcPr>
          <w:p>
            <w:pPr>
              <w:bidi/>
              <w:spacing w:after="0"/>
              <w:jc w:val="center"/>
            </w:pPr>
            <w:r>
              <w:rPr>
                <w:rFonts w:ascii="Segoe UI" w:hAnsi="Segoe UI" w:cs="Segoe UI"/>
                <w:sz w:val="17"/>
                <w:szCs w:val="17"/>
                <w:rtl/>
              </w:rPr>
              <w:t>SYR / RB</w:t>
            </w:r>
          </w:p>
        </w:tc>
        <w:tc>
          <w:tcPr>
            <w:tcW w:type="dxa" w:w="1928"/>
          </w:tcPr>
          <w:p>
            <w:pPr>
              <w:bidi/>
              <w:spacing w:after="0"/>
              <w:jc w:val="center"/>
            </w:pPr>
            <w:r>
              <w:rPr>
                <w:rFonts w:ascii="Segoe UI" w:hAnsi="Segoe UI" w:cs="Segoe UI"/>
                <w:sz w:val="17"/>
                <w:szCs w:val="17"/>
                <w:rtl/>
              </w:rPr>
              <w:t>سوريا</w:t>
            </w:r>
          </w:p>
        </w:tc>
        <w:tc>
          <w:tcPr>
            <w:tcW w:type="dxa" w:w="1134"/>
          </w:tcPr>
          <w:p>
            <w:pPr>
              <w:bidi/>
              <w:spacing w:after="0"/>
              <w:jc w:val="center"/>
            </w:pPr>
            <w:r>
              <w:rPr>
                <w:rFonts w:ascii="Segoe UI" w:hAnsi="Segoe UI" w:cs="Segoe UI"/>
                <w:sz w:val="17"/>
                <w:szCs w:val="17"/>
                <w:rtl/>
              </w:rPr>
              <w:t>3,166</w:t>
            </w:r>
          </w:p>
        </w:tc>
        <w:tc>
          <w:tcPr>
            <w:tcW w:type="dxa" w:w="964"/>
          </w:tcPr>
          <w:p>
            <w:pPr>
              <w:bidi/>
              <w:spacing w:after="0"/>
              <w:jc w:val="center"/>
            </w:pPr>
            <w:r>
              <w:rPr>
                <w:rFonts w:ascii="Segoe UI" w:hAnsi="Segoe UI" w:cs="Segoe UI"/>
                <w:sz w:val="17"/>
                <w:szCs w:val="17"/>
                <w:rtl/>
              </w:rPr>
              <w:t>16.0%</w:t>
            </w:r>
          </w:p>
        </w:tc>
      </w:tr>
      <w:tr>
        <w:tc>
          <w:tcPr>
            <w:tcW w:type="dxa" w:w="510"/>
            <w:shd w:val="clear" w:fill="F5F7FA"/>
          </w:tcPr>
          <w:p>
            <w:pPr>
              <w:bidi/>
              <w:spacing w:after="0"/>
            </w:pPr>
            <w:r>
              <w:rPr>
                <w:rFonts w:ascii="Segoe UI" w:hAnsi="Segoe UI" w:cs="Segoe UI"/>
                <w:sz w:val="17"/>
                <w:szCs w:val="17"/>
                <w:rtl/>
              </w:rPr>
              <w:t>2</w:t>
            </w:r>
          </w:p>
        </w:tc>
        <w:tc>
          <w:tcPr>
            <w:tcW w:type="dxa" w:w="2608"/>
            <w:shd w:val="clear" w:fill="F5F7FA"/>
          </w:tcPr>
          <w:p>
            <w:pPr>
              <w:bidi/>
              <w:spacing w:after="0"/>
              <w:jc w:val="center"/>
            </w:pPr>
            <w:r>
              <w:rPr>
                <w:rFonts w:ascii="Segoe UI" w:hAnsi="Segoe UI" w:cs="Segoe UI"/>
                <w:sz w:val="17"/>
                <w:szCs w:val="17"/>
                <w:rtl/>
              </w:rPr>
              <w:t>فلاي شام</w:t>
            </w:r>
          </w:p>
        </w:tc>
        <w:tc>
          <w:tcPr>
            <w:tcW w:type="dxa" w:w="1247"/>
            <w:shd w:val="clear" w:fill="F5F7FA"/>
          </w:tcPr>
          <w:p>
            <w:pPr>
              <w:bidi/>
              <w:spacing w:after="0"/>
              <w:jc w:val="center"/>
            </w:pPr>
            <w:r>
              <w:rPr>
                <w:rFonts w:ascii="Segoe UI" w:hAnsi="Segoe UI" w:cs="Segoe UI"/>
                <w:sz w:val="17"/>
                <w:szCs w:val="17"/>
                <w:rtl/>
              </w:rPr>
              <w:t>FYC / XH</w:t>
            </w:r>
          </w:p>
        </w:tc>
        <w:tc>
          <w:tcPr>
            <w:tcW w:type="dxa" w:w="1928"/>
            <w:shd w:val="clear" w:fill="F5F7FA"/>
          </w:tcPr>
          <w:p>
            <w:pPr>
              <w:bidi/>
              <w:spacing w:after="0"/>
              <w:jc w:val="center"/>
            </w:pPr>
            <w:r>
              <w:rPr>
                <w:rFonts w:ascii="Segoe UI" w:hAnsi="Segoe UI" w:cs="Segoe UI"/>
                <w:sz w:val="17"/>
                <w:szCs w:val="17"/>
                <w:rtl/>
              </w:rPr>
              <w:t>سوريا (تأسست 2025)</w:t>
            </w:r>
          </w:p>
        </w:tc>
        <w:tc>
          <w:tcPr>
            <w:tcW w:type="dxa" w:w="1134"/>
            <w:shd w:val="clear" w:fill="F5F7FA"/>
          </w:tcPr>
          <w:p>
            <w:pPr>
              <w:bidi/>
              <w:spacing w:after="0"/>
              <w:jc w:val="center"/>
            </w:pPr>
            <w:r>
              <w:rPr>
                <w:rFonts w:ascii="Segoe UI" w:hAnsi="Segoe UI" w:cs="Segoe UI"/>
                <w:sz w:val="17"/>
                <w:szCs w:val="17"/>
                <w:rtl/>
              </w:rPr>
              <w:t>3,027</w:t>
            </w:r>
          </w:p>
        </w:tc>
        <w:tc>
          <w:tcPr>
            <w:tcW w:type="dxa" w:w="964"/>
            <w:shd w:val="clear" w:fill="F5F7FA"/>
          </w:tcPr>
          <w:p>
            <w:pPr>
              <w:bidi/>
              <w:spacing w:after="0"/>
              <w:jc w:val="center"/>
            </w:pPr>
            <w:r>
              <w:rPr>
                <w:rFonts w:ascii="Segoe UI" w:hAnsi="Segoe UI" w:cs="Segoe UI"/>
                <w:sz w:val="17"/>
                <w:szCs w:val="17"/>
                <w:rtl/>
              </w:rPr>
              <w:t>15.3%</w:t>
            </w:r>
          </w:p>
        </w:tc>
      </w:tr>
      <w:tr>
        <w:tc>
          <w:tcPr>
            <w:tcW w:type="dxa" w:w="510"/>
          </w:tcPr>
          <w:p>
            <w:pPr>
              <w:bidi/>
              <w:spacing w:after="0"/>
            </w:pPr>
            <w:r>
              <w:rPr>
                <w:rFonts w:ascii="Segoe UI" w:hAnsi="Segoe UI" w:cs="Segoe UI"/>
                <w:sz w:val="17"/>
                <w:szCs w:val="17"/>
                <w:rtl/>
              </w:rPr>
              <w:t>3</w:t>
            </w:r>
          </w:p>
        </w:tc>
        <w:tc>
          <w:tcPr>
            <w:tcW w:type="dxa" w:w="2608"/>
          </w:tcPr>
          <w:p>
            <w:pPr>
              <w:bidi/>
              <w:spacing w:after="0"/>
              <w:jc w:val="center"/>
            </w:pPr>
            <w:r>
              <w:rPr>
                <w:rFonts w:ascii="Segoe UI" w:hAnsi="Segoe UI" w:cs="Segoe UI"/>
                <w:sz w:val="17"/>
                <w:szCs w:val="17"/>
                <w:rtl/>
              </w:rPr>
              <w:t>الملكية الأردنية</w:t>
            </w:r>
          </w:p>
        </w:tc>
        <w:tc>
          <w:tcPr>
            <w:tcW w:type="dxa" w:w="1247"/>
          </w:tcPr>
          <w:p>
            <w:pPr>
              <w:bidi/>
              <w:spacing w:after="0"/>
              <w:jc w:val="center"/>
            </w:pPr>
            <w:r>
              <w:rPr>
                <w:rFonts w:ascii="Segoe UI" w:hAnsi="Segoe UI" w:cs="Segoe UI"/>
                <w:sz w:val="17"/>
                <w:szCs w:val="17"/>
                <w:rtl/>
              </w:rPr>
              <w:t>RJA / RJ</w:t>
            </w:r>
          </w:p>
        </w:tc>
        <w:tc>
          <w:tcPr>
            <w:tcW w:type="dxa" w:w="1928"/>
          </w:tcPr>
          <w:p>
            <w:pPr>
              <w:bidi/>
              <w:spacing w:after="0"/>
              <w:jc w:val="center"/>
            </w:pPr>
            <w:r>
              <w:rPr>
                <w:rFonts w:ascii="Segoe UI" w:hAnsi="Segoe UI" w:cs="Segoe UI"/>
                <w:sz w:val="17"/>
                <w:szCs w:val="17"/>
                <w:rtl/>
              </w:rPr>
              <w:t>الأردن</w:t>
            </w:r>
          </w:p>
        </w:tc>
        <w:tc>
          <w:tcPr>
            <w:tcW w:type="dxa" w:w="1134"/>
          </w:tcPr>
          <w:p>
            <w:pPr>
              <w:bidi/>
              <w:spacing w:after="0"/>
              <w:jc w:val="center"/>
            </w:pPr>
            <w:r>
              <w:rPr>
                <w:rFonts w:ascii="Segoe UI" w:hAnsi="Segoe UI" w:cs="Segoe UI"/>
                <w:sz w:val="17"/>
                <w:szCs w:val="17"/>
                <w:rtl/>
              </w:rPr>
              <w:t>1,678</w:t>
            </w:r>
          </w:p>
        </w:tc>
        <w:tc>
          <w:tcPr>
            <w:tcW w:type="dxa" w:w="964"/>
          </w:tcPr>
          <w:p>
            <w:pPr>
              <w:bidi/>
              <w:spacing w:after="0"/>
              <w:jc w:val="center"/>
            </w:pPr>
            <w:r>
              <w:rPr>
                <w:rFonts w:ascii="Segoe UI" w:hAnsi="Segoe UI" w:cs="Segoe UI"/>
                <w:sz w:val="17"/>
                <w:szCs w:val="17"/>
                <w:rtl/>
              </w:rPr>
              <w:t>8.5%</w:t>
            </w:r>
          </w:p>
        </w:tc>
      </w:tr>
      <w:tr>
        <w:tc>
          <w:tcPr>
            <w:tcW w:type="dxa" w:w="510"/>
            <w:shd w:val="clear" w:fill="F5F7FA"/>
          </w:tcPr>
          <w:p>
            <w:pPr>
              <w:bidi/>
              <w:spacing w:after="0"/>
            </w:pPr>
            <w:r>
              <w:rPr>
                <w:rFonts w:ascii="Segoe UI" w:hAnsi="Segoe UI" w:cs="Segoe UI"/>
                <w:sz w:val="17"/>
                <w:szCs w:val="17"/>
                <w:rtl/>
              </w:rPr>
              <w:t>4</w:t>
            </w:r>
          </w:p>
        </w:tc>
        <w:tc>
          <w:tcPr>
            <w:tcW w:type="dxa" w:w="2608"/>
            <w:shd w:val="clear" w:fill="F5F7FA"/>
          </w:tcPr>
          <w:p>
            <w:pPr>
              <w:bidi/>
              <w:spacing w:after="0"/>
              <w:jc w:val="center"/>
            </w:pPr>
            <w:r>
              <w:rPr>
                <w:rFonts w:ascii="Segoe UI" w:hAnsi="Segoe UI" w:cs="Segoe UI"/>
                <w:sz w:val="17"/>
                <w:szCs w:val="17"/>
                <w:rtl/>
              </w:rPr>
              <w:t>فلاي ناس</w:t>
            </w:r>
          </w:p>
        </w:tc>
        <w:tc>
          <w:tcPr>
            <w:tcW w:type="dxa" w:w="1247"/>
            <w:shd w:val="clear" w:fill="F5F7FA"/>
          </w:tcPr>
          <w:p>
            <w:pPr>
              <w:bidi/>
              <w:spacing w:after="0"/>
              <w:jc w:val="center"/>
            </w:pPr>
            <w:r>
              <w:rPr>
                <w:rFonts w:ascii="Segoe UI" w:hAnsi="Segoe UI" w:cs="Segoe UI"/>
                <w:sz w:val="17"/>
                <w:szCs w:val="17"/>
                <w:rtl/>
              </w:rPr>
              <w:t>KNE / XY</w:t>
            </w:r>
          </w:p>
        </w:tc>
        <w:tc>
          <w:tcPr>
            <w:tcW w:type="dxa" w:w="1928"/>
            <w:shd w:val="clear" w:fill="F5F7FA"/>
          </w:tcPr>
          <w:p>
            <w:pPr>
              <w:bidi/>
              <w:spacing w:after="0"/>
              <w:jc w:val="center"/>
            </w:pPr>
            <w:r>
              <w:rPr>
                <w:rFonts w:ascii="Segoe UI" w:hAnsi="Segoe UI" w:cs="Segoe UI"/>
                <w:sz w:val="17"/>
                <w:szCs w:val="17"/>
                <w:rtl/>
              </w:rPr>
              <w:t>السعودية</w:t>
            </w:r>
          </w:p>
        </w:tc>
        <w:tc>
          <w:tcPr>
            <w:tcW w:type="dxa" w:w="1134"/>
            <w:shd w:val="clear" w:fill="F5F7FA"/>
          </w:tcPr>
          <w:p>
            <w:pPr>
              <w:bidi/>
              <w:spacing w:after="0"/>
              <w:jc w:val="center"/>
            </w:pPr>
            <w:r>
              <w:rPr>
                <w:rFonts w:ascii="Segoe UI" w:hAnsi="Segoe UI" w:cs="Segoe UI"/>
                <w:sz w:val="17"/>
                <w:szCs w:val="17"/>
                <w:rtl/>
              </w:rPr>
              <w:t>1,564</w:t>
            </w:r>
          </w:p>
        </w:tc>
        <w:tc>
          <w:tcPr>
            <w:tcW w:type="dxa" w:w="964"/>
            <w:shd w:val="clear" w:fill="F5F7FA"/>
          </w:tcPr>
          <w:p>
            <w:pPr>
              <w:bidi/>
              <w:spacing w:after="0"/>
              <w:jc w:val="center"/>
            </w:pPr>
            <w:r>
              <w:rPr>
                <w:rFonts w:ascii="Segoe UI" w:hAnsi="Segoe UI" w:cs="Segoe UI"/>
                <w:sz w:val="17"/>
                <w:szCs w:val="17"/>
                <w:rtl/>
              </w:rPr>
              <w:t>7.9%</w:t>
            </w:r>
          </w:p>
        </w:tc>
      </w:tr>
      <w:tr>
        <w:tc>
          <w:tcPr>
            <w:tcW w:type="dxa" w:w="510"/>
          </w:tcPr>
          <w:p>
            <w:pPr>
              <w:bidi/>
              <w:spacing w:after="0"/>
            </w:pPr>
            <w:r>
              <w:rPr>
                <w:rFonts w:ascii="Segoe UI" w:hAnsi="Segoe UI" w:cs="Segoe UI"/>
                <w:sz w:val="17"/>
                <w:szCs w:val="17"/>
                <w:rtl/>
              </w:rPr>
              <w:t>5</w:t>
            </w:r>
          </w:p>
        </w:tc>
        <w:tc>
          <w:tcPr>
            <w:tcW w:type="dxa" w:w="2608"/>
          </w:tcPr>
          <w:p>
            <w:pPr>
              <w:bidi/>
              <w:spacing w:after="0"/>
              <w:jc w:val="center"/>
            </w:pPr>
            <w:r>
              <w:rPr>
                <w:rFonts w:ascii="Segoe UI" w:hAnsi="Segoe UI" w:cs="Segoe UI"/>
                <w:sz w:val="17"/>
                <w:szCs w:val="17"/>
                <w:rtl/>
              </w:rPr>
              <w:t>العربية للطيران</w:t>
            </w:r>
          </w:p>
        </w:tc>
        <w:tc>
          <w:tcPr>
            <w:tcW w:type="dxa" w:w="1247"/>
          </w:tcPr>
          <w:p>
            <w:pPr>
              <w:bidi/>
              <w:spacing w:after="0"/>
              <w:jc w:val="center"/>
            </w:pPr>
            <w:r>
              <w:rPr>
                <w:rFonts w:ascii="Segoe UI" w:hAnsi="Segoe UI" w:cs="Segoe UI"/>
                <w:sz w:val="17"/>
                <w:szCs w:val="17"/>
                <w:rtl/>
              </w:rPr>
              <w:t>ABY / G9</w:t>
            </w:r>
          </w:p>
        </w:tc>
        <w:tc>
          <w:tcPr>
            <w:tcW w:type="dxa" w:w="1928"/>
          </w:tcPr>
          <w:p>
            <w:pPr>
              <w:bidi/>
              <w:spacing w:after="0"/>
              <w:jc w:val="center"/>
            </w:pPr>
            <w:r>
              <w:rPr>
                <w:rFonts w:ascii="Segoe UI" w:hAnsi="Segoe UI" w:cs="Segoe UI"/>
                <w:sz w:val="17"/>
                <w:szCs w:val="17"/>
                <w:rtl/>
              </w:rPr>
              <w:t>الإمارات</w:t>
            </w:r>
          </w:p>
        </w:tc>
        <w:tc>
          <w:tcPr>
            <w:tcW w:type="dxa" w:w="1134"/>
          </w:tcPr>
          <w:p>
            <w:pPr>
              <w:bidi/>
              <w:spacing w:after="0"/>
              <w:jc w:val="center"/>
            </w:pPr>
            <w:r>
              <w:rPr>
                <w:rFonts w:ascii="Segoe UI" w:hAnsi="Segoe UI" w:cs="Segoe UI"/>
                <w:sz w:val="17"/>
                <w:szCs w:val="17"/>
                <w:rtl/>
              </w:rPr>
              <w:t>1,352</w:t>
            </w:r>
          </w:p>
        </w:tc>
        <w:tc>
          <w:tcPr>
            <w:tcW w:type="dxa" w:w="964"/>
          </w:tcPr>
          <w:p>
            <w:pPr>
              <w:bidi/>
              <w:spacing w:after="0"/>
              <w:jc w:val="center"/>
            </w:pPr>
            <w:r>
              <w:rPr>
                <w:rFonts w:ascii="Segoe UI" w:hAnsi="Segoe UI" w:cs="Segoe UI"/>
                <w:sz w:val="17"/>
                <w:szCs w:val="17"/>
                <w:rtl/>
              </w:rPr>
              <w:t>6.8%</w:t>
            </w:r>
          </w:p>
        </w:tc>
      </w:tr>
      <w:tr>
        <w:tc>
          <w:tcPr>
            <w:tcW w:type="dxa" w:w="510"/>
            <w:shd w:val="clear" w:fill="F5F7FA"/>
          </w:tcPr>
          <w:p>
            <w:pPr>
              <w:bidi/>
              <w:spacing w:after="0"/>
            </w:pPr>
            <w:r>
              <w:rPr>
                <w:rFonts w:ascii="Segoe UI" w:hAnsi="Segoe UI" w:cs="Segoe UI"/>
                <w:sz w:val="17"/>
                <w:szCs w:val="17"/>
                <w:rtl/>
              </w:rPr>
              <w:t>6</w:t>
            </w:r>
          </w:p>
        </w:tc>
        <w:tc>
          <w:tcPr>
            <w:tcW w:type="dxa" w:w="2608"/>
            <w:shd w:val="clear" w:fill="F5F7FA"/>
          </w:tcPr>
          <w:p>
            <w:pPr>
              <w:bidi/>
              <w:spacing w:after="0"/>
              <w:jc w:val="center"/>
            </w:pPr>
            <w:r>
              <w:rPr>
                <w:rFonts w:ascii="Segoe UI" w:hAnsi="Segoe UI" w:cs="Segoe UI"/>
                <w:sz w:val="17"/>
                <w:szCs w:val="17"/>
                <w:rtl/>
              </w:rPr>
              <w:t>فلاي دبي</w:t>
            </w:r>
          </w:p>
        </w:tc>
        <w:tc>
          <w:tcPr>
            <w:tcW w:type="dxa" w:w="1247"/>
            <w:shd w:val="clear" w:fill="F5F7FA"/>
          </w:tcPr>
          <w:p>
            <w:pPr>
              <w:bidi/>
              <w:spacing w:after="0"/>
              <w:jc w:val="center"/>
            </w:pPr>
            <w:r>
              <w:rPr>
                <w:rFonts w:ascii="Segoe UI" w:hAnsi="Segoe UI" w:cs="Segoe UI"/>
                <w:sz w:val="17"/>
                <w:szCs w:val="17"/>
                <w:rtl/>
              </w:rPr>
              <w:t>FDB / FZ</w:t>
            </w:r>
          </w:p>
        </w:tc>
        <w:tc>
          <w:tcPr>
            <w:tcW w:type="dxa" w:w="1928"/>
            <w:shd w:val="clear" w:fill="F5F7FA"/>
          </w:tcPr>
          <w:p>
            <w:pPr>
              <w:bidi/>
              <w:spacing w:after="0"/>
              <w:jc w:val="center"/>
            </w:pPr>
            <w:r>
              <w:rPr>
                <w:rFonts w:ascii="Segoe UI" w:hAnsi="Segoe UI" w:cs="Segoe UI"/>
                <w:sz w:val="17"/>
                <w:szCs w:val="17"/>
                <w:rtl/>
              </w:rPr>
              <w:t>الإمارات</w:t>
            </w:r>
          </w:p>
        </w:tc>
        <w:tc>
          <w:tcPr>
            <w:tcW w:type="dxa" w:w="1134"/>
            <w:shd w:val="clear" w:fill="F5F7FA"/>
          </w:tcPr>
          <w:p>
            <w:pPr>
              <w:bidi/>
              <w:spacing w:after="0"/>
              <w:jc w:val="center"/>
            </w:pPr>
            <w:r>
              <w:rPr>
                <w:rFonts w:ascii="Segoe UI" w:hAnsi="Segoe UI" w:cs="Segoe UI"/>
                <w:sz w:val="17"/>
                <w:szCs w:val="17"/>
                <w:rtl/>
              </w:rPr>
              <w:t>1,334</w:t>
            </w:r>
          </w:p>
        </w:tc>
        <w:tc>
          <w:tcPr>
            <w:tcW w:type="dxa" w:w="964"/>
            <w:shd w:val="clear" w:fill="F5F7FA"/>
          </w:tcPr>
          <w:p>
            <w:pPr>
              <w:bidi/>
              <w:spacing w:after="0"/>
              <w:jc w:val="center"/>
            </w:pPr>
            <w:r>
              <w:rPr>
                <w:rFonts w:ascii="Segoe UI" w:hAnsi="Segoe UI" w:cs="Segoe UI"/>
                <w:sz w:val="17"/>
                <w:szCs w:val="17"/>
                <w:rtl/>
              </w:rPr>
              <w:t>6.8%</w:t>
            </w:r>
          </w:p>
        </w:tc>
      </w:tr>
      <w:tr>
        <w:tc>
          <w:tcPr>
            <w:tcW w:type="dxa" w:w="510"/>
          </w:tcPr>
          <w:p>
            <w:pPr>
              <w:bidi/>
              <w:spacing w:after="0"/>
            </w:pPr>
            <w:r>
              <w:rPr>
                <w:rFonts w:ascii="Segoe UI" w:hAnsi="Segoe UI" w:cs="Segoe UI"/>
                <w:sz w:val="17"/>
                <w:szCs w:val="17"/>
                <w:rtl/>
              </w:rPr>
              <w:t>7</w:t>
            </w:r>
          </w:p>
        </w:tc>
        <w:tc>
          <w:tcPr>
            <w:tcW w:type="dxa" w:w="2608"/>
          </w:tcPr>
          <w:p>
            <w:pPr>
              <w:bidi/>
              <w:spacing w:after="0"/>
              <w:jc w:val="center"/>
            </w:pPr>
            <w:r>
              <w:rPr>
                <w:rFonts w:ascii="Segoe UI" w:hAnsi="Segoe UI" w:cs="Segoe UI"/>
                <w:sz w:val="17"/>
                <w:szCs w:val="17"/>
                <w:rtl/>
              </w:rPr>
              <w:t>أجنحة الشام</w:t>
            </w:r>
          </w:p>
        </w:tc>
        <w:tc>
          <w:tcPr>
            <w:tcW w:type="dxa" w:w="1247"/>
          </w:tcPr>
          <w:p>
            <w:pPr>
              <w:bidi/>
              <w:spacing w:after="0"/>
              <w:jc w:val="center"/>
            </w:pPr>
            <w:r>
              <w:rPr>
                <w:rFonts w:ascii="Segoe UI" w:hAnsi="Segoe UI" w:cs="Segoe UI"/>
                <w:sz w:val="17"/>
                <w:szCs w:val="17"/>
                <w:rtl/>
              </w:rPr>
              <w:t>SAW / 6Q</w:t>
            </w:r>
          </w:p>
        </w:tc>
        <w:tc>
          <w:tcPr>
            <w:tcW w:type="dxa" w:w="1928"/>
          </w:tcPr>
          <w:p>
            <w:pPr>
              <w:bidi/>
              <w:spacing w:after="0"/>
              <w:jc w:val="center"/>
            </w:pPr>
            <w:r>
              <w:rPr>
                <w:rFonts w:ascii="Segoe UI" w:hAnsi="Segoe UI" w:cs="Segoe UI"/>
                <w:sz w:val="17"/>
                <w:szCs w:val="17"/>
                <w:rtl/>
              </w:rPr>
              <w:t>سوريا</w:t>
            </w:r>
          </w:p>
        </w:tc>
        <w:tc>
          <w:tcPr>
            <w:tcW w:type="dxa" w:w="1134"/>
          </w:tcPr>
          <w:p>
            <w:pPr>
              <w:bidi/>
              <w:spacing w:after="0"/>
              <w:jc w:val="center"/>
            </w:pPr>
            <w:r>
              <w:rPr>
                <w:rFonts w:ascii="Segoe UI" w:hAnsi="Segoe UI" w:cs="Segoe UI"/>
                <w:sz w:val="17"/>
                <w:szCs w:val="17"/>
                <w:rtl/>
              </w:rPr>
              <w:t>1,329</w:t>
            </w:r>
          </w:p>
        </w:tc>
        <w:tc>
          <w:tcPr>
            <w:tcW w:type="dxa" w:w="964"/>
          </w:tcPr>
          <w:p>
            <w:pPr>
              <w:bidi/>
              <w:spacing w:after="0"/>
              <w:jc w:val="center"/>
            </w:pPr>
            <w:r>
              <w:rPr>
                <w:rFonts w:ascii="Segoe UI" w:hAnsi="Segoe UI" w:cs="Segoe UI"/>
                <w:sz w:val="17"/>
                <w:szCs w:val="17"/>
                <w:rtl/>
              </w:rPr>
              <w:t>6.7%</w:t>
            </w:r>
          </w:p>
        </w:tc>
      </w:tr>
      <w:tr>
        <w:tc>
          <w:tcPr>
            <w:tcW w:type="dxa" w:w="510"/>
            <w:shd w:val="clear" w:fill="F5F7FA"/>
          </w:tcPr>
          <w:p>
            <w:pPr>
              <w:bidi/>
              <w:spacing w:after="0"/>
            </w:pPr>
            <w:r>
              <w:rPr>
                <w:rFonts w:ascii="Segoe UI" w:hAnsi="Segoe UI" w:cs="Segoe UI"/>
                <w:sz w:val="17"/>
                <w:szCs w:val="17"/>
                <w:rtl/>
              </w:rPr>
              <w:t>8</w:t>
            </w:r>
          </w:p>
        </w:tc>
        <w:tc>
          <w:tcPr>
            <w:tcW w:type="dxa" w:w="2608"/>
            <w:shd w:val="clear" w:fill="F5F7FA"/>
          </w:tcPr>
          <w:p>
            <w:pPr>
              <w:bidi/>
              <w:spacing w:after="0"/>
              <w:jc w:val="center"/>
            </w:pPr>
            <w:r>
              <w:rPr>
                <w:rFonts w:ascii="Segoe UI" w:hAnsi="Segoe UI" w:cs="Segoe UI"/>
                <w:sz w:val="17"/>
                <w:szCs w:val="17"/>
                <w:rtl/>
              </w:rPr>
              <w:t>الخطوط القطرية</w:t>
            </w:r>
          </w:p>
        </w:tc>
        <w:tc>
          <w:tcPr>
            <w:tcW w:type="dxa" w:w="1247"/>
            <w:shd w:val="clear" w:fill="F5F7FA"/>
          </w:tcPr>
          <w:p>
            <w:pPr>
              <w:bidi/>
              <w:spacing w:after="0"/>
              <w:jc w:val="center"/>
            </w:pPr>
            <w:r>
              <w:rPr>
                <w:rFonts w:ascii="Segoe UI" w:hAnsi="Segoe UI" w:cs="Segoe UI"/>
                <w:sz w:val="17"/>
                <w:szCs w:val="17"/>
                <w:rtl/>
              </w:rPr>
              <w:t>QTR / QR</w:t>
            </w:r>
          </w:p>
        </w:tc>
        <w:tc>
          <w:tcPr>
            <w:tcW w:type="dxa" w:w="1928"/>
            <w:shd w:val="clear" w:fill="F5F7FA"/>
          </w:tcPr>
          <w:p>
            <w:pPr>
              <w:bidi/>
              <w:spacing w:after="0"/>
              <w:jc w:val="center"/>
            </w:pPr>
            <w:r>
              <w:rPr>
                <w:rFonts w:ascii="Segoe UI" w:hAnsi="Segoe UI" w:cs="Segoe UI"/>
                <w:sz w:val="17"/>
                <w:szCs w:val="17"/>
                <w:rtl/>
              </w:rPr>
              <w:t>قطر</w:t>
            </w:r>
          </w:p>
        </w:tc>
        <w:tc>
          <w:tcPr>
            <w:tcW w:type="dxa" w:w="1134"/>
            <w:shd w:val="clear" w:fill="F5F7FA"/>
          </w:tcPr>
          <w:p>
            <w:pPr>
              <w:bidi/>
              <w:spacing w:after="0"/>
              <w:jc w:val="center"/>
            </w:pPr>
            <w:r>
              <w:rPr>
                <w:rFonts w:ascii="Segoe UI" w:hAnsi="Segoe UI" w:cs="Segoe UI"/>
                <w:sz w:val="17"/>
                <w:szCs w:val="17"/>
                <w:rtl/>
              </w:rPr>
              <w:t>1,207</w:t>
            </w:r>
          </w:p>
        </w:tc>
        <w:tc>
          <w:tcPr>
            <w:tcW w:type="dxa" w:w="964"/>
            <w:shd w:val="clear" w:fill="F5F7FA"/>
          </w:tcPr>
          <w:p>
            <w:pPr>
              <w:bidi/>
              <w:spacing w:after="0"/>
              <w:jc w:val="center"/>
            </w:pPr>
            <w:r>
              <w:rPr>
                <w:rFonts w:ascii="Segoe UI" w:hAnsi="Segoe UI" w:cs="Segoe UI"/>
                <w:sz w:val="17"/>
                <w:szCs w:val="17"/>
                <w:rtl/>
              </w:rPr>
              <w:t>6.1%</w:t>
            </w:r>
          </w:p>
        </w:tc>
      </w:tr>
    </w:tbl>
    <w:p>
      <w:pPr>
        <w:bidi/>
        <w:spacing w:after="40"/>
      </w:pPr>
    </w:p>
    <w:p>
      <w:pPr>
        <w:bidi/>
        <w:spacing w:after="60"/>
      </w:pPr>
      <w:r>
        <w:rPr>
          <w:rFonts w:ascii="Segoe UI" w:hAnsi="Segoe UI" w:cs="Segoe UI"/>
          <w:b/>
          <w:bCs/>
          <w:color w:val="0E8A5F"/>
          <w:sz w:val="23"/>
          <w:szCs w:val="23"/>
          <w:rtl/>
        </w:rPr>
        <w:t>حلب</w:t>
      </w:r>
    </w:p>
    <w:tbl>
      <w:tblPr>
        <w:tblStyle w:val="TableGrid"/>
        <w:bidiVisual/>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510"/>
            <w:shd w:val="clear" w:fill="0F2A5C"/>
          </w:tcPr>
          <w:p>
            <w:pPr>
              <w:bidi/>
              <w:spacing w:after="0"/>
              <w:jc w:val="center"/>
            </w:pPr>
            <w:r>
              <w:rPr>
                <w:rFonts w:ascii="Segoe UI" w:hAnsi="Segoe UI" w:cs="Segoe UI"/>
                <w:b/>
                <w:bCs/>
                <w:color w:val="FFFFFF"/>
                <w:sz w:val="17"/>
                <w:szCs w:val="17"/>
                <w:rtl/>
              </w:rPr>
              <w:t>#</w:t>
            </w:r>
          </w:p>
        </w:tc>
        <w:tc>
          <w:tcPr>
            <w:tcW w:type="dxa" w:w="2608"/>
            <w:shd w:val="clear" w:fill="0F2A5C"/>
          </w:tcPr>
          <w:p>
            <w:pPr>
              <w:bidi/>
              <w:spacing w:after="0"/>
              <w:jc w:val="center"/>
            </w:pPr>
            <w:r>
              <w:rPr>
                <w:rFonts w:ascii="Segoe UI" w:hAnsi="Segoe UI" w:cs="Segoe UI"/>
                <w:b/>
                <w:bCs/>
                <w:color w:val="FFFFFF"/>
                <w:sz w:val="17"/>
                <w:szCs w:val="17"/>
                <w:rtl/>
              </w:rPr>
              <w:t>الشركة</w:t>
            </w:r>
          </w:p>
        </w:tc>
        <w:tc>
          <w:tcPr>
            <w:tcW w:type="dxa" w:w="1247"/>
            <w:shd w:val="clear" w:fill="0F2A5C"/>
          </w:tcPr>
          <w:p>
            <w:pPr>
              <w:bidi/>
              <w:spacing w:after="0"/>
              <w:jc w:val="center"/>
            </w:pPr>
            <w:r>
              <w:rPr>
                <w:rFonts w:ascii="Segoe UI" w:hAnsi="Segoe UI" w:cs="Segoe UI"/>
                <w:b/>
                <w:bCs/>
                <w:color w:val="FFFFFF"/>
                <w:sz w:val="17"/>
                <w:szCs w:val="17"/>
                <w:rtl/>
              </w:rPr>
              <w:t>الرمز</w:t>
            </w:r>
          </w:p>
        </w:tc>
        <w:tc>
          <w:tcPr>
            <w:tcW w:type="dxa" w:w="1928"/>
            <w:shd w:val="clear" w:fill="0F2A5C"/>
          </w:tcPr>
          <w:p>
            <w:pPr>
              <w:bidi/>
              <w:spacing w:after="0"/>
              <w:jc w:val="center"/>
            </w:pPr>
            <w:r>
              <w:rPr>
                <w:rFonts w:ascii="Segoe UI" w:hAnsi="Segoe UI" w:cs="Segoe UI"/>
                <w:b/>
                <w:bCs/>
                <w:color w:val="FFFFFF"/>
                <w:sz w:val="17"/>
                <w:szCs w:val="17"/>
                <w:rtl/>
              </w:rPr>
              <w:t>الجنسية</w:t>
            </w:r>
          </w:p>
        </w:tc>
        <w:tc>
          <w:tcPr>
            <w:tcW w:type="dxa" w:w="1134"/>
            <w:shd w:val="clear" w:fill="0F2A5C"/>
          </w:tcPr>
          <w:p>
            <w:pPr>
              <w:bidi/>
              <w:spacing w:after="0"/>
              <w:jc w:val="center"/>
            </w:pPr>
            <w:r>
              <w:rPr>
                <w:rFonts w:ascii="Segoe UI" w:hAnsi="Segoe UI" w:cs="Segoe UI"/>
                <w:b/>
                <w:bCs/>
                <w:color w:val="FFFFFF"/>
                <w:sz w:val="17"/>
                <w:szCs w:val="17"/>
                <w:rtl/>
              </w:rPr>
              <w:t>الحركات</w:t>
            </w:r>
          </w:p>
        </w:tc>
        <w:tc>
          <w:tcPr>
            <w:tcW w:type="dxa" w:w="964"/>
            <w:shd w:val="clear" w:fill="0F2A5C"/>
          </w:tcPr>
          <w:p>
            <w:pPr>
              <w:bidi/>
              <w:spacing w:after="0"/>
              <w:jc w:val="center"/>
            </w:pPr>
            <w:r>
              <w:rPr>
                <w:rFonts w:ascii="Segoe UI" w:hAnsi="Segoe UI" w:cs="Segoe UI"/>
                <w:b/>
                <w:bCs/>
                <w:color w:val="FFFFFF"/>
                <w:sz w:val="17"/>
                <w:szCs w:val="17"/>
                <w:rtl/>
              </w:rPr>
              <w:t>الحصة</w:t>
            </w:r>
          </w:p>
        </w:tc>
      </w:tr>
      <w:tr>
        <w:tc>
          <w:tcPr>
            <w:tcW w:type="dxa" w:w="510"/>
          </w:tcPr>
          <w:p>
            <w:pPr>
              <w:bidi/>
              <w:spacing w:after="0"/>
            </w:pPr>
            <w:r>
              <w:rPr>
                <w:rFonts w:ascii="Segoe UI" w:hAnsi="Segoe UI" w:cs="Segoe UI"/>
                <w:sz w:val="17"/>
                <w:szCs w:val="17"/>
                <w:rtl/>
              </w:rPr>
              <w:t>1</w:t>
            </w:r>
          </w:p>
        </w:tc>
        <w:tc>
          <w:tcPr>
            <w:tcW w:type="dxa" w:w="2608"/>
          </w:tcPr>
          <w:p>
            <w:pPr>
              <w:bidi/>
              <w:spacing w:after="0"/>
              <w:jc w:val="center"/>
            </w:pPr>
            <w:r>
              <w:rPr>
                <w:rFonts w:ascii="Segoe UI" w:hAnsi="Segoe UI" w:cs="Segoe UI"/>
                <w:sz w:val="17"/>
                <w:szCs w:val="17"/>
                <w:rtl/>
              </w:rPr>
              <w:t>الملكية الأردنية</w:t>
            </w:r>
          </w:p>
        </w:tc>
        <w:tc>
          <w:tcPr>
            <w:tcW w:type="dxa" w:w="1247"/>
          </w:tcPr>
          <w:p>
            <w:pPr>
              <w:bidi/>
              <w:spacing w:after="0"/>
              <w:jc w:val="center"/>
            </w:pPr>
            <w:r>
              <w:rPr>
                <w:rFonts w:ascii="Segoe UI" w:hAnsi="Segoe UI" w:cs="Segoe UI"/>
                <w:sz w:val="17"/>
                <w:szCs w:val="17"/>
                <w:rtl/>
              </w:rPr>
              <w:t>RJA / RJ</w:t>
            </w:r>
          </w:p>
        </w:tc>
        <w:tc>
          <w:tcPr>
            <w:tcW w:type="dxa" w:w="1928"/>
          </w:tcPr>
          <w:p>
            <w:pPr>
              <w:bidi/>
              <w:spacing w:after="0"/>
              <w:jc w:val="center"/>
            </w:pPr>
            <w:r>
              <w:rPr>
                <w:rFonts w:ascii="Segoe UI" w:hAnsi="Segoe UI" w:cs="Segoe UI"/>
                <w:sz w:val="17"/>
                <w:szCs w:val="17"/>
                <w:rtl/>
              </w:rPr>
              <w:t>الأردن</w:t>
            </w:r>
          </w:p>
        </w:tc>
        <w:tc>
          <w:tcPr>
            <w:tcW w:type="dxa" w:w="1134"/>
          </w:tcPr>
          <w:p>
            <w:pPr>
              <w:bidi/>
              <w:spacing w:after="0"/>
              <w:jc w:val="center"/>
            </w:pPr>
            <w:r>
              <w:rPr>
                <w:rFonts w:ascii="Segoe UI" w:hAnsi="Segoe UI" w:cs="Segoe UI"/>
                <w:sz w:val="17"/>
                <w:szCs w:val="17"/>
                <w:rtl/>
              </w:rPr>
              <w:t>1,407</w:t>
            </w:r>
          </w:p>
        </w:tc>
        <w:tc>
          <w:tcPr>
            <w:tcW w:type="dxa" w:w="964"/>
          </w:tcPr>
          <w:p>
            <w:pPr>
              <w:bidi/>
              <w:spacing w:after="0"/>
              <w:jc w:val="center"/>
            </w:pPr>
            <w:r>
              <w:rPr>
                <w:rFonts w:ascii="Segoe UI" w:hAnsi="Segoe UI" w:cs="Segoe UI"/>
                <w:sz w:val="17"/>
                <w:szCs w:val="17"/>
                <w:rtl/>
              </w:rPr>
              <w:t>27.8%</w:t>
            </w:r>
          </w:p>
        </w:tc>
      </w:tr>
      <w:tr>
        <w:tc>
          <w:tcPr>
            <w:tcW w:type="dxa" w:w="510"/>
            <w:shd w:val="clear" w:fill="F5F7FA"/>
          </w:tcPr>
          <w:p>
            <w:pPr>
              <w:bidi/>
              <w:spacing w:after="0"/>
            </w:pPr>
            <w:r>
              <w:rPr>
                <w:rFonts w:ascii="Segoe UI" w:hAnsi="Segoe UI" w:cs="Segoe UI"/>
                <w:sz w:val="17"/>
                <w:szCs w:val="17"/>
                <w:rtl/>
              </w:rPr>
              <w:t>2</w:t>
            </w:r>
          </w:p>
        </w:tc>
        <w:tc>
          <w:tcPr>
            <w:tcW w:type="dxa" w:w="2608"/>
            <w:shd w:val="clear" w:fill="F5F7FA"/>
          </w:tcPr>
          <w:p>
            <w:pPr>
              <w:bidi/>
              <w:spacing w:after="0"/>
              <w:jc w:val="center"/>
            </w:pPr>
            <w:r>
              <w:rPr>
                <w:rFonts w:ascii="Segoe UI" w:hAnsi="Segoe UI" w:cs="Segoe UI"/>
                <w:sz w:val="17"/>
                <w:szCs w:val="17"/>
                <w:rtl/>
              </w:rPr>
              <w:t>الخطوط التركية</w:t>
            </w:r>
          </w:p>
        </w:tc>
        <w:tc>
          <w:tcPr>
            <w:tcW w:type="dxa" w:w="1247"/>
            <w:shd w:val="clear" w:fill="F5F7FA"/>
          </w:tcPr>
          <w:p>
            <w:pPr>
              <w:bidi/>
              <w:spacing w:after="0"/>
              <w:jc w:val="center"/>
            </w:pPr>
            <w:r>
              <w:rPr>
                <w:rFonts w:ascii="Segoe UI" w:hAnsi="Segoe UI" w:cs="Segoe UI"/>
                <w:sz w:val="17"/>
                <w:szCs w:val="17"/>
                <w:rtl/>
              </w:rPr>
              <w:t>THY / TK</w:t>
            </w:r>
          </w:p>
        </w:tc>
        <w:tc>
          <w:tcPr>
            <w:tcW w:type="dxa" w:w="1928"/>
            <w:shd w:val="clear" w:fill="F5F7FA"/>
          </w:tcPr>
          <w:p>
            <w:pPr>
              <w:bidi/>
              <w:spacing w:after="0"/>
              <w:jc w:val="center"/>
            </w:pPr>
            <w:r>
              <w:rPr>
                <w:rFonts w:ascii="Segoe UI" w:hAnsi="Segoe UI" w:cs="Segoe UI"/>
                <w:sz w:val="17"/>
                <w:szCs w:val="17"/>
                <w:rtl/>
              </w:rPr>
              <w:t>تركيا</w:t>
            </w:r>
          </w:p>
        </w:tc>
        <w:tc>
          <w:tcPr>
            <w:tcW w:type="dxa" w:w="1134"/>
            <w:shd w:val="clear" w:fill="F5F7FA"/>
          </w:tcPr>
          <w:p>
            <w:pPr>
              <w:bidi/>
              <w:spacing w:after="0"/>
              <w:jc w:val="center"/>
            </w:pPr>
            <w:r>
              <w:rPr>
                <w:rFonts w:ascii="Segoe UI" w:hAnsi="Segoe UI" w:cs="Segoe UI"/>
                <w:sz w:val="17"/>
                <w:szCs w:val="17"/>
                <w:rtl/>
              </w:rPr>
              <w:t>733</w:t>
            </w:r>
          </w:p>
        </w:tc>
        <w:tc>
          <w:tcPr>
            <w:tcW w:type="dxa" w:w="964"/>
            <w:shd w:val="clear" w:fill="F5F7FA"/>
          </w:tcPr>
          <w:p>
            <w:pPr>
              <w:bidi/>
              <w:spacing w:after="0"/>
              <w:jc w:val="center"/>
            </w:pPr>
            <w:r>
              <w:rPr>
                <w:rFonts w:ascii="Segoe UI" w:hAnsi="Segoe UI" w:cs="Segoe UI"/>
                <w:sz w:val="17"/>
                <w:szCs w:val="17"/>
                <w:rtl/>
              </w:rPr>
              <w:t>14.5%</w:t>
            </w:r>
          </w:p>
        </w:tc>
      </w:tr>
      <w:tr>
        <w:tc>
          <w:tcPr>
            <w:tcW w:type="dxa" w:w="510"/>
          </w:tcPr>
          <w:p>
            <w:pPr>
              <w:bidi/>
              <w:spacing w:after="0"/>
            </w:pPr>
            <w:r>
              <w:rPr>
                <w:rFonts w:ascii="Segoe UI" w:hAnsi="Segoe UI" w:cs="Segoe UI"/>
                <w:sz w:val="17"/>
                <w:szCs w:val="17"/>
                <w:rtl/>
              </w:rPr>
              <w:t>3</w:t>
            </w:r>
          </w:p>
        </w:tc>
        <w:tc>
          <w:tcPr>
            <w:tcW w:type="dxa" w:w="2608"/>
          </w:tcPr>
          <w:p>
            <w:pPr>
              <w:bidi/>
              <w:spacing w:after="0"/>
              <w:jc w:val="center"/>
            </w:pPr>
            <w:r>
              <w:rPr>
                <w:rFonts w:ascii="Segoe UI" w:hAnsi="Segoe UI" w:cs="Segoe UI"/>
                <w:sz w:val="17"/>
                <w:szCs w:val="17"/>
                <w:rtl/>
              </w:rPr>
              <w:t>فلاي شام</w:t>
            </w:r>
          </w:p>
        </w:tc>
        <w:tc>
          <w:tcPr>
            <w:tcW w:type="dxa" w:w="1247"/>
          </w:tcPr>
          <w:p>
            <w:pPr>
              <w:bidi/>
              <w:spacing w:after="0"/>
              <w:jc w:val="center"/>
            </w:pPr>
            <w:r>
              <w:rPr>
                <w:rFonts w:ascii="Segoe UI" w:hAnsi="Segoe UI" w:cs="Segoe UI"/>
                <w:sz w:val="17"/>
                <w:szCs w:val="17"/>
                <w:rtl/>
              </w:rPr>
              <w:t>FYC / XH</w:t>
            </w:r>
          </w:p>
        </w:tc>
        <w:tc>
          <w:tcPr>
            <w:tcW w:type="dxa" w:w="1928"/>
          </w:tcPr>
          <w:p>
            <w:pPr>
              <w:bidi/>
              <w:spacing w:after="0"/>
              <w:jc w:val="center"/>
            </w:pPr>
            <w:r>
              <w:rPr>
                <w:rFonts w:ascii="Segoe UI" w:hAnsi="Segoe UI" w:cs="Segoe UI"/>
                <w:sz w:val="17"/>
                <w:szCs w:val="17"/>
                <w:rtl/>
              </w:rPr>
              <w:t>سوريا (تأسست 2025)</w:t>
            </w:r>
          </w:p>
        </w:tc>
        <w:tc>
          <w:tcPr>
            <w:tcW w:type="dxa" w:w="1134"/>
          </w:tcPr>
          <w:p>
            <w:pPr>
              <w:bidi/>
              <w:spacing w:after="0"/>
              <w:jc w:val="center"/>
            </w:pPr>
            <w:r>
              <w:rPr>
                <w:rFonts w:ascii="Segoe UI" w:hAnsi="Segoe UI" w:cs="Segoe UI"/>
                <w:sz w:val="17"/>
                <w:szCs w:val="17"/>
                <w:rtl/>
              </w:rPr>
              <w:t>687</w:t>
            </w:r>
          </w:p>
        </w:tc>
        <w:tc>
          <w:tcPr>
            <w:tcW w:type="dxa" w:w="964"/>
          </w:tcPr>
          <w:p>
            <w:pPr>
              <w:bidi/>
              <w:spacing w:after="0"/>
              <w:jc w:val="center"/>
            </w:pPr>
            <w:r>
              <w:rPr>
                <w:rFonts w:ascii="Segoe UI" w:hAnsi="Segoe UI" w:cs="Segoe UI"/>
                <w:sz w:val="17"/>
                <w:szCs w:val="17"/>
                <w:rtl/>
              </w:rPr>
              <w:t>13.6%</w:t>
            </w:r>
          </w:p>
        </w:tc>
      </w:tr>
      <w:tr>
        <w:tc>
          <w:tcPr>
            <w:tcW w:type="dxa" w:w="510"/>
            <w:shd w:val="clear" w:fill="F5F7FA"/>
          </w:tcPr>
          <w:p>
            <w:pPr>
              <w:bidi/>
              <w:spacing w:after="0"/>
            </w:pPr>
            <w:r>
              <w:rPr>
                <w:rFonts w:ascii="Segoe UI" w:hAnsi="Segoe UI" w:cs="Segoe UI"/>
                <w:sz w:val="17"/>
                <w:szCs w:val="17"/>
                <w:rtl/>
              </w:rPr>
              <w:t>4</w:t>
            </w:r>
          </w:p>
        </w:tc>
        <w:tc>
          <w:tcPr>
            <w:tcW w:type="dxa" w:w="2608"/>
            <w:shd w:val="clear" w:fill="F5F7FA"/>
          </w:tcPr>
          <w:p>
            <w:pPr>
              <w:bidi/>
              <w:spacing w:after="0"/>
              <w:jc w:val="center"/>
            </w:pPr>
            <w:r>
              <w:rPr>
                <w:rFonts w:ascii="Segoe UI" w:hAnsi="Segoe UI" w:cs="Segoe UI"/>
                <w:sz w:val="17"/>
                <w:szCs w:val="17"/>
                <w:rtl/>
              </w:rPr>
              <w:t>إيه جت (AJet)</w:t>
            </w:r>
          </w:p>
        </w:tc>
        <w:tc>
          <w:tcPr>
            <w:tcW w:type="dxa" w:w="1247"/>
            <w:shd w:val="clear" w:fill="F5F7FA"/>
          </w:tcPr>
          <w:p>
            <w:pPr>
              <w:bidi/>
              <w:spacing w:after="0"/>
              <w:jc w:val="center"/>
            </w:pPr>
            <w:r>
              <w:rPr>
                <w:rFonts w:ascii="Segoe UI" w:hAnsi="Segoe UI" w:cs="Segoe UI"/>
                <w:sz w:val="17"/>
                <w:szCs w:val="17"/>
                <w:rtl/>
              </w:rPr>
              <w:t>TKJ / VF</w:t>
            </w:r>
          </w:p>
        </w:tc>
        <w:tc>
          <w:tcPr>
            <w:tcW w:type="dxa" w:w="1928"/>
            <w:shd w:val="clear" w:fill="F5F7FA"/>
          </w:tcPr>
          <w:p>
            <w:pPr>
              <w:bidi/>
              <w:spacing w:after="0"/>
              <w:jc w:val="center"/>
            </w:pPr>
            <w:r>
              <w:rPr>
                <w:rFonts w:ascii="Segoe UI" w:hAnsi="Segoe UI" w:cs="Segoe UI"/>
                <w:sz w:val="17"/>
                <w:szCs w:val="17"/>
                <w:rtl/>
              </w:rPr>
              <w:t>تركيا</w:t>
            </w:r>
          </w:p>
        </w:tc>
        <w:tc>
          <w:tcPr>
            <w:tcW w:type="dxa" w:w="1134"/>
            <w:shd w:val="clear" w:fill="F5F7FA"/>
          </w:tcPr>
          <w:p>
            <w:pPr>
              <w:bidi/>
              <w:spacing w:after="0"/>
              <w:jc w:val="center"/>
            </w:pPr>
            <w:r>
              <w:rPr>
                <w:rFonts w:ascii="Segoe UI" w:hAnsi="Segoe UI" w:cs="Segoe UI"/>
                <w:sz w:val="17"/>
                <w:szCs w:val="17"/>
                <w:rtl/>
              </w:rPr>
              <w:t>595</w:t>
            </w:r>
          </w:p>
        </w:tc>
        <w:tc>
          <w:tcPr>
            <w:tcW w:type="dxa" w:w="964"/>
            <w:shd w:val="clear" w:fill="F5F7FA"/>
          </w:tcPr>
          <w:p>
            <w:pPr>
              <w:bidi/>
              <w:spacing w:after="0"/>
              <w:jc w:val="center"/>
            </w:pPr>
            <w:r>
              <w:rPr>
                <w:rFonts w:ascii="Segoe UI" w:hAnsi="Segoe UI" w:cs="Segoe UI"/>
                <w:sz w:val="17"/>
                <w:szCs w:val="17"/>
                <w:rtl/>
              </w:rPr>
              <w:t>11.7%</w:t>
            </w:r>
          </w:p>
        </w:tc>
      </w:tr>
      <w:tr>
        <w:tc>
          <w:tcPr>
            <w:tcW w:type="dxa" w:w="510"/>
          </w:tcPr>
          <w:p>
            <w:pPr>
              <w:bidi/>
              <w:spacing w:after="0"/>
            </w:pPr>
            <w:r>
              <w:rPr>
                <w:rFonts w:ascii="Segoe UI" w:hAnsi="Segoe UI" w:cs="Segoe UI"/>
                <w:sz w:val="17"/>
                <w:szCs w:val="17"/>
                <w:rtl/>
              </w:rPr>
              <w:t>5</w:t>
            </w:r>
          </w:p>
        </w:tc>
        <w:tc>
          <w:tcPr>
            <w:tcW w:type="dxa" w:w="2608"/>
          </w:tcPr>
          <w:p>
            <w:pPr>
              <w:bidi/>
              <w:spacing w:after="0"/>
              <w:jc w:val="center"/>
            </w:pPr>
            <w:r>
              <w:rPr>
                <w:rFonts w:ascii="Segoe UI" w:hAnsi="Segoe UI" w:cs="Segoe UI"/>
                <w:sz w:val="17"/>
                <w:szCs w:val="17"/>
                <w:rtl/>
              </w:rPr>
              <w:t>الخطوط الجوية السورية</w:t>
            </w:r>
          </w:p>
        </w:tc>
        <w:tc>
          <w:tcPr>
            <w:tcW w:type="dxa" w:w="1247"/>
          </w:tcPr>
          <w:p>
            <w:pPr>
              <w:bidi/>
              <w:spacing w:after="0"/>
              <w:jc w:val="center"/>
            </w:pPr>
            <w:r>
              <w:rPr>
                <w:rFonts w:ascii="Segoe UI" w:hAnsi="Segoe UI" w:cs="Segoe UI"/>
                <w:sz w:val="17"/>
                <w:szCs w:val="17"/>
                <w:rtl/>
              </w:rPr>
              <w:t>SYR / RB</w:t>
            </w:r>
          </w:p>
        </w:tc>
        <w:tc>
          <w:tcPr>
            <w:tcW w:type="dxa" w:w="1928"/>
          </w:tcPr>
          <w:p>
            <w:pPr>
              <w:bidi/>
              <w:spacing w:after="0"/>
              <w:jc w:val="center"/>
            </w:pPr>
            <w:r>
              <w:rPr>
                <w:rFonts w:ascii="Segoe UI" w:hAnsi="Segoe UI" w:cs="Segoe UI"/>
                <w:sz w:val="17"/>
                <w:szCs w:val="17"/>
                <w:rtl/>
              </w:rPr>
              <w:t>سوريا</w:t>
            </w:r>
          </w:p>
        </w:tc>
        <w:tc>
          <w:tcPr>
            <w:tcW w:type="dxa" w:w="1134"/>
          </w:tcPr>
          <w:p>
            <w:pPr>
              <w:bidi/>
              <w:spacing w:after="0"/>
              <w:jc w:val="center"/>
            </w:pPr>
            <w:r>
              <w:rPr>
                <w:rFonts w:ascii="Segoe UI" w:hAnsi="Segoe UI" w:cs="Segoe UI"/>
                <w:sz w:val="17"/>
                <w:szCs w:val="17"/>
                <w:rtl/>
              </w:rPr>
              <w:t>463</w:t>
            </w:r>
          </w:p>
        </w:tc>
        <w:tc>
          <w:tcPr>
            <w:tcW w:type="dxa" w:w="964"/>
          </w:tcPr>
          <w:p>
            <w:pPr>
              <w:bidi/>
              <w:spacing w:after="0"/>
              <w:jc w:val="center"/>
            </w:pPr>
            <w:r>
              <w:rPr>
                <w:rFonts w:ascii="Segoe UI" w:hAnsi="Segoe UI" w:cs="Segoe UI"/>
                <w:sz w:val="17"/>
                <w:szCs w:val="17"/>
                <w:rtl/>
              </w:rPr>
              <w:t>9.1%</w:t>
            </w:r>
          </w:p>
        </w:tc>
      </w:tr>
      <w:tr>
        <w:tc>
          <w:tcPr>
            <w:tcW w:type="dxa" w:w="510"/>
            <w:shd w:val="clear" w:fill="F5F7FA"/>
          </w:tcPr>
          <w:p>
            <w:pPr>
              <w:bidi/>
              <w:spacing w:after="0"/>
            </w:pPr>
            <w:r>
              <w:rPr>
                <w:rFonts w:ascii="Segoe UI" w:hAnsi="Segoe UI" w:cs="Segoe UI"/>
                <w:sz w:val="17"/>
                <w:szCs w:val="17"/>
                <w:rtl/>
              </w:rPr>
              <w:t>6</w:t>
            </w:r>
          </w:p>
        </w:tc>
        <w:tc>
          <w:tcPr>
            <w:tcW w:type="dxa" w:w="2608"/>
            <w:shd w:val="clear" w:fill="F5F7FA"/>
          </w:tcPr>
          <w:p>
            <w:pPr>
              <w:bidi/>
              <w:spacing w:after="0"/>
              <w:jc w:val="center"/>
            </w:pPr>
            <w:r>
              <w:rPr>
                <w:rFonts w:ascii="Segoe UI" w:hAnsi="Segoe UI" w:cs="Segoe UI"/>
                <w:sz w:val="17"/>
                <w:szCs w:val="17"/>
                <w:rtl/>
              </w:rPr>
              <w:t>بيغاسوس</w:t>
            </w:r>
          </w:p>
        </w:tc>
        <w:tc>
          <w:tcPr>
            <w:tcW w:type="dxa" w:w="1247"/>
            <w:shd w:val="clear" w:fill="F5F7FA"/>
          </w:tcPr>
          <w:p>
            <w:pPr>
              <w:bidi/>
              <w:spacing w:after="0"/>
              <w:jc w:val="center"/>
            </w:pPr>
            <w:r>
              <w:rPr>
                <w:rFonts w:ascii="Segoe UI" w:hAnsi="Segoe UI" w:cs="Segoe UI"/>
                <w:sz w:val="17"/>
                <w:szCs w:val="17"/>
                <w:rtl/>
              </w:rPr>
              <w:t>PGT / PC</w:t>
            </w:r>
          </w:p>
        </w:tc>
        <w:tc>
          <w:tcPr>
            <w:tcW w:type="dxa" w:w="1928"/>
            <w:shd w:val="clear" w:fill="F5F7FA"/>
          </w:tcPr>
          <w:p>
            <w:pPr>
              <w:bidi/>
              <w:spacing w:after="0"/>
              <w:jc w:val="center"/>
            </w:pPr>
            <w:r>
              <w:rPr>
                <w:rFonts w:ascii="Segoe UI" w:hAnsi="Segoe UI" w:cs="Segoe UI"/>
                <w:sz w:val="17"/>
                <w:szCs w:val="17"/>
                <w:rtl/>
              </w:rPr>
              <w:t>تركيا</w:t>
            </w:r>
          </w:p>
        </w:tc>
        <w:tc>
          <w:tcPr>
            <w:tcW w:type="dxa" w:w="1134"/>
            <w:shd w:val="clear" w:fill="F5F7FA"/>
          </w:tcPr>
          <w:p>
            <w:pPr>
              <w:bidi/>
              <w:spacing w:after="0"/>
              <w:jc w:val="center"/>
            </w:pPr>
            <w:r>
              <w:rPr>
                <w:rFonts w:ascii="Segoe UI" w:hAnsi="Segoe UI" w:cs="Segoe UI"/>
                <w:sz w:val="17"/>
                <w:szCs w:val="17"/>
                <w:rtl/>
              </w:rPr>
              <w:t>177</w:t>
            </w:r>
          </w:p>
        </w:tc>
        <w:tc>
          <w:tcPr>
            <w:tcW w:type="dxa" w:w="964"/>
            <w:shd w:val="clear" w:fill="F5F7FA"/>
          </w:tcPr>
          <w:p>
            <w:pPr>
              <w:bidi/>
              <w:spacing w:after="0"/>
              <w:jc w:val="center"/>
            </w:pPr>
            <w:r>
              <w:rPr>
                <w:rFonts w:ascii="Segoe UI" w:hAnsi="Segoe UI" w:cs="Segoe UI"/>
                <w:sz w:val="17"/>
                <w:szCs w:val="17"/>
                <w:rtl/>
              </w:rPr>
              <w:t>3.5%</w:t>
            </w:r>
          </w:p>
        </w:tc>
      </w:tr>
      <w:tr>
        <w:tc>
          <w:tcPr>
            <w:tcW w:type="dxa" w:w="510"/>
          </w:tcPr>
          <w:p>
            <w:pPr>
              <w:bidi/>
              <w:spacing w:after="0"/>
            </w:pPr>
            <w:r>
              <w:rPr>
                <w:rFonts w:ascii="Segoe UI" w:hAnsi="Segoe UI" w:cs="Segoe UI"/>
                <w:sz w:val="17"/>
                <w:szCs w:val="17"/>
                <w:rtl/>
              </w:rPr>
              <w:t>7</w:t>
            </w:r>
          </w:p>
        </w:tc>
        <w:tc>
          <w:tcPr>
            <w:tcW w:type="dxa" w:w="2608"/>
          </w:tcPr>
          <w:p>
            <w:pPr>
              <w:bidi/>
              <w:spacing w:after="0"/>
              <w:jc w:val="center"/>
            </w:pPr>
            <w:r>
              <w:rPr>
                <w:rFonts w:ascii="Segoe UI" w:hAnsi="Segoe UI" w:cs="Segoe UI"/>
                <w:sz w:val="17"/>
                <w:szCs w:val="17"/>
                <w:rtl/>
              </w:rPr>
              <w:t>الخطوط القطرية</w:t>
            </w:r>
          </w:p>
        </w:tc>
        <w:tc>
          <w:tcPr>
            <w:tcW w:type="dxa" w:w="1247"/>
          </w:tcPr>
          <w:p>
            <w:pPr>
              <w:bidi/>
              <w:spacing w:after="0"/>
              <w:jc w:val="center"/>
            </w:pPr>
            <w:r>
              <w:rPr>
                <w:rFonts w:ascii="Segoe UI" w:hAnsi="Segoe UI" w:cs="Segoe UI"/>
                <w:sz w:val="17"/>
                <w:szCs w:val="17"/>
                <w:rtl/>
              </w:rPr>
              <w:t>QTR / QR</w:t>
            </w:r>
          </w:p>
        </w:tc>
        <w:tc>
          <w:tcPr>
            <w:tcW w:type="dxa" w:w="1928"/>
          </w:tcPr>
          <w:p>
            <w:pPr>
              <w:bidi/>
              <w:spacing w:after="0"/>
              <w:jc w:val="center"/>
            </w:pPr>
            <w:r>
              <w:rPr>
                <w:rFonts w:ascii="Segoe UI" w:hAnsi="Segoe UI" w:cs="Segoe UI"/>
                <w:sz w:val="17"/>
                <w:szCs w:val="17"/>
                <w:rtl/>
              </w:rPr>
              <w:t>قطر</w:t>
            </w:r>
          </w:p>
        </w:tc>
        <w:tc>
          <w:tcPr>
            <w:tcW w:type="dxa" w:w="1134"/>
          </w:tcPr>
          <w:p>
            <w:pPr>
              <w:bidi/>
              <w:spacing w:after="0"/>
              <w:jc w:val="center"/>
            </w:pPr>
            <w:r>
              <w:rPr>
                <w:rFonts w:ascii="Segoe UI" w:hAnsi="Segoe UI" w:cs="Segoe UI"/>
                <w:sz w:val="17"/>
                <w:szCs w:val="17"/>
                <w:rtl/>
              </w:rPr>
              <w:t>142</w:t>
            </w:r>
          </w:p>
        </w:tc>
        <w:tc>
          <w:tcPr>
            <w:tcW w:type="dxa" w:w="964"/>
          </w:tcPr>
          <w:p>
            <w:pPr>
              <w:bidi/>
              <w:spacing w:after="0"/>
              <w:jc w:val="center"/>
            </w:pPr>
            <w:r>
              <w:rPr>
                <w:rFonts w:ascii="Segoe UI" w:hAnsi="Segoe UI" w:cs="Segoe UI"/>
                <w:sz w:val="17"/>
                <w:szCs w:val="17"/>
                <w:rtl/>
              </w:rPr>
              <w:t>2.8%</w:t>
            </w:r>
          </w:p>
        </w:tc>
      </w:tr>
      <w:tr>
        <w:tc>
          <w:tcPr>
            <w:tcW w:type="dxa" w:w="510"/>
            <w:shd w:val="clear" w:fill="F5F7FA"/>
          </w:tcPr>
          <w:p>
            <w:pPr>
              <w:bidi/>
              <w:spacing w:after="0"/>
            </w:pPr>
            <w:r>
              <w:rPr>
                <w:rFonts w:ascii="Segoe UI" w:hAnsi="Segoe UI" w:cs="Segoe UI"/>
                <w:sz w:val="17"/>
                <w:szCs w:val="17"/>
                <w:rtl/>
              </w:rPr>
              <w:t>8</w:t>
            </w:r>
          </w:p>
        </w:tc>
        <w:tc>
          <w:tcPr>
            <w:tcW w:type="dxa" w:w="2608"/>
            <w:shd w:val="clear" w:fill="F5F7FA"/>
          </w:tcPr>
          <w:p>
            <w:pPr>
              <w:bidi/>
              <w:spacing w:after="0"/>
              <w:jc w:val="center"/>
            </w:pPr>
            <w:r>
              <w:rPr>
                <w:rFonts w:ascii="Segoe UI" w:hAnsi="Segoe UI" w:cs="Segoe UI"/>
                <w:sz w:val="17"/>
                <w:szCs w:val="17"/>
                <w:rtl/>
              </w:rPr>
              <w:t>العربية للطيران</w:t>
            </w:r>
          </w:p>
        </w:tc>
        <w:tc>
          <w:tcPr>
            <w:tcW w:type="dxa" w:w="1247"/>
            <w:shd w:val="clear" w:fill="F5F7FA"/>
          </w:tcPr>
          <w:p>
            <w:pPr>
              <w:bidi/>
              <w:spacing w:after="0"/>
              <w:jc w:val="center"/>
            </w:pPr>
            <w:r>
              <w:rPr>
                <w:rFonts w:ascii="Segoe UI" w:hAnsi="Segoe UI" w:cs="Segoe UI"/>
                <w:sz w:val="17"/>
                <w:szCs w:val="17"/>
                <w:rtl/>
              </w:rPr>
              <w:t>ABY / G9</w:t>
            </w:r>
          </w:p>
        </w:tc>
        <w:tc>
          <w:tcPr>
            <w:tcW w:type="dxa" w:w="1928"/>
            <w:shd w:val="clear" w:fill="F5F7FA"/>
          </w:tcPr>
          <w:p>
            <w:pPr>
              <w:bidi/>
              <w:spacing w:after="0"/>
              <w:jc w:val="center"/>
            </w:pPr>
            <w:r>
              <w:rPr>
                <w:rFonts w:ascii="Segoe UI" w:hAnsi="Segoe UI" w:cs="Segoe UI"/>
                <w:sz w:val="17"/>
                <w:szCs w:val="17"/>
                <w:rtl/>
              </w:rPr>
              <w:t>الإمارات</w:t>
            </w:r>
          </w:p>
        </w:tc>
        <w:tc>
          <w:tcPr>
            <w:tcW w:type="dxa" w:w="1134"/>
            <w:shd w:val="clear" w:fill="F5F7FA"/>
          </w:tcPr>
          <w:p>
            <w:pPr>
              <w:bidi/>
              <w:spacing w:after="0"/>
              <w:jc w:val="center"/>
            </w:pPr>
            <w:r>
              <w:rPr>
                <w:rFonts w:ascii="Segoe UI" w:hAnsi="Segoe UI" w:cs="Segoe UI"/>
                <w:sz w:val="17"/>
                <w:szCs w:val="17"/>
                <w:rtl/>
              </w:rPr>
              <w:t>137</w:t>
            </w:r>
          </w:p>
        </w:tc>
        <w:tc>
          <w:tcPr>
            <w:tcW w:type="dxa" w:w="964"/>
            <w:shd w:val="clear" w:fill="F5F7FA"/>
          </w:tcPr>
          <w:p>
            <w:pPr>
              <w:bidi/>
              <w:spacing w:after="0"/>
              <w:jc w:val="center"/>
            </w:pPr>
            <w:r>
              <w:rPr>
                <w:rFonts w:ascii="Segoe UI" w:hAnsi="Segoe UI" w:cs="Segoe UI"/>
                <w:sz w:val="17"/>
                <w:szCs w:val="17"/>
                <w:rtl/>
              </w:rPr>
              <w:t>2.7%</w:t>
            </w:r>
          </w:p>
        </w:tc>
      </w:tr>
    </w:tbl>
    <w:p>
      <w:pPr>
        <w:bidi/>
        <w:spacing w:after="40"/>
      </w:pPr>
    </w:p>
    <w:p>
      <w:pPr>
        <w:bidi/>
        <w:spacing w:after="60"/>
      </w:pPr>
      <w:r>
        <w:rPr>
          <w:rFonts w:ascii="Segoe UI" w:hAnsi="Segoe UI" w:cs="Segoe UI"/>
          <w:b/>
          <w:bCs/>
          <w:color w:val="C2571A"/>
          <w:sz w:val="23"/>
          <w:szCs w:val="23"/>
          <w:rtl/>
        </w:rPr>
        <w:t>اللاذقية</w:t>
      </w:r>
    </w:p>
    <w:tbl>
      <w:tblPr>
        <w:tblStyle w:val="TableGrid"/>
        <w:bidiVisual/>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510"/>
            <w:shd w:val="clear" w:fill="0F2A5C"/>
          </w:tcPr>
          <w:p>
            <w:pPr>
              <w:bidi/>
              <w:spacing w:after="0"/>
              <w:jc w:val="center"/>
            </w:pPr>
            <w:r>
              <w:rPr>
                <w:rFonts w:ascii="Segoe UI" w:hAnsi="Segoe UI" w:cs="Segoe UI"/>
                <w:b/>
                <w:bCs/>
                <w:color w:val="FFFFFF"/>
                <w:sz w:val="17"/>
                <w:szCs w:val="17"/>
                <w:rtl/>
              </w:rPr>
              <w:t>#</w:t>
            </w:r>
          </w:p>
        </w:tc>
        <w:tc>
          <w:tcPr>
            <w:tcW w:type="dxa" w:w="2608"/>
            <w:shd w:val="clear" w:fill="0F2A5C"/>
          </w:tcPr>
          <w:p>
            <w:pPr>
              <w:bidi/>
              <w:spacing w:after="0"/>
              <w:jc w:val="center"/>
            </w:pPr>
            <w:r>
              <w:rPr>
                <w:rFonts w:ascii="Segoe UI" w:hAnsi="Segoe UI" w:cs="Segoe UI"/>
                <w:b/>
                <w:bCs/>
                <w:color w:val="FFFFFF"/>
                <w:sz w:val="17"/>
                <w:szCs w:val="17"/>
                <w:rtl/>
              </w:rPr>
              <w:t>الشركة</w:t>
            </w:r>
          </w:p>
        </w:tc>
        <w:tc>
          <w:tcPr>
            <w:tcW w:type="dxa" w:w="1247"/>
            <w:shd w:val="clear" w:fill="0F2A5C"/>
          </w:tcPr>
          <w:p>
            <w:pPr>
              <w:bidi/>
              <w:spacing w:after="0"/>
              <w:jc w:val="center"/>
            </w:pPr>
            <w:r>
              <w:rPr>
                <w:rFonts w:ascii="Segoe UI" w:hAnsi="Segoe UI" w:cs="Segoe UI"/>
                <w:b/>
                <w:bCs/>
                <w:color w:val="FFFFFF"/>
                <w:sz w:val="17"/>
                <w:szCs w:val="17"/>
                <w:rtl/>
              </w:rPr>
              <w:t>الرمز</w:t>
            </w:r>
          </w:p>
        </w:tc>
        <w:tc>
          <w:tcPr>
            <w:tcW w:type="dxa" w:w="1928"/>
            <w:shd w:val="clear" w:fill="0F2A5C"/>
          </w:tcPr>
          <w:p>
            <w:pPr>
              <w:bidi/>
              <w:spacing w:after="0"/>
              <w:jc w:val="center"/>
            </w:pPr>
            <w:r>
              <w:rPr>
                <w:rFonts w:ascii="Segoe UI" w:hAnsi="Segoe UI" w:cs="Segoe UI"/>
                <w:b/>
                <w:bCs/>
                <w:color w:val="FFFFFF"/>
                <w:sz w:val="17"/>
                <w:szCs w:val="17"/>
                <w:rtl/>
              </w:rPr>
              <w:t>الجنسية</w:t>
            </w:r>
          </w:p>
        </w:tc>
        <w:tc>
          <w:tcPr>
            <w:tcW w:type="dxa" w:w="1134"/>
            <w:shd w:val="clear" w:fill="0F2A5C"/>
          </w:tcPr>
          <w:p>
            <w:pPr>
              <w:bidi/>
              <w:spacing w:after="0"/>
              <w:jc w:val="center"/>
            </w:pPr>
            <w:r>
              <w:rPr>
                <w:rFonts w:ascii="Segoe UI" w:hAnsi="Segoe UI" w:cs="Segoe UI"/>
                <w:b/>
                <w:bCs/>
                <w:color w:val="FFFFFF"/>
                <w:sz w:val="17"/>
                <w:szCs w:val="17"/>
                <w:rtl/>
              </w:rPr>
              <w:t>الحركات</w:t>
            </w:r>
          </w:p>
        </w:tc>
        <w:tc>
          <w:tcPr>
            <w:tcW w:type="dxa" w:w="964"/>
            <w:shd w:val="clear" w:fill="0F2A5C"/>
          </w:tcPr>
          <w:p>
            <w:pPr>
              <w:bidi/>
              <w:spacing w:after="0"/>
              <w:jc w:val="center"/>
            </w:pPr>
            <w:r>
              <w:rPr>
                <w:rFonts w:ascii="Segoe UI" w:hAnsi="Segoe UI" w:cs="Segoe UI"/>
                <w:b/>
                <w:bCs/>
                <w:color w:val="FFFFFF"/>
                <w:sz w:val="17"/>
                <w:szCs w:val="17"/>
                <w:rtl/>
              </w:rPr>
              <w:t>الحصة</w:t>
            </w:r>
          </w:p>
        </w:tc>
      </w:tr>
      <w:tr>
        <w:tc>
          <w:tcPr>
            <w:tcW w:type="dxa" w:w="510"/>
          </w:tcPr>
          <w:p>
            <w:pPr>
              <w:bidi/>
              <w:spacing w:after="0"/>
            </w:pPr>
            <w:r>
              <w:rPr>
                <w:rFonts w:ascii="Segoe UI" w:hAnsi="Segoe UI" w:cs="Segoe UI"/>
                <w:sz w:val="17"/>
                <w:szCs w:val="17"/>
                <w:rtl/>
              </w:rPr>
              <w:t>1</w:t>
            </w:r>
          </w:p>
        </w:tc>
        <w:tc>
          <w:tcPr>
            <w:tcW w:type="dxa" w:w="2608"/>
          </w:tcPr>
          <w:p>
            <w:pPr>
              <w:bidi/>
              <w:spacing w:after="0"/>
              <w:jc w:val="center"/>
            </w:pPr>
            <w:r>
              <w:rPr>
                <w:rFonts w:ascii="Segoe UI" w:hAnsi="Segoe UI" w:cs="Segoe UI"/>
                <w:sz w:val="17"/>
                <w:szCs w:val="17"/>
                <w:rtl/>
              </w:rPr>
              <w:t>القوات الجوية الروسية (نقل عسكري)</w:t>
            </w:r>
          </w:p>
        </w:tc>
        <w:tc>
          <w:tcPr>
            <w:tcW w:type="dxa" w:w="1247"/>
          </w:tcPr>
          <w:p>
            <w:pPr>
              <w:bidi/>
              <w:spacing w:after="0"/>
              <w:jc w:val="center"/>
            </w:pPr>
            <w:r>
              <w:rPr>
                <w:rFonts w:ascii="Segoe UI" w:hAnsi="Segoe UI" w:cs="Segoe UI"/>
                <w:sz w:val="17"/>
                <w:szCs w:val="17"/>
                <w:rtl/>
              </w:rPr>
              <w:t>RFF / —</w:t>
            </w:r>
          </w:p>
        </w:tc>
        <w:tc>
          <w:tcPr>
            <w:tcW w:type="dxa" w:w="1928"/>
          </w:tcPr>
          <w:p>
            <w:pPr>
              <w:bidi/>
              <w:spacing w:after="0"/>
              <w:jc w:val="center"/>
            </w:pPr>
            <w:r>
              <w:rPr>
                <w:rFonts w:ascii="Segoe UI" w:hAnsi="Segoe UI" w:cs="Segoe UI"/>
                <w:sz w:val="17"/>
                <w:szCs w:val="17"/>
                <w:rtl/>
              </w:rPr>
              <w:t>روسيا</w:t>
            </w:r>
          </w:p>
        </w:tc>
        <w:tc>
          <w:tcPr>
            <w:tcW w:type="dxa" w:w="1134"/>
          </w:tcPr>
          <w:p>
            <w:pPr>
              <w:bidi/>
              <w:spacing w:after="0"/>
              <w:jc w:val="center"/>
            </w:pPr>
            <w:r>
              <w:rPr>
                <w:rFonts w:ascii="Segoe UI" w:hAnsi="Segoe UI" w:cs="Segoe UI"/>
                <w:sz w:val="17"/>
                <w:szCs w:val="17"/>
                <w:rtl/>
              </w:rPr>
              <w:t>148</w:t>
            </w:r>
          </w:p>
        </w:tc>
        <w:tc>
          <w:tcPr>
            <w:tcW w:type="dxa" w:w="964"/>
          </w:tcPr>
          <w:p>
            <w:pPr>
              <w:bidi/>
              <w:spacing w:after="0"/>
              <w:jc w:val="center"/>
            </w:pPr>
            <w:r>
              <w:rPr>
                <w:rFonts w:ascii="Segoe UI" w:hAnsi="Segoe UI" w:cs="Segoe UI"/>
                <w:sz w:val="17"/>
                <w:szCs w:val="17"/>
                <w:rtl/>
              </w:rPr>
              <w:t>58.7%</w:t>
            </w:r>
          </w:p>
        </w:tc>
      </w:tr>
      <w:tr>
        <w:tc>
          <w:tcPr>
            <w:tcW w:type="dxa" w:w="510"/>
            <w:shd w:val="clear" w:fill="F5F7FA"/>
          </w:tcPr>
          <w:p>
            <w:pPr>
              <w:bidi/>
              <w:spacing w:after="0"/>
            </w:pPr>
            <w:r>
              <w:rPr>
                <w:rFonts w:ascii="Segoe UI" w:hAnsi="Segoe UI" w:cs="Segoe UI"/>
                <w:sz w:val="17"/>
                <w:szCs w:val="17"/>
                <w:rtl/>
              </w:rPr>
              <w:t>2</w:t>
            </w:r>
          </w:p>
        </w:tc>
        <w:tc>
          <w:tcPr>
            <w:tcW w:type="dxa" w:w="2608"/>
            <w:shd w:val="clear" w:fill="F5F7FA"/>
          </w:tcPr>
          <w:p>
            <w:pPr>
              <w:bidi/>
              <w:spacing w:after="0"/>
              <w:jc w:val="center"/>
            </w:pPr>
            <w:r>
              <w:rPr>
                <w:rFonts w:ascii="Segoe UI" w:hAnsi="Segoe UI" w:cs="Segoe UI"/>
                <w:sz w:val="17"/>
                <w:szCs w:val="17"/>
                <w:rtl/>
              </w:rPr>
              <w:t>غير محدد المشغّل</w:t>
            </w:r>
          </w:p>
        </w:tc>
        <w:tc>
          <w:tcPr>
            <w:tcW w:type="dxa" w:w="1247"/>
            <w:shd w:val="clear" w:fill="F5F7FA"/>
          </w:tcPr>
          <w:p>
            <w:pPr>
              <w:bidi/>
              <w:spacing w:after="0"/>
              <w:jc w:val="center"/>
            </w:pPr>
            <w:r>
              <w:rPr>
                <w:rFonts w:ascii="Segoe UI" w:hAnsi="Segoe UI" w:cs="Segoe UI"/>
                <w:sz w:val="17"/>
                <w:szCs w:val="17"/>
                <w:rtl/>
              </w:rPr>
              <w:t>غير معروف / —</w:t>
            </w:r>
          </w:p>
        </w:tc>
        <w:tc>
          <w:tcPr>
            <w:tcW w:type="dxa" w:w="1928"/>
            <w:shd w:val="clear" w:fill="F5F7FA"/>
          </w:tcPr>
          <w:p>
            <w:pPr>
              <w:bidi/>
              <w:spacing w:after="0"/>
              <w:jc w:val="center"/>
            </w:pPr>
            <w:r>
              <w:rPr>
                <w:rFonts w:ascii="Segoe UI" w:hAnsi="Segoe UI" w:cs="Segoe UI"/>
                <w:sz w:val="17"/>
                <w:szCs w:val="17"/>
                <w:rtl/>
              </w:rPr>
              <w:t>—</w:t>
            </w:r>
          </w:p>
        </w:tc>
        <w:tc>
          <w:tcPr>
            <w:tcW w:type="dxa" w:w="1134"/>
            <w:shd w:val="clear" w:fill="F5F7FA"/>
          </w:tcPr>
          <w:p>
            <w:pPr>
              <w:bidi/>
              <w:spacing w:after="0"/>
              <w:jc w:val="center"/>
            </w:pPr>
            <w:r>
              <w:rPr>
                <w:rFonts w:ascii="Segoe UI" w:hAnsi="Segoe UI" w:cs="Segoe UI"/>
                <w:sz w:val="17"/>
                <w:szCs w:val="17"/>
                <w:rtl/>
              </w:rPr>
              <w:t>52</w:t>
            </w:r>
          </w:p>
        </w:tc>
        <w:tc>
          <w:tcPr>
            <w:tcW w:type="dxa" w:w="964"/>
            <w:shd w:val="clear" w:fill="F5F7FA"/>
          </w:tcPr>
          <w:p>
            <w:pPr>
              <w:bidi/>
              <w:spacing w:after="0"/>
              <w:jc w:val="center"/>
            </w:pPr>
            <w:r>
              <w:rPr>
                <w:rFonts w:ascii="Segoe UI" w:hAnsi="Segoe UI" w:cs="Segoe UI"/>
                <w:sz w:val="17"/>
                <w:szCs w:val="17"/>
                <w:rtl/>
              </w:rPr>
              <w:t>20.6%</w:t>
            </w:r>
          </w:p>
        </w:tc>
      </w:tr>
      <w:tr>
        <w:tc>
          <w:tcPr>
            <w:tcW w:type="dxa" w:w="510"/>
          </w:tcPr>
          <w:p>
            <w:pPr>
              <w:bidi/>
              <w:spacing w:after="0"/>
            </w:pPr>
            <w:r>
              <w:rPr>
                <w:rFonts w:ascii="Segoe UI" w:hAnsi="Segoe UI" w:cs="Segoe UI"/>
                <w:sz w:val="17"/>
                <w:szCs w:val="17"/>
                <w:rtl/>
              </w:rPr>
              <w:t>3</w:t>
            </w:r>
          </w:p>
        </w:tc>
        <w:tc>
          <w:tcPr>
            <w:tcW w:type="dxa" w:w="2608"/>
          </w:tcPr>
          <w:p>
            <w:pPr>
              <w:bidi/>
              <w:spacing w:after="0"/>
              <w:jc w:val="center"/>
            </w:pPr>
            <w:r>
              <w:rPr>
                <w:rFonts w:ascii="Segoe UI" w:hAnsi="Segoe UI" w:cs="Segoe UI"/>
                <w:sz w:val="17"/>
                <w:szCs w:val="17"/>
                <w:rtl/>
              </w:rPr>
              <w:t>القوات الجوية الروسية — تشكيل TTF</w:t>
            </w:r>
          </w:p>
        </w:tc>
        <w:tc>
          <w:tcPr>
            <w:tcW w:type="dxa" w:w="1247"/>
          </w:tcPr>
          <w:p>
            <w:pPr>
              <w:bidi/>
              <w:spacing w:after="0"/>
              <w:jc w:val="center"/>
            </w:pPr>
            <w:r>
              <w:rPr>
                <w:rFonts w:ascii="Segoe UI" w:hAnsi="Segoe UI" w:cs="Segoe UI"/>
                <w:sz w:val="17"/>
                <w:szCs w:val="17"/>
                <w:rtl/>
              </w:rPr>
              <w:t>TTF / —</w:t>
            </w:r>
          </w:p>
        </w:tc>
        <w:tc>
          <w:tcPr>
            <w:tcW w:type="dxa" w:w="1928"/>
          </w:tcPr>
          <w:p>
            <w:pPr>
              <w:bidi/>
              <w:spacing w:after="0"/>
              <w:jc w:val="center"/>
            </w:pPr>
            <w:r>
              <w:rPr>
                <w:rFonts w:ascii="Segoe UI" w:hAnsi="Segoe UI" w:cs="Segoe UI"/>
                <w:sz w:val="17"/>
                <w:szCs w:val="17"/>
                <w:rtl/>
              </w:rPr>
              <w:t>روسيا</w:t>
            </w:r>
          </w:p>
        </w:tc>
        <w:tc>
          <w:tcPr>
            <w:tcW w:type="dxa" w:w="1134"/>
          </w:tcPr>
          <w:p>
            <w:pPr>
              <w:bidi/>
              <w:spacing w:after="0"/>
              <w:jc w:val="center"/>
            </w:pPr>
            <w:r>
              <w:rPr>
                <w:rFonts w:ascii="Segoe UI" w:hAnsi="Segoe UI" w:cs="Segoe UI"/>
                <w:sz w:val="17"/>
                <w:szCs w:val="17"/>
                <w:rtl/>
              </w:rPr>
              <w:t>26</w:t>
            </w:r>
          </w:p>
        </w:tc>
        <w:tc>
          <w:tcPr>
            <w:tcW w:type="dxa" w:w="964"/>
          </w:tcPr>
          <w:p>
            <w:pPr>
              <w:bidi/>
              <w:spacing w:after="0"/>
              <w:jc w:val="center"/>
            </w:pPr>
            <w:r>
              <w:rPr>
                <w:rFonts w:ascii="Segoe UI" w:hAnsi="Segoe UI" w:cs="Segoe UI"/>
                <w:sz w:val="17"/>
                <w:szCs w:val="17"/>
                <w:rtl/>
              </w:rPr>
              <w:t>10.3%</w:t>
            </w:r>
          </w:p>
        </w:tc>
      </w:tr>
      <w:tr>
        <w:tc>
          <w:tcPr>
            <w:tcW w:type="dxa" w:w="510"/>
            <w:shd w:val="clear" w:fill="F5F7FA"/>
          </w:tcPr>
          <w:p>
            <w:pPr>
              <w:bidi/>
              <w:spacing w:after="0"/>
            </w:pPr>
            <w:r>
              <w:rPr>
                <w:rFonts w:ascii="Segoe UI" w:hAnsi="Segoe UI" w:cs="Segoe UI"/>
                <w:sz w:val="17"/>
                <w:szCs w:val="17"/>
                <w:rtl/>
              </w:rPr>
              <w:t>4</w:t>
            </w:r>
          </w:p>
        </w:tc>
        <w:tc>
          <w:tcPr>
            <w:tcW w:type="dxa" w:w="2608"/>
            <w:shd w:val="clear" w:fill="F5F7FA"/>
          </w:tcPr>
          <w:p>
            <w:pPr>
              <w:bidi/>
              <w:spacing w:after="0"/>
              <w:jc w:val="center"/>
            </w:pPr>
            <w:r>
              <w:rPr>
                <w:rFonts w:ascii="Segoe UI" w:hAnsi="Segoe UI" w:cs="Segoe UI"/>
                <w:sz w:val="17"/>
                <w:szCs w:val="17"/>
                <w:rtl/>
              </w:rPr>
              <w:t>القوات الجوية الروسية — تشكيل CHD</w:t>
            </w:r>
          </w:p>
        </w:tc>
        <w:tc>
          <w:tcPr>
            <w:tcW w:type="dxa" w:w="1247"/>
            <w:shd w:val="clear" w:fill="F5F7FA"/>
          </w:tcPr>
          <w:p>
            <w:pPr>
              <w:bidi/>
              <w:spacing w:after="0"/>
              <w:jc w:val="center"/>
            </w:pPr>
            <w:r>
              <w:rPr>
                <w:rFonts w:ascii="Segoe UI" w:hAnsi="Segoe UI" w:cs="Segoe UI"/>
                <w:sz w:val="17"/>
                <w:szCs w:val="17"/>
                <w:rtl/>
              </w:rPr>
              <w:t>CHD / —</w:t>
            </w:r>
          </w:p>
        </w:tc>
        <w:tc>
          <w:tcPr>
            <w:tcW w:type="dxa" w:w="1928"/>
            <w:shd w:val="clear" w:fill="F5F7FA"/>
          </w:tcPr>
          <w:p>
            <w:pPr>
              <w:bidi/>
              <w:spacing w:after="0"/>
              <w:jc w:val="center"/>
            </w:pPr>
            <w:r>
              <w:rPr>
                <w:rFonts w:ascii="Segoe UI" w:hAnsi="Segoe UI" w:cs="Segoe UI"/>
                <w:sz w:val="17"/>
                <w:szCs w:val="17"/>
                <w:rtl/>
              </w:rPr>
              <w:t>روسيا</w:t>
            </w:r>
          </w:p>
        </w:tc>
        <w:tc>
          <w:tcPr>
            <w:tcW w:type="dxa" w:w="1134"/>
            <w:shd w:val="clear" w:fill="F5F7FA"/>
          </w:tcPr>
          <w:p>
            <w:pPr>
              <w:bidi/>
              <w:spacing w:after="0"/>
              <w:jc w:val="center"/>
            </w:pPr>
            <w:r>
              <w:rPr>
                <w:rFonts w:ascii="Segoe UI" w:hAnsi="Segoe UI" w:cs="Segoe UI"/>
                <w:sz w:val="17"/>
                <w:szCs w:val="17"/>
                <w:rtl/>
              </w:rPr>
              <w:t>18</w:t>
            </w:r>
          </w:p>
        </w:tc>
        <w:tc>
          <w:tcPr>
            <w:tcW w:type="dxa" w:w="964"/>
            <w:shd w:val="clear" w:fill="F5F7FA"/>
          </w:tcPr>
          <w:p>
            <w:pPr>
              <w:bidi/>
              <w:spacing w:after="0"/>
              <w:jc w:val="center"/>
            </w:pPr>
            <w:r>
              <w:rPr>
                <w:rFonts w:ascii="Segoe UI" w:hAnsi="Segoe UI" w:cs="Segoe UI"/>
                <w:sz w:val="17"/>
                <w:szCs w:val="17"/>
                <w:rtl/>
              </w:rPr>
              <w:t>7.1%</w:t>
            </w:r>
          </w:p>
        </w:tc>
      </w:tr>
      <w:tr>
        <w:tc>
          <w:tcPr>
            <w:tcW w:type="dxa" w:w="510"/>
          </w:tcPr>
          <w:p>
            <w:pPr>
              <w:bidi/>
              <w:spacing w:after="0"/>
            </w:pPr>
            <w:r>
              <w:rPr>
                <w:rFonts w:ascii="Segoe UI" w:hAnsi="Segoe UI" w:cs="Segoe UI"/>
                <w:sz w:val="17"/>
                <w:szCs w:val="17"/>
                <w:rtl/>
              </w:rPr>
              <w:t>5</w:t>
            </w:r>
          </w:p>
        </w:tc>
        <w:tc>
          <w:tcPr>
            <w:tcW w:type="dxa" w:w="2608"/>
          </w:tcPr>
          <w:p>
            <w:pPr>
              <w:bidi/>
              <w:spacing w:after="0"/>
              <w:jc w:val="center"/>
            </w:pPr>
            <w:r>
              <w:rPr>
                <w:rFonts w:ascii="Segoe UI" w:hAnsi="Segoe UI" w:cs="Segoe UI"/>
                <w:sz w:val="17"/>
                <w:szCs w:val="17"/>
                <w:rtl/>
              </w:rPr>
              <w:t>القوات الجوية الروسية — تشكيل RSD</w:t>
            </w:r>
          </w:p>
        </w:tc>
        <w:tc>
          <w:tcPr>
            <w:tcW w:type="dxa" w:w="1247"/>
          </w:tcPr>
          <w:p>
            <w:pPr>
              <w:bidi/>
              <w:spacing w:after="0"/>
              <w:jc w:val="center"/>
            </w:pPr>
            <w:r>
              <w:rPr>
                <w:rFonts w:ascii="Segoe UI" w:hAnsi="Segoe UI" w:cs="Segoe UI"/>
                <w:sz w:val="17"/>
                <w:szCs w:val="17"/>
                <w:rtl/>
              </w:rPr>
              <w:t>RSD / —</w:t>
            </w:r>
          </w:p>
        </w:tc>
        <w:tc>
          <w:tcPr>
            <w:tcW w:type="dxa" w:w="1928"/>
          </w:tcPr>
          <w:p>
            <w:pPr>
              <w:bidi/>
              <w:spacing w:after="0"/>
              <w:jc w:val="center"/>
            </w:pPr>
            <w:r>
              <w:rPr>
                <w:rFonts w:ascii="Segoe UI" w:hAnsi="Segoe UI" w:cs="Segoe UI"/>
                <w:sz w:val="17"/>
                <w:szCs w:val="17"/>
                <w:rtl/>
              </w:rPr>
              <w:t>روسيا</w:t>
            </w:r>
          </w:p>
        </w:tc>
        <w:tc>
          <w:tcPr>
            <w:tcW w:type="dxa" w:w="1134"/>
          </w:tcPr>
          <w:p>
            <w:pPr>
              <w:bidi/>
              <w:spacing w:after="0"/>
              <w:jc w:val="center"/>
            </w:pPr>
            <w:r>
              <w:rPr>
                <w:rFonts w:ascii="Segoe UI" w:hAnsi="Segoe UI" w:cs="Segoe UI"/>
                <w:sz w:val="17"/>
                <w:szCs w:val="17"/>
                <w:rtl/>
              </w:rPr>
              <w:t>8</w:t>
            </w:r>
          </w:p>
        </w:tc>
        <w:tc>
          <w:tcPr>
            <w:tcW w:type="dxa" w:w="964"/>
          </w:tcPr>
          <w:p>
            <w:pPr>
              <w:bidi/>
              <w:spacing w:after="0"/>
              <w:jc w:val="center"/>
            </w:pPr>
            <w:r>
              <w:rPr>
                <w:rFonts w:ascii="Segoe UI" w:hAnsi="Segoe UI" w:cs="Segoe UI"/>
                <w:sz w:val="17"/>
                <w:szCs w:val="17"/>
                <w:rtl/>
              </w:rPr>
              <w:t>3.2%</w:t>
            </w:r>
          </w:p>
        </w:tc>
      </w:tr>
    </w:tbl>
    <w:p>
      <w:pPr>
        <w:bidi/>
        <w:spacing w:after="40"/>
      </w:pPr>
    </w:p>
    <w:p>
      <w:pPr>
        <w:shd w:val="clear" w:fill="EFF6FF"/>
        <w:bidi/>
        <w:spacing w:after="160"/>
      </w:pPr>
      <w:r>
        <w:rPr>
          <w:rFonts w:ascii="Segoe UI" w:hAnsi="Segoe UI" w:cs="Segoe UI"/>
          <w:color w:val="374151"/>
          <w:sz w:val="21"/>
          <w:szCs w:val="21"/>
          <w:rtl/>
        </w:rPr>
        <w:t>ملاحظة توثيقية: تم التحقق من هوية شركات التشغيل عبر مطابقة رموز ICAO/IATA وأرقام الرحلات وتسجيلات الطائرات مع مراجع الطيران العامة (قائمة شركات الطيران السورية في ويكيبيديا، Airhex، Plane Finder وغيرها — انظر قسم المصادر). من أبرز النتائج: FYC هي «فلاي شام» السورية الجديدة (2025)، وKNE هي «فلاي ناس» السعودية، وFAD هي «فلاي ديل»، وTKJ هي «إيه جت» التركية.</w:t>
      </w:r>
    </w:p>
    <w:p>
      <w:r>
        <w:br w:type="page"/>
      </w:r>
    </w:p>
    <w:p>
      <w:pPr>
        <w:bidi/>
        <w:spacing w:after="200"/>
        <w:outlineLvl w:val="0"/>
      </w:pPr>
      <w:r>
        <w:rPr>
          <w:rFonts w:ascii="Segoe UI" w:hAnsi="Segoe UI" w:cs="Segoe UI"/>
          <w:b/>
          <w:bCs/>
          <w:color w:val="0F2A5C"/>
          <w:sz w:val="34"/>
          <w:szCs w:val="34"/>
          <w:rtl/>
        </w:rPr>
        <w:t>7. الشبكة والوجهات</w:t>
      </w:r>
    </w:p>
    <w:p xmlns:w="http://schemas.openxmlformats.org/wordprocessingml/2006/main">
      <w:pPr>
        <w:bidi/>
        <w:jc w:val="center"/>
      </w:pPr>
      <w:drawing>
        <wp:inline xmlns:wp="http://schemas.openxmlformats.org/drawingml/2006/wordprocessingDrawing" distT="0" distB="0" distL="0" distR="0">
          <wp:extent cx="5212080" cy="3840480"/>
          <wp:effectExtent l="0" t="0" r="0" b="0"/>
          <wp:docPr id="1007" name="Chart dest_dam"/>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7"/>
            </a:graphicData>
          </a:graphic>
        </wp:inline>
      </w:drawing>
    </w:p>
    <w:p>
      <w:pPr>
        <w:bidi/>
        <w:spacing w:after="200"/>
      </w:pPr>
      <w:r>
        <w:rPr>
          <w:rFonts w:ascii="Segoe UI" w:hAnsi="Segoe UI" w:cs="Segoe UI"/>
          <w:color w:val="6B7280"/>
          <w:sz w:val="19"/>
          <w:szCs w:val="19"/>
          <w:rtl/>
        </w:rPr>
        <w:t>الشكل 9 — أهم 10 وجهات مغادرة من دمشق: الكويت أولاً (1,418 رحلة) تليها دبي والشارقة (رسم قابل للتحرير).</w:t>
      </w:r>
    </w:p>
    <w:p xmlns:w="http://schemas.openxmlformats.org/wordprocessingml/2006/main">
      <w:pPr>
        <w:bidi/>
        <w:jc w:val="center"/>
      </w:pPr>
      <w:drawing>
        <wp:inline xmlns:wp="http://schemas.openxmlformats.org/drawingml/2006/wordprocessingDrawing" distT="0" distB="0" distL="0" distR="0">
          <wp:extent cx="5212080" cy="3840480"/>
          <wp:effectExtent l="0" t="0" r="0" b="0"/>
          <wp:docPr id="1008" name="Chart dest_alp"/>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8"/>
            </a:graphicData>
          </a:graphic>
        </wp:inline>
      </w:drawing>
    </w:p>
    <w:p>
      <w:pPr>
        <w:bidi/>
        <w:spacing w:after="200"/>
      </w:pPr>
      <w:r>
        <w:rPr>
          <w:rFonts w:ascii="Segoe UI" w:hAnsi="Segoe UI" w:cs="Segoe UI"/>
          <w:color w:val="6B7280"/>
          <w:sz w:val="19"/>
          <w:szCs w:val="19"/>
          <w:rtl/>
        </w:rPr>
        <w:t>الشكل 10 — أهم 10 وجهات مغادرة من حلب: تعلو عمّان (700 رحلة) وتليها إسطنبول بمطارَيها — الشبكتان متكاملتان أكثر منهما متنافستين (رسم قابل للتحرير).</w:t>
      </w:r>
    </w:p>
    <w:p xmlns:w="http://schemas.openxmlformats.org/wordprocessingml/2006/main">
      <w:pPr>
        <w:bidi/>
        <w:jc w:val="center"/>
      </w:pPr>
      <w:drawing>
        <wp:inline xmlns:wp="http://schemas.openxmlformats.org/drawingml/2006/wordprocessingDrawing" distT="0" distB="0" distL="0" distR="0">
          <wp:extent cx="5212080" cy="3108960"/>
          <wp:effectExtent l="0" t="0" r="0" b="0"/>
          <wp:docPr id="1020" name="Chart network"/>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20"/>
            </a:graphicData>
          </a:graphic>
        </wp:inline>
      </w:drawing>
    </w:p>
    <w:p>
      <w:pPr>
        <w:bidi/>
        <w:spacing w:after="200"/>
      </w:pPr>
      <w:r>
        <w:rPr>
          <w:rFonts w:ascii="Segoe UI" w:hAnsi="Segoe UI" w:cs="Segoe UI"/>
          <w:color w:val="6B7280"/>
          <w:sz w:val="19"/>
          <w:szCs w:val="19"/>
          <w:rtl/>
        </w:rPr>
        <w:t>الشكل 11 — اتساع الشبكة والتنوّع التشغيلي: دمشق خدم 95 وجهة عبر 546 طائرة فريدة (رسم قابل للتحرير).</w:t>
      </w:r>
    </w:p>
    <w:p>
      <w:pPr>
        <w:shd w:val="clear" w:fill="FFF7ED"/>
        <w:bidi/>
        <w:spacing w:after="160"/>
      </w:pPr>
      <w:r>
        <w:rPr>
          <w:rFonts w:ascii="Segoe UI" w:hAnsi="Segoe UI" w:cs="Segoe UI"/>
          <w:color w:val="374151"/>
          <w:sz w:val="21"/>
          <w:szCs w:val="21"/>
          <w:rtl/>
        </w:rPr>
        <w:t>ممر الخليج: 6,695 مغادرة من دمشق (68.3% من دوليته) تتجه إلى الخليج — الكويت وحدها تستقبل من دمشق أكثر من مجموع ما تستقبله دبي والشارقة في حلب. هذا التركّز يعكس تركيبة الطلب (سفر عمل وتحويلات وعمالة) أكثر مما يعكس شبكة سياحية.</w:t>
      </w:r>
    </w:p>
    <w:p>
      <w:pPr>
        <w:bidi/>
        <w:spacing w:after="120"/>
        <w:outlineLvl w:val="1"/>
      </w:pPr>
      <w:r>
        <w:rPr>
          <w:rFonts w:ascii="Segoe UI" w:hAnsi="Segoe UI" w:cs="Segoe UI"/>
          <w:b/>
          <w:bCs/>
          <w:color w:val="1F2937"/>
          <w:sz w:val="27"/>
          <w:szCs w:val="27"/>
          <w:rtl/>
        </w:rPr>
        <w:t>7.1 أهم الوجهات (مغادرات) لكل مطار</w:t>
      </w:r>
    </w:p>
    <w:p>
      <w:pPr>
        <w:bidi/>
        <w:spacing w:after="60"/>
      </w:pPr>
      <w:r>
        <w:rPr>
          <w:rFonts w:ascii="Segoe UI" w:hAnsi="Segoe UI" w:cs="Segoe UI"/>
          <w:b/>
          <w:bCs/>
          <w:color w:val="1E5AA8"/>
          <w:sz w:val="23"/>
          <w:szCs w:val="23"/>
          <w:rtl/>
        </w:rPr>
        <w:t>دمشق</w:t>
      </w:r>
    </w:p>
    <w:tbl>
      <w:tblPr>
        <w:tblStyle w:val="TableGrid"/>
        <w:bidiVisual/>
        <w:tblW w:type="auto" w:w="0"/>
        <w:jc w:val="center"/>
        <w:tblLayout w:type="fixed"/>
        <w:tblLook w:firstColumn="1" w:firstRow="1" w:lastColumn="0" w:lastRow="0" w:noHBand="0" w:noVBand="1" w:val="04A0"/>
      </w:tblPr>
      <w:tblGrid>
        <w:gridCol w:w="2409"/>
        <w:gridCol w:w="2409"/>
        <w:gridCol w:w="2409"/>
        <w:gridCol w:w="2409"/>
      </w:tblGrid>
      <w:tr>
        <w:tc>
          <w:tcPr>
            <w:tcW w:type="dxa" w:w="567"/>
            <w:shd w:val="clear" w:fill="0F2A5C"/>
          </w:tcPr>
          <w:p>
            <w:pPr>
              <w:bidi/>
              <w:spacing w:after="0"/>
              <w:jc w:val="center"/>
            </w:pPr>
            <w:r>
              <w:rPr>
                <w:rFonts w:ascii="Segoe UI" w:hAnsi="Segoe UI" w:cs="Segoe UI"/>
                <w:b/>
                <w:bCs/>
                <w:color w:val="FFFFFF"/>
                <w:sz w:val="17"/>
                <w:szCs w:val="17"/>
                <w:rtl/>
              </w:rPr>
              <w:t>#</w:t>
            </w:r>
          </w:p>
        </w:tc>
        <w:tc>
          <w:tcPr>
            <w:tcW w:type="dxa" w:w="3969"/>
            <w:shd w:val="clear" w:fill="0F2A5C"/>
          </w:tcPr>
          <w:p>
            <w:pPr>
              <w:bidi/>
              <w:spacing w:after="0"/>
              <w:jc w:val="center"/>
            </w:pPr>
            <w:r>
              <w:rPr>
                <w:rFonts w:ascii="Segoe UI" w:hAnsi="Segoe UI" w:cs="Segoe UI"/>
                <w:b/>
                <w:bCs/>
                <w:color w:val="FFFFFF"/>
                <w:sz w:val="17"/>
                <w:szCs w:val="17"/>
                <w:rtl/>
              </w:rPr>
              <w:t>الوجهة</w:t>
            </w:r>
          </w:p>
        </w:tc>
        <w:tc>
          <w:tcPr>
            <w:tcW w:type="dxa" w:w="1134"/>
            <w:shd w:val="clear" w:fill="0F2A5C"/>
          </w:tcPr>
          <w:p>
            <w:pPr>
              <w:bidi/>
              <w:spacing w:after="0"/>
              <w:jc w:val="center"/>
            </w:pPr>
            <w:r>
              <w:rPr>
                <w:rFonts w:ascii="Segoe UI" w:hAnsi="Segoe UI" w:cs="Segoe UI"/>
                <w:b/>
                <w:bCs/>
                <w:color w:val="FFFFFF"/>
                <w:sz w:val="17"/>
                <w:szCs w:val="17"/>
                <w:rtl/>
              </w:rPr>
              <w:t>الرمز</w:t>
            </w:r>
          </w:p>
        </w:tc>
        <w:tc>
          <w:tcPr>
            <w:tcW w:type="dxa" w:w="1701"/>
            <w:shd w:val="clear" w:fill="0F2A5C"/>
          </w:tcPr>
          <w:p>
            <w:pPr>
              <w:bidi/>
              <w:spacing w:after="0"/>
              <w:jc w:val="center"/>
            </w:pPr>
            <w:r>
              <w:rPr>
                <w:rFonts w:ascii="Segoe UI" w:hAnsi="Segoe UI" w:cs="Segoe UI"/>
                <w:b/>
                <w:bCs/>
                <w:color w:val="FFFFFF"/>
                <w:sz w:val="17"/>
                <w:szCs w:val="17"/>
                <w:rtl/>
              </w:rPr>
              <w:t>عدد الرحلات</w:t>
            </w:r>
          </w:p>
        </w:tc>
      </w:tr>
      <w:tr>
        <w:tc>
          <w:tcPr>
            <w:tcW w:type="dxa" w:w="567"/>
          </w:tcPr>
          <w:p>
            <w:pPr>
              <w:bidi/>
              <w:spacing w:after="0"/>
            </w:pPr>
            <w:r>
              <w:rPr>
                <w:rFonts w:ascii="Segoe UI" w:hAnsi="Segoe UI" w:cs="Segoe UI"/>
                <w:sz w:val="17"/>
                <w:szCs w:val="17"/>
                <w:rtl/>
              </w:rPr>
              <w:t>1</w:t>
            </w:r>
          </w:p>
        </w:tc>
        <w:tc>
          <w:tcPr>
            <w:tcW w:type="dxa" w:w="3969"/>
          </w:tcPr>
          <w:p>
            <w:pPr>
              <w:bidi/>
              <w:spacing w:after="0"/>
              <w:jc w:val="center"/>
            </w:pPr>
            <w:r>
              <w:rPr>
                <w:rFonts w:ascii="Segoe UI" w:hAnsi="Segoe UI" w:cs="Segoe UI"/>
                <w:sz w:val="17"/>
                <w:szCs w:val="17"/>
                <w:rtl/>
              </w:rPr>
              <w:t>الكويت</w:t>
            </w:r>
          </w:p>
        </w:tc>
        <w:tc>
          <w:tcPr>
            <w:tcW w:type="dxa" w:w="1134"/>
          </w:tcPr>
          <w:p>
            <w:pPr>
              <w:bidi/>
              <w:spacing w:after="0"/>
              <w:jc w:val="center"/>
            </w:pPr>
            <w:r>
              <w:rPr>
                <w:rFonts w:ascii="Segoe UI" w:hAnsi="Segoe UI" w:cs="Segoe UI"/>
                <w:sz w:val="17"/>
                <w:szCs w:val="17"/>
                <w:rtl/>
              </w:rPr>
              <w:t>KWI</w:t>
            </w:r>
          </w:p>
        </w:tc>
        <w:tc>
          <w:tcPr>
            <w:tcW w:type="dxa" w:w="1701"/>
          </w:tcPr>
          <w:p>
            <w:pPr>
              <w:bidi/>
              <w:spacing w:after="0"/>
              <w:jc w:val="center"/>
            </w:pPr>
            <w:r>
              <w:rPr>
                <w:rFonts w:ascii="Segoe UI" w:hAnsi="Segoe UI" w:cs="Segoe UI"/>
                <w:sz w:val="17"/>
                <w:szCs w:val="17"/>
                <w:rtl/>
              </w:rPr>
              <w:t>1,418</w:t>
            </w:r>
          </w:p>
        </w:tc>
      </w:tr>
      <w:tr>
        <w:tc>
          <w:tcPr>
            <w:tcW w:type="dxa" w:w="567"/>
            <w:shd w:val="clear" w:fill="F5F7FA"/>
          </w:tcPr>
          <w:p>
            <w:pPr>
              <w:bidi/>
              <w:spacing w:after="0"/>
            </w:pPr>
            <w:r>
              <w:rPr>
                <w:rFonts w:ascii="Segoe UI" w:hAnsi="Segoe UI" w:cs="Segoe UI"/>
                <w:sz w:val="17"/>
                <w:szCs w:val="17"/>
                <w:rtl/>
              </w:rPr>
              <w:t>2</w:t>
            </w:r>
          </w:p>
        </w:tc>
        <w:tc>
          <w:tcPr>
            <w:tcW w:type="dxa" w:w="3969"/>
            <w:shd w:val="clear" w:fill="F5F7FA"/>
          </w:tcPr>
          <w:p>
            <w:pPr>
              <w:bidi/>
              <w:spacing w:after="0"/>
              <w:jc w:val="center"/>
            </w:pPr>
            <w:r>
              <w:rPr>
                <w:rFonts w:ascii="Segoe UI" w:hAnsi="Segoe UI" w:cs="Segoe UI"/>
                <w:sz w:val="17"/>
                <w:szCs w:val="17"/>
                <w:rtl/>
              </w:rPr>
              <w:t>دبي</w:t>
            </w:r>
          </w:p>
        </w:tc>
        <w:tc>
          <w:tcPr>
            <w:tcW w:type="dxa" w:w="1134"/>
            <w:shd w:val="clear" w:fill="F5F7FA"/>
          </w:tcPr>
          <w:p>
            <w:pPr>
              <w:bidi/>
              <w:spacing w:after="0"/>
              <w:jc w:val="center"/>
            </w:pPr>
            <w:r>
              <w:rPr>
                <w:rFonts w:ascii="Segoe UI" w:hAnsi="Segoe UI" w:cs="Segoe UI"/>
                <w:sz w:val="17"/>
                <w:szCs w:val="17"/>
                <w:rtl/>
              </w:rPr>
              <w:t>DXB</w:t>
            </w:r>
          </w:p>
        </w:tc>
        <w:tc>
          <w:tcPr>
            <w:tcW w:type="dxa" w:w="1701"/>
            <w:shd w:val="clear" w:fill="F5F7FA"/>
          </w:tcPr>
          <w:p>
            <w:pPr>
              <w:bidi/>
              <w:spacing w:after="0"/>
              <w:jc w:val="center"/>
            </w:pPr>
            <w:r>
              <w:rPr>
                <w:rFonts w:ascii="Segoe UI" w:hAnsi="Segoe UI" w:cs="Segoe UI"/>
                <w:sz w:val="17"/>
                <w:szCs w:val="17"/>
                <w:rtl/>
              </w:rPr>
              <w:t>1,193</w:t>
            </w:r>
          </w:p>
        </w:tc>
      </w:tr>
      <w:tr>
        <w:tc>
          <w:tcPr>
            <w:tcW w:type="dxa" w:w="567"/>
          </w:tcPr>
          <w:p>
            <w:pPr>
              <w:bidi/>
              <w:spacing w:after="0"/>
            </w:pPr>
            <w:r>
              <w:rPr>
                <w:rFonts w:ascii="Segoe UI" w:hAnsi="Segoe UI" w:cs="Segoe UI"/>
                <w:sz w:val="17"/>
                <w:szCs w:val="17"/>
                <w:rtl/>
              </w:rPr>
              <w:t>3</w:t>
            </w:r>
          </w:p>
        </w:tc>
        <w:tc>
          <w:tcPr>
            <w:tcW w:type="dxa" w:w="3969"/>
          </w:tcPr>
          <w:p>
            <w:pPr>
              <w:bidi/>
              <w:spacing w:after="0"/>
              <w:jc w:val="center"/>
            </w:pPr>
            <w:r>
              <w:rPr>
                <w:rFonts w:ascii="Segoe UI" w:hAnsi="Segoe UI" w:cs="Segoe UI"/>
                <w:sz w:val="17"/>
                <w:szCs w:val="17"/>
                <w:rtl/>
              </w:rPr>
              <w:t>الشارقة</w:t>
            </w:r>
          </w:p>
        </w:tc>
        <w:tc>
          <w:tcPr>
            <w:tcW w:type="dxa" w:w="1134"/>
          </w:tcPr>
          <w:p>
            <w:pPr>
              <w:bidi/>
              <w:spacing w:after="0"/>
              <w:jc w:val="center"/>
            </w:pPr>
            <w:r>
              <w:rPr>
                <w:rFonts w:ascii="Segoe UI" w:hAnsi="Segoe UI" w:cs="Segoe UI"/>
                <w:sz w:val="17"/>
                <w:szCs w:val="17"/>
                <w:rtl/>
              </w:rPr>
              <w:t>SHJ</w:t>
            </w:r>
          </w:p>
        </w:tc>
        <w:tc>
          <w:tcPr>
            <w:tcW w:type="dxa" w:w="1701"/>
          </w:tcPr>
          <w:p>
            <w:pPr>
              <w:bidi/>
              <w:spacing w:after="0"/>
              <w:jc w:val="center"/>
            </w:pPr>
            <w:r>
              <w:rPr>
                <w:rFonts w:ascii="Segoe UI" w:hAnsi="Segoe UI" w:cs="Segoe UI"/>
                <w:sz w:val="17"/>
                <w:szCs w:val="17"/>
                <w:rtl/>
              </w:rPr>
              <w:t>1,141</w:t>
            </w:r>
          </w:p>
        </w:tc>
      </w:tr>
      <w:tr>
        <w:tc>
          <w:tcPr>
            <w:tcW w:type="dxa" w:w="567"/>
            <w:shd w:val="clear" w:fill="F5F7FA"/>
          </w:tcPr>
          <w:p>
            <w:pPr>
              <w:bidi/>
              <w:spacing w:after="0"/>
            </w:pPr>
            <w:r>
              <w:rPr>
                <w:rFonts w:ascii="Segoe UI" w:hAnsi="Segoe UI" w:cs="Segoe UI"/>
                <w:sz w:val="17"/>
                <w:szCs w:val="17"/>
                <w:rtl/>
              </w:rPr>
              <w:t>4</w:t>
            </w:r>
          </w:p>
        </w:tc>
        <w:tc>
          <w:tcPr>
            <w:tcW w:type="dxa" w:w="3969"/>
            <w:shd w:val="clear" w:fill="F5F7FA"/>
          </w:tcPr>
          <w:p>
            <w:pPr>
              <w:bidi/>
              <w:spacing w:after="0"/>
              <w:jc w:val="center"/>
            </w:pPr>
            <w:r>
              <w:rPr>
                <w:rFonts w:ascii="Segoe UI" w:hAnsi="Segoe UI" w:cs="Segoe UI"/>
                <w:sz w:val="17"/>
                <w:szCs w:val="17"/>
                <w:rtl/>
              </w:rPr>
              <w:t>عمّان</w:t>
            </w:r>
          </w:p>
        </w:tc>
        <w:tc>
          <w:tcPr>
            <w:tcW w:type="dxa" w:w="1134"/>
            <w:shd w:val="clear" w:fill="F5F7FA"/>
          </w:tcPr>
          <w:p>
            <w:pPr>
              <w:bidi/>
              <w:spacing w:after="0"/>
              <w:jc w:val="center"/>
            </w:pPr>
            <w:r>
              <w:rPr>
                <w:rFonts w:ascii="Segoe UI" w:hAnsi="Segoe UI" w:cs="Segoe UI"/>
                <w:sz w:val="17"/>
                <w:szCs w:val="17"/>
                <w:rtl/>
              </w:rPr>
              <w:t>AMM</w:t>
            </w:r>
          </w:p>
        </w:tc>
        <w:tc>
          <w:tcPr>
            <w:tcW w:type="dxa" w:w="1701"/>
            <w:shd w:val="clear" w:fill="F5F7FA"/>
          </w:tcPr>
          <w:p>
            <w:pPr>
              <w:bidi/>
              <w:spacing w:after="0"/>
              <w:jc w:val="center"/>
            </w:pPr>
            <w:r>
              <w:rPr>
                <w:rFonts w:ascii="Segoe UI" w:hAnsi="Segoe UI" w:cs="Segoe UI"/>
                <w:sz w:val="17"/>
                <w:szCs w:val="17"/>
                <w:rtl/>
              </w:rPr>
              <w:t>887</w:t>
            </w:r>
          </w:p>
        </w:tc>
      </w:tr>
      <w:tr>
        <w:tc>
          <w:tcPr>
            <w:tcW w:type="dxa" w:w="567"/>
          </w:tcPr>
          <w:p>
            <w:pPr>
              <w:bidi/>
              <w:spacing w:after="0"/>
            </w:pPr>
            <w:r>
              <w:rPr>
                <w:rFonts w:ascii="Segoe UI" w:hAnsi="Segoe UI" w:cs="Segoe UI"/>
                <w:sz w:val="17"/>
                <w:szCs w:val="17"/>
                <w:rtl/>
              </w:rPr>
              <w:t>5</w:t>
            </w:r>
          </w:p>
        </w:tc>
        <w:tc>
          <w:tcPr>
            <w:tcW w:type="dxa" w:w="3969"/>
          </w:tcPr>
          <w:p>
            <w:pPr>
              <w:bidi/>
              <w:spacing w:after="0"/>
              <w:jc w:val="center"/>
            </w:pPr>
            <w:r>
              <w:rPr>
                <w:rFonts w:ascii="Segoe UI" w:hAnsi="Segoe UI" w:cs="Segoe UI"/>
                <w:sz w:val="17"/>
                <w:szCs w:val="17"/>
                <w:rtl/>
              </w:rPr>
              <w:t>الدوحة</w:t>
            </w:r>
          </w:p>
        </w:tc>
        <w:tc>
          <w:tcPr>
            <w:tcW w:type="dxa" w:w="1134"/>
          </w:tcPr>
          <w:p>
            <w:pPr>
              <w:bidi/>
              <w:spacing w:after="0"/>
              <w:jc w:val="center"/>
            </w:pPr>
            <w:r>
              <w:rPr>
                <w:rFonts w:ascii="Segoe UI" w:hAnsi="Segoe UI" w:cs="Segoe UI"/>
                <w:sz w:val="17"/>
                <w:szCs w:val="17"/>
                <w:rtl/>
              </w:rPr>
              <w:t>DOH</w:t>
            </w:r>
          </w:p>
        </w:tc>
        <w:tc>
          <w:tcPr>
            <w:tcW w:type="dxa" w:w="1701"/>
          </w:tcPr>
          <w:p>
            <w:pPr>
              <w:bidi/>
              <w:spacing w:after="0"/>
              <w:jc w:val="center"/>
            </w:pPr>
            <w:r>
              <w:rPr>
                <w:rFonts w:ascii="Segoe UI" w:hAnsi="Segoe UI" w:cs="Segoe UI"/>
                <w:sz w:val="17"/>
                <w:szCs w:val="17"/>
                <w:rtl/>
              </w:rPr>
              <w:t>760</w:t>
            </w:r>
          </w:p>
        </w:tc>
      </w:tr>
      <w:tr>
        <w:tc>
          <w:tcPr>
            <w:tcW w:type="dxa" w:w="567"/>
            <w:shd w:val="clear" w:fill="F5F7FA"/>
          </w:tcPr>
          <w:p>
            <w:pPr>
              <w:bidi/>
              <w:spacing w:after="0"/>
            </w:pPr>
            <w:r>
              <w:rPr>
                <w:rFonts w:ascii="Segoe UI" w:hAnsi="Segoe UI" w:cs="Segoe UI"/>
                <w:sz w:val="17"/>
                <w:szCs w:val="17"/>
                <w:rtl/>
              </w:rPr>
              <w:t>6</w:t>
            </w:r>
          </w:p>
        </w:tc>
        <w:tc>
          <w:tcPr>
            <w:tcW w:type="dxa" w:w="3969"/>
            <w:shd w:val="clear" w:fill="F5F7FA"/>
          </w:tcPr>
          <w:p>
            <w:pPr>
              <w:bidi/>
              <w:spacing w:after="0"/>
              <w:jc w:val="center"/>
            </w:pPr>
            <w:r>
              <w:rPr>
                <w:rFonts w:ascii="Segoe UI" w:hAnsi="Segoe UI" w:cs="Segoe UI"/>
                <w:sz w:val="17"/>
                <w:szCs w:val="17"/>
                <w:rtl/>
              </w:rPr>
              <w:t>الرياض</w:t>
            </w:r>
          </w:p>
        </w:tc>
        <w:tc>
          <w:tcPr>
            <w:tcW w:type="dxa" w:w="1134"/>
            <w:shd w:val="clear" w:fill="F5F7FA"/>
          </w:tcPr>
          <w:p>
            <w:pPr>
              <w:bidi/>
              <w:spacing w:after="0"/>
              <w:jc w:val="center"/>
            </w:pPr>
            <w:r>
              <w:rPr>
                <w:rFonts w:ascii="Segoe UI" w:hAnsi="Segoe UI" w:cs="Segoe UI"/>
                <w:sz w:val="17"/>
                <w:szCs w:val="17"/>
                <w:rtl/>
              </w:rPr>
              <w:t>RUH</w:t>
            </w:r>
          </w:p>
        </w:tc>
        <w:tc>
          <w:tcPr>
            <w:tcW w:type="dxa" w:w="1701"/>
            <w:shd w:val="clear" w:fill="F5F7FA"/>
          </w:tcPr>
          <w:p>
            <w:pPr>
              <w:bidi/>
              <w:spacing w:after="0"/>
              <w:jc w:val="center"/>
            </w:pPr>
            <w:r>
              <w:rPr>
                <w:rFonts w:ascii="Segoe UI" w:hAnsi="Segoe UI" w:cs="Segoe UI"/>
                <w:sz w:val="17"/>
                <w:szCs w:val="17"/>
                <w:rtl/>
              </w:rPr>
              <w:t>740</w:t>
            </w:r>
          </w:p>
        </w:tc>
      </w:tr>
      <w:tr>
        <w:tc>
          <w:tcPr>
            <w:tcW w:type="dxa" w:w="567"/>
          </w:tcPr>
          <w:p>
            <w:pPr>
              <w:bidi/>
              <w:spacing w:after="0"/>
            </w:pPr>
            <w:r>
              <w:rPr>
                <w:rFonts w:ascii="Segoe UI" w:hAnsi="Segoe UI" w:cs="Segoe UI"/>
                <w:sz w:val="17"/>
                <w:szCs w:val="17"/>
                <w:rtl/>
              </w:rPr>
              <w:t>7</w:t>
            </w:r>
          </w:p>
        </w:tc>
        <w:tc>
          <w:tcPr>
            <w:tcW w:type="dxa" w:w="3969"/>
          </w:tcPr>
          <w:p>
            <w:pPr>
              <w:bidi/>
              <w:spacing w:after="0"/>
              <w:jc w:val="center"/>
            </w:pPr>
            <w:r>
              <w:rPr>
                <w:rFonts w:ascii="Segoe UI" w:hAnsi="Segoe UI" w:cs="Segoe UI"/>
                <w:sz w:val="17"/>
                <w:szCs w:val="17"/>
                <w:rtl/>
              </w:rPr>
              <w:t>إسطنبول</w:t>
            </w:r>
          </w:p>
        </w:tc>
        <w:tc>
          <w:tcPr>
            <w:tcW w:type="dxa" w:w="1134"/>
          </w:tcPr>
          <w:p>
            <w:pPr>
              <w:bidi/>
              <w:spacing w:after="0"/>
              <w:jc w:val="center"/>
            </w:pPr>
            <w:r>
              <w:rPr>
                <w:rFonts w:ascii="Segoe UI" w:hAnsi="Segoe UI" w:cs="Segoe UI"/>
                <w:sz w:val="17"/>
                <w:szCs w:val="17"/>
                <w:rtl/>
              </w:rPr>
              <w:t>IST</w:t>
            </w:r>
          </w:p>
        </w:tc>
        <w:tc>
          <w:tcPr>
            <w:tcW w:type="dxa" w:w="1701"/>
          </w:tcPr>
          <w:p>
            <w:pPr>
              <w:bidi/>
              <w:spacing w:after="0"/>
              <w:jc w:val="center"/>
            </w:pPr>
            <w:r>
              <w:rPr>
                <w:rFonts w:ascii="Segoe UI" w:hAnsi="Segoe UI" w:cs="Segoe UI"/>
                <w:sz w:val="17"/>
                <w:szCs w:val="17"/>
                <w:rtl/>
              </w:rPr>
              <w:t>730</w:t>
            </w:r>
          </w:p>
        </w:tc>
      </w:tr>
      <w:tr>
        <w:tc>
          <w:tcPr>
            <w:tcW w:type="dxa" w:w="567"/>
            <w:shd w:val="clear" w:fill="F5F7FA"/>
          </w:tcPr>
          <w:p>
            <w:pPr>
              <w:bidi/>
              <w:spacing w:after="0"/>
            </w:pPr>
            <w:r>
              <w:rPr>
                <w:rFonts w:ascii="Segoe UI" w:hAnsi="Segoe UI" w:cs="Segoe UI"/>
                <w:sz w:val="17"/>
                <w:szCs w:val="17"/>
                <w:rtl/>
              </w:rPr>
              <w:t>8</w:t>
            </w:r>
          </w:p>
        </w:tc>
        <w:tc>
          <w:tcPr>
            <w:tcW w:type="dxa" w:w="3969"/>
            <w:shd w:val="clear" w:fill="F5F7FA"/>
          </w:tcPr>
          <w:p>
            <w:pPr>
              <w:bidi/>
              <w:spacing w:after="0"/>
              <w:jc w:val="center"/>
            </w:pPr>
            <w:r>
              <w:rPr>
                <w:rFonts w:ascii="Segoe UI" w:hAnsi="Segoe UI" w:cs="Segoe UI"/>
                <w:sz w:val="17"/>
                <w:szCs w:val="17"/>
                <w:rtl/>
              </w:rPr>
              <w:t>جدة</w:t>
            </w:r>
          </w:p>
        </w:tc>
        <w:tc>
          <w:tcPr>
            <w:tcW w:type="dxa" w:w="1134"/>
            <w:shd w:val="clear" w:fill="F5F7FA"/>
          </w:tcPr>
          <w:p>
            <w:pPr>
              <w:bidi/>
              <w:spacing w:after="0"/>
              <w:jc w:val="center"/>
            </w:pPr>
            <w:r>
              <w:rPr>
                <w:rFonts w:ascii="Segoe UI" w:hAnsi="Segoe UI" w:cs="Segoe UI"/>
                <w:sz w:val="17"/>
                <w:szCs w:val="17"/>
                <w:rtl/>
              </w:rPr>
              <w:t>JED</w:t>
            </w:r>
          </w:p>
        </w:tc>
        <w:tc>
          <w:tcPr>
            <w:tcW w:type="dxa" w:w="1701"/>
            <w:shd w:val="clear" w:fill="F5F7FA"/>
          </w:tcPr>
          <w:p>
            <w:pPr>
              <w:bidi/>
              <w:spacing w:after="0"/>
              <w:jc w:val="center"/>
            </w:pPr>
            <w:r>
              <w:rPr>
                <w:rFonts w:ascii="Segoe UI" w:hAnsi="Segoe UI" w:cs="Segoe UI"/>
                <w:sz w:val="17"/>
                <w:szCs w:val="17"/>
                <w:rtl/>
              </w:rPr>
              <w:t>646</w:t>
            </w:r>
          </w:p>
        </w:tc>
      </w:tr>
    </w:tbl>
    <w:p>
      <w:pPr>
        <w:bidi/>
        <w:spacing w:after="40"/>
      </w:pPr>
    </w:p>
    <w:p>
      <w:pPr>
        <w:bidi/>
        <w:spacing w:after="60"/>
      </w:pPr>
      <w:r>
        <w:rPr>
          <w:rFonts w:ascii="Segoe UI" w:hAnsi="Segoe UI" w:cs="Segoe UI"/>
          <w:b/>
          <w:bCs/>
          <w:color w:val="0E8A5F"/>
          <w:sz w:val="23"/>
          <w:szCs w:val="23"/>
          <w:rtl/>
        </w:rPr>
        <w:t>حلب</w:t>
      </w:r>
    </w:p>
    <w:tbl>
      <w:tblPr>
        <w:tblStyle w:val="TableGrid"/>
        <w:bidiVisual/>
        <w:tblW w:type="auto" w:w="0"/>
        <w:jc w:val="center"/>
        <w:tblLayout w:type="fixed"/>
        <w:tblLook w:firstColumn="1" w:firstRow="1" w:lastColumn="0" w:lastRow="0" w:noHBand="0" w:noVBand="1" w:val="04A0"/>
      </w:tblPr>
      <w:tblGrid>
        <w:gridCol w:w="2409"/>
        <w:gridCol w:w="2409"/>
        <w:gridCol w:w="2409"/>
        <w:gridCol w:w="2409"/>
      </w:tblGrid>
      <w:tr>
        <w:tc>
          <w:tcPr>
            <w:tcW w:type="dxa" w:w="567"/>
            <w:shd w:val="clear" w:fill="0F2A5C"/>
          </w:tcPr>
          <w:p>
            <w:pPr>
              <w:bidi/>
              <w:spacing w:after="0"/>
              <w:jc w:val="center"/>
            </w:pPr>
            <w:r>
              <w:rPr>
                <w:rFonts w:ascii="Segoe UI" w:hAnsi="Segoe UI" w:cs="Segoe UI"/>
                <w:b/>
                <w:bCs/>
                <w:color w:val="FFFFFF"/>
                <w:sz w:val="17"/>
                <w:szCs w:val="17"/>
                <w:rtl/>
              </w:rPr>
              <w:t>#</w:t>
            </w:r>
          </w:p>
        </w:tc>
        <w:tc>
          <w:tcPr>
            <w:tcW w:type="dxa" w:w="3969"/>
            <w:shd w:val="clear" w:fill="0F2A5C"/>
          </w:tcPr>
          <w:p>
            <w:pPr>
              <w:bidi/>
              <w:spacing w:after="0"/>
              <w:jc w:val="center"/>
            </w:pPr>
            <w:r>
              <w:rPr>
                <w:rFonts w:ascii="Segoe UI" w:hAnsi="Segoe UI" w:cs="Segoe UI"/>
                <w:b/>
                <w:bCs/>
                <w:color w:val="FFFFFF"/>
                <w:sz w:val="17"/>
                <w:szCs w:val="17"/>
                <w:rtl/>
              </w:rPr>
              <w:t>الوجهة</w:t>
            </w:r>
          </w:p>
        </w:tc>
        <w:tc>
          <w:tcPr>
            <w:tcW w:type="dxa" w:w="1134"/>
            <w:shd w:val="clear" w:fill="0F2A5C"/>
          </w:tcPr>
          <w:p>
            <w:pPr>
              <w:bidi/>
              <w:spacing w:after="0"/>
              <w:jc w:val="center"/>
            </w:pPr>
            <w:r>
              <w:rPr>
                <w:rFonts w:ascii="Segoe UI" w:hAnsi="Segoe UI" w:cs="Segoe UI"/>
                <w:b/>
                <w:bCs/>
                <w:color w:val="FFFFFF"/>
                <w:sz w:val="17"/>
                <w:szCs w:val="17"/>
                <w:rtl/>
              </w:rPr>
              <w:t>الرمز</w:t>
            </w:r>
          </w:p>
        </w:tc>
        <w:tc>
          <w:tcPr>
            <w:tcW w:type="dxa" w:w="1701"/>
            <w:shd w:val="clear" w:fill="0F2A5C"/>
          </w:tcPr>
          <w:p>
            <w:pPr>
              <w:bidi/>
              <w:spacing w:after="0"/>
              <w:jc w:val="center"/>
            </w:pPr>
            <w:r>
              <w:rPr>
                <w:rFonts w:ascii="Segoe UI" w:hAnsi="Segoe UI" w:cs="Segoe UI"/>
                <w:b/>
                <w:bCs/>
                <w:color w:val="FFFFFF"/>
                <w:sz w:val="17"/>
                <w:szCs w:val="17"/>
                <w:rtl/>
              </w:rPr>
              <w:t>عدد الرحلات</w:t>
            </w:r>
          </w:p>
        </w:tc>
      </w:tr>
      <w:tr>
        <w:tc>
          <w:tcPr>
            <w:tcW w:type="dxa" w:w="567"/>
          </w:tcPr>
          <w:p>
            <w:pPr>
              <w:bidi/>
              <w:spacing w:after="0"/>
            </w:pPr>
            <w:r>
              <w:rPr>
                <w:rFonts w:ascii="Segoe UI" w:hAnsi="Segoe UI" w:cs="Segoe UI"/>
                <w:sz w:val="17"/>
                <w:szCs w:val="17"/>
                <w:rtl/>
              </w:rPr>
              <w:t>1</w:t>
            </w:r>
          </w:p>
        </w:tc>
        <w:tc>
          <w:tcPr>
            <w:tcW w:type="dxa" w:w="3969"/>
          </w:tcPr>
          <w:p>
            <w:pPr>
              <w:bidi/>
              <w:spacing w:after="0"/>
              <w:jc w:val="center"/>
            </w:pPr>
            <w:r>
              <w:rPr>
                <w:rFonts w:ascii="Segoe UI" w:hAnsi="Segoe UI" w:cs="Segoe UI"/>
                <w:sz w:val="17"/>
                <w:szCs w:val="17"/>
                <w:rtl/>
              </w:rPr>
              <w:t>عمّان</w:t>
            </w:r>
          </w:p>
        </w:tc>
        <w:tc>
          <w:tcPr>
            <w:tcW w:type="dxa" w:w="1134"/>
          </w:tcPr>
          <w:p>
            <w:pPr>
              <w:bidi/>
              <w:spacing w:after="0"/>
              <w:jc w:val="center"/>
            </w:pPr>
            <w:r>
              <w:rPr>
                <w:rFonts w:ascii="Segoe UI" w:hAnsi="Segoe UI" w:cs="Segoe UI"/>
                <w:sz w:val="17"/>
                <w:szCs w:val="17"/>
                <w:rtl/>
              </w:rPr>
              <w:t>AMM</w:t>
            </w:r>
          </w:p>
        </w:tc>
        <w:tc>
          <w:tcPr>
            <w:tcW w:type="dxa" w:w="1701"/>
          </w:tcPr>
          <w:p>
            <w:pPr>
              <w:bidi/>
              <w:spacing w:after="0"/>
              <w:jc w:val="center"/>
            </w:pPr>
            <w:r>
              <w:rPr>
                <w:rFonts w:ascii="Segoe UI" w:hAnsi="Segoe UI" w:cs="Segoe UI"/>
                <w:sz w:val="17"/>
                <w:szCs w:val="17"/>
                <w:rtl/>
              </w:rPr>
              <w:t>700</w:t>
            </w:r>
          </w:p>
        </w:tc>
      </w:tr>
      <w:tr>
        <w:tc>
          <w:tcPr>
            <w:tcW w:type="dxa" w:w="567"/>
            <w:shd w:val="clear" w:fill="F5F7FA"/>
          </w:tcPr>
          <w:p>
            <w:pPr>
              <w:bidi/>
              <w:spacing w:after="0"/>
            </w:pPr>
            <w:r>
              <w:rPr>
                <w:rFonts w:ascii="Segoe UI" w:hAnsi="Segoe UI" w:cs="Segoe UI"/>
                <w:sz w:val="17"/>
                <w:szCs w:val="17"/>
                <w:rtl/>
              </w:rPr>
              <w:t>2</w:t>
            </w:r>
          </w:p>
        </w:tc>
        <w:tc>
          <w:tcPr>
            <w:tcW w:type="dxa" w:w="3969"/>
            <w:shd w:val="clear" w:fill="F5F7FA"/>
          </w:tcPr>
          <w:p>
            <w:pPr>
              <w:bidi/>
              <w:spacing w:after="0"/>
              <w:jc w:val="center"/>
            </w:pPr>
            <w:r>
              <w:rPr>
                <w:rFonts w:ascii="Segoe UI" w:hAnsi="Segoe UI" w:cs="Segoe UI"/>
                <w:sz w:val="17"/>
                <w:szCs w:val="17"/>
                <w:rtl/>
              </w:rPr>
              <w:t>إسطنبول (صبيحة)</w:t>
            </w:r>
          </w:p>
        </w:tc>
        <w:tc>
          <w:tcPr>
            <w:tcW w:type="dxa" w:w="1134"/>
            <w:shd w:val="clear" w:fill="F5F7FA"/>
          </w:tcPr>
          <w:p>
            <w:pPr>
              <w:bidi/>
              <w:spacing w:after="0"/>
              <w:jc w:val="center"/>
            </w:pPr>
            <w:r>
              <w:rPr>
                <w:rFonts w:ascii="Segoe UI" w:hAnsi="Segoe UI" w:cs="Segoe UI"/>
                <w:sz w:val="17"/>
                <w:szCs w:val="17"/>
                <w:rtl/>
              </w:rPr>
              <w:t>SAW</w:t>
            </w:r>
          </w:p>
        </w:tc>
        <w:tc>
          <w:tcPr>
            <w:tcW w:type="dxa" w:w="1701"/>
            <w:shd w:val="clear" w:fill="F5F7FA"/>
          </w:tcPr>
          <w:p>
            <w:pPr>
              <w:bidi/>
              <w:spacing w:after="0"/>
              <w:jc w:val="center"/>
            </w:pPr>
            <w:r>
              <w:rPr>
                <w:rFonts w:ascii="Segoe UI" w:hAnsi="Segoe UI" w:cs="Segoe UI"/>
                <w:sz w:val="17"/>
                <w:szCs w:val="17"/>
                <w:rtl/>
              </w:rPr>
              <w:t>450</w:t>
            </w:r>
          </w:p>
        </w:tc>
      </w:tr>
      <w:tr>
        <w:tc>
          <w:tcPr>
            <w:tcW w:type="dxa" w:w="567"/>
          </w:tcPr>
          <w:p>
            <w:pPr>
              <w:bidi/>
              <w:spacing w:after="0"/>
            </w:pPr>
            <w:r>
              <w:rPr>
                <w:rFonts w:ascii="Segoe UI" w:hAnsi="Segoe UI" w:cs="Segoe UI"/>
                <w:sz w:val="17"/>
                <w:szCs w:val="17"/>
                <w:rtl/>
              </w:rPr>
              <w:t>3</w:t>
            </w:r>
          </w:p>
        </w:tc>
        <w:tc>
          <w:tcPr>
            <w:tcW w:type="dxa" w:w="3969"/>
          </w:tcPr>
          <w:p>
            <w:pPr>
              <w:bidi/>
              <w:spacing w:after="0"/>
              <w:jc w:val="center"/>
            </w:pPr>
            <w:r>
              <w:rPr>
                <w:rFonts w:ascii="Segoe UI" w:hAnsi="Segoe UI" w:cs="Segoe UI"/>
                <w:sz w:val="17"/>
                <w:szCs w:val="17"/>
                <w:rtl/>
              </w:rPr>
              <w:t>إسطنبول</w:t>
            </w:r>
          </w:p>
        </w:tc>
        <w:tc>
          <w:tcPr>
            <w:tcW w:type="dxa" w:w="1134"/>
          </w:tcPr>
          <w:p>
            <w:pPr>
              <w:bidi/>
              <w:spacing w:after="0"/>
              <w:jc w:val="center"/>
            </w:pPr>
            <w:r>
              <w:rPr>
                <w:rFonts w:ascii="Segoe UI" w:hAnsi="Segoe UI" w:cs="Segoe UI"/>
                <w:sz w:val="17"/>
                <w:szCs w:val="17"/>
                <w:rtl/>
              </w:rPr>
              <w:t>IST</w:t>
            </w:r>
          </w:p>
        </w:tc>
        <w:tc>
          <w:tcPr>
            <w:tcW w:type="dxa" w:w="1701"/>
          </w:tcPr>
          <w:p>
            <w:pPr>
              <w:bidi/>
              <w:spacing w:after="0"/>
              <w:jc w:val="center"/>
            </w:pPr>
            <w:r>
              <w:rPr>
                <w:rFonts w:ascii="Segoe UI" w:hAnsi="Segoe UI" w:cs="Segoe UI"/>
                <w:sz w:val="17"/>
                <w:szCs w:val="17"/>
                <w:rtl/>
              </w:rPr>
              <w:t>449</w:t>
            </w:r>
          </w:p>
        </w:tc>
      </w:tr>
      <w:tr>
        <w:tc>
          <w:tcPr>
            <w:tcW w:type="dxa" w:w="567"/>
            <w:shd w:val="clear" w:fill="F5F7FA"/>
          </w:tcPr>
          <w:p>
            <w:pPr>
              <w:bidi/>
              <w:spacing w:after="0"/>
            </w:pPr>
            <w:r>
              <w:rPr>
                <w:rFonts w:ascii="Segoe UI" w:hAnsi="Segoe UI" w:cs="Segoe UI"/>
                <w:sz w:val="17"/>
                <w:szCs w:val="17"/>
                <w:rtl/>
              </w:rPr>
              <w:t>4</w:t>
            </w:r>
          </w:p>
        </w:tc>
        <w:tc>
          <w:tcPr>
            <w:tcW w:type="dxa" w:w="3969"/>
            <w:shd w:val="clear" w:fill="F5F7FA"/>
          </w:tcPr>
          <w:p>
            <w:pPr>
              <w:bidi/>
              <w:spacing w:after="0"/>
              <w:jc w:val="center"/>
            </w:pPr>
            <w:r>
              <w:rPr>
                <w:rFonts w:ascii="Segoe UI" w:hAnsi="Segoe UI" w:cs="Segoe UI"/>
                <w:sz w:val="17"/>
                <w:szCs w:val="17"/>
                <w:rtl/>
              </w:rPr>
              <w:t>الشارقة</w:t>
            </w:r>
          </w:p>
        </w:tc>
        <w:tc>
          <w:tcPr>
            <w:tcW w:type="dxa" w:w="1134"/>
            <w:shd w:val="clear" w:fill="F5F7FA"/>
          </w:tcPr>
          <w:p>
            <w:pPr>
              <w:bidi/>
              <w:spacing w:after="0"/>
              <w:jc w:val="center"/>
            </w:pPr>
            <w:r>
              <w:rPr>
                <w:rFonts w:ascii="Segoe UI" w:hAnsi="Segoe UI" w:cs="Segoe UI"/>
                <w:sz w:val="17"/>
                <w:szCs w:val="17"/>
                <w:rtl/>
              </w:rPr>
              <w:t>SHJ</w:t>
            </w:r>
          </w:p>
        </w:tc>
        <w:tc>
          <w:tcPr>
            <w:tcW w:type="dxa" w:w="1701"/>
            <w:shd w:val="clear" w:fill="F5F7FA"/>
          </w:tcPr>
          <w:p>
            <w:pPr>
              <w:bidi/>
              <w:spacing w:after="0"/>
              <w:jc w:val="center"/>
            </w:pPr>
            <w:r>
              <w:rPr>
                <w:rFonts w:ascii="Segoe UI" w:hAnsi="Segoe UI" w:cs="Segoe UI"/>
                <w:sz w:val="17"/>
                <w:szCs w:val="17"/>
                <w:rtl/>
              </w:rPr>
              <w:t>201</w:t>
            </w:r>
          </w:p>
        </w:tc>
      </w:tr>
      <w:tr>
        <w:tc>
          <w:tcPr>
            <w:tcW w:type="dxa" w:w="567"/>
          </w:tcPr>
          <w:p>
            <w:pPr>
              <w:bidi/>
              <w:spacing w:after="0"/>
            </w:pPr>
            <w:r>
              <w:rPr>
                <w:rFonts w:ascii="Segoe UI" w:hAnsi="Segoe UI" w:cs="Segoe UI"/>
                <w:sz w:val="17"/>
                <w:szCs w:val="17"/>
                <w:rtl/>
              </w:rPr>
              <w:t>5</w:t>
            </w:r>
          </w:p>
        </w:tc>
        <w:tc>
          <w:tcPr>
            <w:tcW w:type="dxa" w:w="3969"/>
          </w:tcPr>
          <w:p>
            <w:pPr>
              <w:bidi/>
              <w:spacing w:after="0"/>
              <w:jc w:val="center"/>
            </w:pPr>
            <w:r>
              <w:rPr>
                <w:rFonts w:ascii="Segoe UI" w:hAnsi="Segoe UI" w:cs="Segoe UI"/>
                <w:sz w:val="17"/>
                <w:szCs w:val="17"/>
                <w:rtl/>
              </w:rPr>
              <w:t>دبي</w:t>
            </w:r>
          </w:p>
        </w:tc>
        <w:tc>
          <w:tcPr>
            <w:tcW w:type="dxa" w:w="1134"/>
          </w:tcPr>
          <w:p>
            <w:pPr>
              <w:bidi/>
              <w:spacing w:after="0"/>
              <w:jc w:val="center"/>
            </w:pPr>
            <w:r>
              <w:rPr>
                <w:rFonts w:ascii="Segoe UI" w:hAnsi="Segoe UI" w:cs="Segoe UI"/>
                <w:sz w:val="17"/>
                <w:szCs w:val="17"/>
                <w:rtl/>
              </w:rPr>
              <w:t>DXB</w:t>
            </w:r>
          </w:p>
        </w:tc>
        <w:tc>
          <w:tcPr>
            <w:tcW w:type="dxa" w:w="1701"/>
          </w:tcPr>
          <w:p>
            <w:pPr>
              <w:bidi/>
              <w:spacing w:after="0"/>
              <w:jc w:val="center"/>
            </w:pPr>
            <w:r>
              <w:rPr>
                <w:rFonts w:ascii="Segoe UI" w:hAnsi="Segoe UI" w:cs="Segoe UI"/>
                <w:sz w:val="17"/>
                <w:szCs w:val="17"/>
                <w:rtl/>
              </w:rPr>
              <w:t>98</w:t>
            </w:r>
          </w:p>
        </w:tc>
      </w:tr>
      <w:tr>
        <w:tc>
          <w:tcPr>
            <w:tcW w:type="dxa" w:w="567"/>
            <w:shd w:val="clear" w:fill="F5F7FA"/>
          </w:tcPr>
          <w:p>
            <w:pPr>
              <w:bidi/>
              <w:spacing w:after="0"/>
            </w:pPr>
            <w:r>
              <w:rPr>
                <w:rFonts w:ascii="Segoe UI" w:hAnsi="Segoe UI" w:cs="Segoe UI"/>
                <w:sz w:val="17"/>
                <w:szCs w:val="17"/>
                <w:rtl/>
              </w:rPr>
              <w:t>6</w:t>
            </w:r>
          </w:p>
        </w:tc>
        <w:tc>
          <w:tcPr>
            <w:tcW w:type="dxa" w:w="3969"/>
            <w:shd w:val="clear" w:fill="F5F7FA"/>
          </w:tcPr>
          <w:p>
            <w:pPr>
              <w:bidi/>
              <w:spacing w:after="0"/>
              <w:jc w:val="center"/>
            </w:pPr>
            <w:r>
              <w:rPr>
                <w:rFonts w:ascii="Segoe UI" w:hAnsi="Segoe UI" w:cs="Segoe UI"/>
                <w:sz w:val="17"/>
                <w:szCs w:val="17"/>
                <w:rtl/>
              </w:rPr>
              <w:t>جدة</w:t>
            </w:r>
          </w:p>
        </w:tc>
        <w:tc>
          <w:tcPr>
            <w:tcW w:type="dxa" w:w="1134"/>
            <w:shd w:val="clear" w:fill="F5F7FA"/>
          </w:tcPr>
          <w:p>
            <w:pPr>
              <w:bidi/>
              <w:spacing w:after="0"/>
              <w:jc w:val="center"/>
            </w:pPr>
            <w:r>
              <w:rPr>
                <w:rFonts w:ascii="Segoe UI" w:hAnsi="Segoe UI" w:cs="Segoe UI"/>
                <w:sz w:val="17"/>
                <w:szCs w:val="17"/>
                <w:rtl/>
              </w:rPr>
              <w:t>JED</w:t>
            </w:r>
          </w:p>
        </w:tc>
        <w:tc>
          <w:tcPr>
            <w:tcW w:type="dxa" w:w="1701"/>
            <w:shd w:val="clear" w:fill="F5F7FA"/>
          </w:tcPr>
          <w:p>
            <w:pPr>
              <w:bidi/>
              <w:spacing w:after="0"/>
              <w:jc w:val="center"/>
            </w:pPr>
            <w:r>
              <w:rPr>
                <w:rFonts w:ascii="Segoe UI" w:hAnsi="Segoe UI" w:cs="Segoe UI"/>
                <w:sz w:val="17"/>
                <w:szCs w:val="17"/>
                <w:rtl/>
              </w:rPr>
              <w:t>96</w:t>
            </w:r>
          </w:p>
        </w:tc>
      </w:tr>
      <w:tr>
        <w:tc>
          <w:tcPr>
            <w:tcW w:type="dxa" w:w="567"/>
          </w:tcPr>
          <w:p>
            <w:pPr>
              <w:bidi/>
              <w:spacing w:after="0"/>
            </w:pPr>
            <w:r>
              <w:rPr>
                <w:rFonts w:ascii="Segoe UI" w:hAnsi="Segoe UI" w:cs="Segoe UI"/>
                <w:sz w:val="17"/>
                <w:szCs w:val="17"/>
                <w:rtl/>
              </w:rPr>
              <w:t>7</w:t>
            </w:r>
          </w:p>
        </w:tc>
        <w:tc>
          <w:tcPr>
            <w:tcW w:type="dxa" w:w="3969"/>
          </w:tcPr>
          <w:p>
            <w:pPr>
              <w:bidi/>
              <w:spacing w:after="0"/>
              <w:jc w:val="center"/>
            </w:pPr>
            <w:r>
              <w:rPr>
                <w:rFonts w:ascii="Segoe UI" w:hAnsi="Segoe UI" w:cs="Segoe UI"/>
                <w:sz w:val="17"/>
                <w:szCs w:val="17"/>
                <w:rtl/>
              </w:rPr>
              <w:t>الدوحة</w:t>
            </w:r>
          </w:p>
        </w:tc>
        <w:tc>
          <w:tcPr>
            <w:tcW w:type="dxa" w:w="1134"/>
          </w:tcPr>
          <w:p>
            <w:pPr>
              <w:bidi/>
              <w:spacing w:after="0"/>
              <w:jc w:val="center"/>
            </w:pPr>
            <w:r>
              <w:rPr>
                <w:rFonts w:ascii="Segoe UI" w:hAnsi="Segoe UI" w:cs="Segoe UI"/>
                <w:sz w:val="17"/>
                <w:szCs w:val="17"/>
                <w:rtl/>
              </w:rPr>
              <w:t>DOH</w:t>
            </w:r>
          </w:p>
        </w:tc>
        <w:tc>
          <w:tcPr>
            <w:tcW w:type="dxa" w:w="1701"/>
          </w:tcPr>
          <w:p>
            <w:pPr>
              <w:bidi/>
              <w:spacing w:after="0"/>
              <w:jc w:val="center"/>
            </w:pPr>
            <w:r>
              <w:rPr>
                <w:rFonts w:ascii="Segoe UI" w:hAnsi="Segoe UI" w:cs="Segoe UI"/>
                <w:sz w:val="17"/>
                <w:szCs w:val="17"/>
                <w:rtl/>
              </w:rPr>
              <w:t>80</w:t>
            </w:r>
          </w:p>
        </w:tc>
      </w:tr>
      <w:tr>
        <w:tc>
          <w:tcPr>
            <w:tcW w:type="dxa" w:w="567"/>
            <w:shd w:val="clear" w:fill="F5F7FA"/>
          </w:tcPr>
          <w:p>
            <w:pPr>
              <w:bidi/>
              <w:spacing w:after="0"/>
            </w:pPr>
            <w:r>
              <w:rPr>
                <w:rFonts w:ascii="Segoe UI" w:hAnsi="Segoe UI" w:cs="Segoe UI"/>
                <w:sz w:val="17"/>
                <w:szCs w:val="17"/>
                <w:rtl/>
              </w:rPr>
              <w:t>8</w:t>
            </w:r>
          </w:p>
        </w:tc>
        <w:tc>
          <w:tcPr>
            <w:tcW w:type="dxa" w:w="3969"/>
            <w:shd w:val="clear" w:fill="F5F7FA"/>
          </w:tcPr>
          <w:p>
            <w:pPr>
              <w:bidi/>
              <w:spacing w:after="0"/>
              <w:jc w:val="center"/>
            </w:pPr>
            <w:r>
              <w:rPr>
                <w:rFonts w:ascii="Segoe UI" w:hAnsi="Segoe UI" w:cs="Segoe UI"/>
                <w:sz w:val="17"/>
                <w:szCs w:val="17"/>
                <w:rtl/>
              </w:rPr>
              <w:t>دمشق</w:t>
            </w:r>
          </w:p>
        </w:tc>
        <w:tc>
          <w:tcPr>
            <w:tcW w:type="dxa" w:w="1134"/>
            <w:shd w:val="clear" w:fill="F5F7FA"/>
          </w:tcPr>
          <w:p>
            <w:pPr>
              <w:bidi/>
              <w:spacing w:after="0"/>
              <w:jc w:val="center"/>
            </w:pPr>
            <w:r>
              <w:rPr>
                <w:rFonts w:ascii="Segoe UI" w:hAnsi="Segoe UI" w:cs="Segoe UI"/>
                <w:sz w:val="17"/>
                <w:szCs w:val="17"/>
                <w:rtl/>
              </w:rPr>
              <w:t>DAM</w:t>
            </w:r>
          </w:p>
        </w:tc>
        <w:tc>
          <w:tcPr>
            <w:tcW w:type="dxa" w:w="1701"/>
            <w:shd w:val="clear" w:fill="F5F7FA"/>
          </w:tcPr>
          <w:p>
            <w:pPr>
              <w:bidi/>
              <w:spacing w:after="0"/>
              <w:jc w:val="center"/>
            </w:pPr>
            <w:r>
              <w:rPr>
                <w:rFonts w:ascii="Segoe UI" w:hAnsi="Segoe UI" w:cs="Segoe UI"/>
                <w:sz w:val="17"/>
                <w:szCs w:val="17"/>
                <w:rtl/>
              </w:rPr>
              <w:t>72</w:t>
            </w:r>
          </w:p>
        </w:tc>
      </w:tr>
    </w:tbl>
    <w:p>
      <w:pPr>
        <w:bidi/>
        <w:spacing w:after="40"/>
      </w:pPr>
    </w:p>
    <w:p>
      <w:pPr>
        <w:bidi/>
        <w:spacing w:after="60"/>
      </w:pPr>
      <w:r>
        <w:rPr>
          <w:rFonts w:ascii="Segoe UI" w:hAnsi="Segoe UI" w:cs="Segoe UI"/>
          <w:b/>
          <w:bCs/>
          <w:color w:val="C2571A"/>
          <w:sz w:val="23"/>
          <w:szCs w:val="23"/>
          <w:rtl/>
        </w:rPr>
        <w:t>اللاذقية</w:t>
      </w:r>
    </w:p>
    <w:tbl>
      <w:tblPr>
        <w:tblStyle w:val="TableGrid"/>
        <w:bidiVisual/>
        <w:tblW w:type="auto" w:w="0"/>
        <w:jc w:val="center"/>
        <w:tblLayout w:type="fixed"/>
        <w:tblLook w:firstColumn="1" w:firstRow="1" w:lastColumn="0" w:lastRow="0" w:noHBand="0" w:noVBand="1" w:val="04A0"/>
      </w:tblPr>
      <w:tblGrid>
        <w:gridCol w:w="2409"/>
        <w:gridCol w:w="2409"/>
        <w:gridCol w:w="2409"/>
        <w:gridCol w:w="2409"/>
      </w:tblGrid>
      <w:tr>
        <w:tc>
          <w:tcPr>
            <w:tcW w:type="dxa" w:w="567"/>
            <w:shd w:val="clear" w:fill="0F2A5C"/>
          </w:tcPr>
          <w:p>
            <w:pPr>
              <w:bidi/>
              <w:spacing w:after="0"/>
              <w:jc w:val="center"/>
            </w:pPr>
            <w:r>
              <w:rPr>
                <w:rFonts w:ascii="Segoe UI" w:hAnsi="Segoe UI" w:cs="Segoe UI"/>
                <w:b/>
                <w:bCs/>
                <w:color w:val="FFFFFF"/>
                <w:sz w:val="17"/>
                <w:szCs w:val="17"/>
                <w:rtl/>
              </w:rPr>
              <w:t>#</w:t>
            </w:r>
          </w:p>
        </w:tc>
        <w:tc>
          <w:tcPr>
            <w:tcW w:type="dxa" w:w="3969"/>
            <w:shd w:val="clear" w:fill="0F2A5C"/>
          </w:tcPr>
          <w:p>
            <w:pPr>
              <w:bidi/>
              <w:spacing w:after="0"/>
              <w:jc w:val="center"/>
            </w:pPr>
            <w:r>
              <w:rPr>
                <w:rFonts w:ascii="Segoe UI" w:hAnsi="Segoe UI" w:cs="Segoe UI"/>
                <w:b/>
                <w:bCs/>
                <w:color w:val="FFFFFF"/>
                <w:sz w:val="17"/>
                <w:szCs w:val="17"/>
                <w:rtl/>
              </w:rPr>
              <w:t>الوجهة</w:t>
            </w:r>
          </w:p>
        </w:tc>
        <w:tc>
          <w:tcPr>
            <w:tcW w:type="dxa" w:w="1134"/>
            <w:shd w:val="clear" w:fill="0F2A5C"/>
          </w:tcPr>
          <w:p>
            <w:pPr>
              <w:bidi/>
              <w:spacing w:after="0"/>
              <w:jc w:val="center"/>
            </w:pPr>
            <w:r>
              <w:rPr>
                <w:rFonts w:ascii="Segoe UI" w:hAnsi="Segoe UI" w:cs="Segoe UI"/>
                <w:b/>
                <w:bCs/>
                <w:color w:val="FFFFFF"/>
                <w:sz w:val="17"/>
                <w:szCs w:val="17"/>
                <w:rtl/>
              </w:rPr>
              <w:t>الرمز</w:t>
            </w:r>
          </w:p>
        </w:tc>
        <w:tc>
          <w:tcPr>
            <w:tcW w:type="dxa" w:w="1701"/>
            <w:shd w:val="clear" w:fill="0F2A5C"/>
          </w:tcPr>
          <w:p>
            <w:pPr>
              <w:bidi/>
              <w:spacing w:after="0"/>
              <w:jc w:val="center"/>
            </w:pPr>
            <w:r>
              <w:rPr>
                <w:rFonts w:ascii="Segoe UI" w:hAnsi="Segoe UI" w:cs="Segoe UI"/>
                <w:b/>
                <w:bCs/>
                <w:color w:val="FFFFFF"/>
                <w:sz w:val="17"/>
                <w:szCs w:val="17"/>
                <w:rtl/>
              </w:rPr>
              <w:t>عدد الرحلات</w:t>
            </w:r>
          </w:p>
        </w:tc>
      </w:tr>
      <w:tr>
        <w:tc>
          <w:tcPr>
            <w:tcW w:type="dxa" w:w="567"/>
          </w:tcPr>
          <w:p>
            <w:pPr>
              <w:bidi/>
              <w:spacing w:after="0"/>
            </w:pPr>
            <w:r>
              <w:rPr>
                <w:rFonts w:ascii="Segoe UI" w:hAnsi="Segoe UI" w:cs="Segoe UI"/>
                <w:sz w:val="17"/>
                <w:szCs w:val="17"/>
                <w:rtl/>
              </w:rPr>
              <w:t>1</w:t>
            </w:r>
          </w:p>
        </w:tc>
        <w:tc>
          <w:tcPr>
            <w:tcW w:type="dxa" w:w="3969"/>
          </w:tcPr>
          <w:p>
            <w:pPr>
              <w:bidi/>
              <w:spacing w:after="0"/>
              <w:jc w:val="center"/>
            </w:pPr>
            <w:r>
              <w:rPr>
                <w:rFonts w:ascii="Segoe UI" w:hAnsi="Segoe UI" w:cs="Segoe UI"/>
                <w:sz w:val="17"/>
                <w:szCs w:val="17"/>
                <w:rtl/>
              </w:rPr>
              <w:t>تشكالوفسكي (قاعدة عسكرية، روسيا)</w:t>
            </w:r>
          </w:p>
        </w:tc>
        <w:tc>
          <w:tcPr>
            <w:tcW w:type="dxa" w:w="1134"/>
          </w:tcPr>
          <w:p>
            <w:pPr>
              <w:bidi/>
              <w:spacing w:after="0"/>
              <w:jc w:val="center"/>
            </w:pPr>
            <w:r>
              <w:rPr>
                <w:rFonts w:ascii="Segoe UI" w:hAnsi="Segoe UI" w:cs="Segoe UI"/>
                <w:sz w:val="17"/>
                <w:szCs w:val="17"/>
                <w:rtl/>
              </w:rPr>
              <w:t>CKL</w:t>
            </w:r>
          </w:p>
        </w:tc>
        <w:tc>
          <w:tcPr>
            <w:tcW w:type="dxa" w:w="1701"/>
          </w:tcPr>
          <w:p>
            <w:pPr>
              <w:bidi/>
              <w:spacing w:after="0"/>
              <w:jc w:val="center"/>
            </w:pPr>
            <w:r>
              <w:rPr>
                <w:rFonts w:ascii="Segoe UI" w:hAnsi="Segoe UI" w:cs="Segoe UI"/>
                <w:sz w:val="17"/>
                <w:szCs w:val="17"/>
                <w:rtl/>
              </w:rPr>
              <w:t>17</w:t>
            </w:r>
          </w:p>
        </w:tc>
      </w:tr>
      <w:tr>
        <w:tc>
          <w:tcPr>
            <w:tcW w:type="dxa" w:w="567"/>
            <w:shd w:val="clear" w:fill="F5F7FA"/>
          </w:tcPr>
          <w:p>
            <w:pPr>
              <w:bidi/>
              <w:spacing w:after="0"/>
            </w:pPr>
            <w:r>
              <w:rPr>
                <w:rFonts w:ascii="Segoe UI" w:hAnsi="Segoe UI" w:cs="Segoe UI"/>
                <w:sz w:val="17"/>
                <w:szCs w:val="17"/>
                <w:rtl/>
              </w:rPr>
              <w:t>2</w:t>
            </w:r>
          </w:p>
        </w:tc>
        <w:tc>
          <w:tcPr>
            <w:tcW w:type="dxa" w:w="3969"/>
            <w:shd w:val="clear" w:fill="F5F7FA"/>
          </w:tcPr>
          <w:p>
            <w:pPr>
              <w:bidi/>
              <w:spacing w:after="0"/>
              <w:jc w:val="center"/>
            </w:pPr>
            <w:r>
              <w:rPr>
                <w:rFonts w:ascii="Segoe UI" w:hAnsi="Segoe UI" w:cs="Segoe UI"/>
                <w:sz w:val="17"/>
                <w:szCs w:val="17"/>
                <w:rtl/>
              </w:rPr>
              <w:t>جوكوفسكي (روسيا)</w:t>
            </w:r>
          </w:p>
        </w:tc>
        <w:tc>
          <w:tcPr>
            <w:tcW w:type="dxa" w:w="1134"/>
            <w:shd w:val="clear" w:fill="F5F7FA"/>
          </w:tcPr>
          <w:p>
            <w:pPr>
              <w:bidi/>
              <w:spacing w:after="0"/>
              <w:jc w:val="center"/>
            </w:pPr>
            <w:r>
              <w:rPr>
                <w:rFonts w:ascii="Segoe UI" w:hAnsi="Segoe UI" w:cs="Segoe UI"/>
                <w:sz w:val="17"/>
                <w:szCs w:val="17"/>
                <w:rtl/>
              </w:rPr>
              <w:t>ZIA</w:t>
            </w:r>
          </w:p>
        </w:tc>
        <w:tc>
          <w:tcPr>
            <w:tcW w:type="dxa" w:w="1701"/>
            <w:shd w:val="clear" w:fill="F5F7FA"/>
          </w:tcPr>
          <w:p>
            <w:pPr>
              <w:bidi/>
              <w:spacing w:after="0"/>
              <w:jc w:val="center"/>
            </w:pPr>
            <w:r>
              <w:rPr>
                <w:rFonts w:ascii="Segoe UI" w:hAnsi="Segoe UI" w:cs="Segoe UI"/>
                <w:sz w:val="17"/>
                <w:szCs w:val="17"/>
                <w:rtl/>
              </w:rPr>
              <w:t>3</w:t>
            </w:r>
          </w:p>
        </w:tc>
      </w:tr>
      <w:tr>
        <w:tc>
          <w:tcPr>
            <w:tcW w:type="dxa" w:w="567"/>
          </w:tcPr>
          <w:p>
            <w:pPr>
              <w:bidi/>
              <w:spacing w:after="0"/>
            </w:pPr>
            <w:r>
              <w:rPr>
                <w:rFonts w:ascii="Segoe UI" w:hAnsi="Segoe UI" w:cs="Segoe UI"/>
                <w:sz w:val="17"/>
                <w:szCs w:val="17"/>
                <w:rtl/>
              </w:rPr>
              <w:t>3</w:t>
            </w:r>
          </w:p>
        </w:tc>
        <w:tc>
          <w:tcPr>
            <w:tcW w:type="dxa" w:w="3969"/>
          </w:tcPr>
          <w:p>
            <w:pPr>
              <w:bidi/>
              <w:spacing w:after="0"/>
              <w:jc w:val="center"/>
            </w:pPr>
            <w:r>
              <w:rPr>
                <w:rFonts w:ascii="Segoe UI" w:hAnsi="Segoe UI" w:cs="Segoe UI"/>
                <w:sz w:val="17"/>
                <w:szCs w:val="17"/>
                <w:rtl/>
              </w:rPr>
              <w:t>باماكو</w:t>
            </w:r>
          </w:p>
        </w:tc>
        <w:tc>
          <w:tcPr>
            <w:tcW w:type="dxa" w:w="1134"/>
          </w:tcPr>
          <w:p>
            <w:pPr>
              <w:bidi/>
              <w:spacing w:after="0"/>
              <w:jc w:val="center"/>
            </w:pPr>
            <w:r>
              <w:rPr>
                <w:rFonts w:ascii="Segoe UI" w:hAnsi="Segoe UI" w:cs="Segoe UI"/>
                <w:sz w:val="17"/>
                <w:szCs w:val="17"/>
                <w:rtl/>
              </w:rPr>
              <w:t>BKO</w:t>
            </w:r>
          </w:p>
        </w:tc>
        <w:tc>
          <w:tcPr>
            <w:tcW w:type="dxa" w:w="1701"/>
          </w:tcPr>
          <w:p>
            <w:pPr>
              <w:bidi/>
              <w:spacing w:after="0"/>
              <w:jc w:val="center"/>
            </w:pPr>
            <w:r>
              <w:rPr>
                <w:rFonts w:ascii="Segoe UI" w:hAnsi="Segoe UI" w:cs="Segoe UI"/>
                <w:sz w:val="17"/>
                <w:szCs w:val="17"/>
                <w:rtl/>
              </w:rPr>
              <w:t>1</w:t>
            </w:r>
          </w:p>
        </w:tc>
      </w:tr>
      <w:tr>
        <w:tc>
          <w:tcPr>
            <w:tcW w:type="dxa" w:w="567"/>
            <w:shd w:val="clear" w:fill="F5F7FA"/>
          </w:tcPr>
          <w:p>
            <w:pPr>
              <w:bidi/>
              <w:spacing w:after="0"/>
            </w:pPr>
            <w:r>
              <w:rPr>
                <w:rFonts w:ascii="Segoe UI" w:hAnsi="Segoe UI" w:cs="Segoe UI"/>
                <w:sz w:val="17"/>
                <w:szCs w:val="17"/>
                <w:rtl/>
              </w:rPr>
              <w:t>4</w:t>
            </w:r>
          </w:p>
        </w:tc>
        <w:tc>
          <w:tcPr>
            <w:tcW w:type="dxa" w:w="3969"/>
            <w:shd w:val="clear" w:fill="F5F7FA"/>
          </w:tcPr>
          <w:p>
            <w:pPr>
              <w:bidi/>
              <w:spacing w:after="0"/>
              <w:jc w:val="center"/>
            </w:pPr>
            <w:r>
              <w:rPr>
                <w:rFonts w:ascii="Segoe UI" w:hAnsi="Segoe UI" w:cs="Segoe UI"/>
                <w:sz w:val="17"/>
                <w:szCs w:val="17"/>
                <w:rtl/>
              </w:rPr>
              <w:t>برازافيل</w:t>
            </w:r>
          </w:p>
        </w:tc>
        <w:tc>
          <w:tcPr>
            <w:tcW w:type="dxa" w:w="1134"/>
            <w:shd w:val="clear" w:fill="F5F7FA"/>
          </w:tcPr>
          <w:p>
            <w:pPr>
              <w:bidi/>
              <w:spacing w:after="0"/>
              <w:jc w:val="center"/>
            </w:pPr>
            <w:r>
              <w:rPr>
                <w:rFonts w:ascii="Segoe UI" w:hAnsi="Segoe UI" w:cs="Segoe UI"/>
                <w:sz w:val="17"/>
                <w:szCs w:val="17"/>
                <w:rtl/>
              </w:rPr>
              <w:t>BZV</w:t>
            </w:r>
          </w:p>
        </w:tc>
        <w:tc>
          <w:tcPr>
            <w:tcW w:type="dxa" w:w="1701"/>
            <w:shd w:val="clear" w:fill="F5F7FA"/>
          </w:tcPr>
          <w:p>
            <w:pPr>
              <w:bidi/>
              <w:spacing w:after="0"/>
              <w:jc w:val="center"/>
            </w:pPr>
            <w:r>
              <w:rPr>
                <w:rFonts w:ascii="Segoe UI" w:hAnsi="Segoe UI" w:cs="Segoe UI"/>
                <w:sz w:val="17"/>
                <w:szCs w:val="17"/>
                <w:rtl/>
              </w:rPr>
              <w:t>1</w:t>
            </w:r>
          </w:p>
        </w:tc>
      </w:tr>
    </w:tbl>
    <w:p>
      <w:pPr>
        <w:bidi/>
        <w:spacing w:after="40"/>
      </w:pPr>
    </w:p>
    <w:p>
      <w:r>
        <w:br w:type="page"/>
      </w:r>
    </w:p>
    <w:p>
      <w:pPr>
        <w:bidi/>
        <w:spacing w:after="200"/>
        <w:outlineLvl w:val="0"/>
      </w:pPr>
      <w:r>
        <w:rPr>
          <w:rFonts w:ascii="Segoe UI" w:hAnsi="Segoe UI" w:cs="Segoe UI"/>
          <w:b/>
          <w:bCs/>
          <w:color w:val="0F2A5C"/>
          <w:sz w:val="34"/>
          <w:szCs w:val="34"/>
          <w:rtl/>
        </w:rPr>
        <w:t>8. إيقاع التشغيل اليومي والأسبوعي</w:t>
      </w:r>
    </w:p>
    <w:p xmlns:w="http://schemas.openxmlformats.org/wordprocessingml/2006/main">
      <w:pPr>
        <w:bidi/>
        <w:jc w:val="center"/>
      </w:pPr>
      <w:drawing>
        <wp:inline xmlns:wp="http://schemas.openxmlformats.org/drawingml/2006/wordprocessingDrawing" distT="0" distB="0" distL="0" distR="0">
          <wp:extent cx="5212080" cy="3108960"/>
          <wp:effectExtent l="0" t="0" r="0" b="0"/>
          <wp:docPr id="1009" name="Chart hourly"/>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9"/>
            </a:graphicData>
          </a:graphic>
        </wp:inline>
      </w:drawing>
    </w:p>
    <w:p>
      <w:pPr>
        <w:bidi/>
        <w:spacing w:after="200"/>
      </w:pPr>
      <w:r>
        <w:rPr>
          <w:rFonts w:ascii="Segoe UI" w:hAnsi="Segoe UI" w:cs="Segoe UI"/>
          <w:color w:val="6B7280"/>
          <w:sz w:val="19"/>
          <w:szCs w:val="19"/>
          <w:rtl/>
        </w:rPr>
        <w:t>الشكل 12 — التوزيع الساعي (توقيت دمشق): دمشق يعمل بمنحنى مزدوج الذروة تمتد من التاسعة صباحاً حتى الرابعة عشرة (ذروته 14:00) ثم موجة مسائية؛ حلب يتركز في نافذة الصباح الباكر (ذروة 07:00)؛ واللاذقية ذروتها عصراً (17:00) (رسم قابل للتحرير).</w:t>
      </w:r>
    </w:p>
    <w:p xmlns:w="http://schemas.openxmlformats.org/wordprocessingml/2006/main">
      <w:pPr>
        <w:bidi/>
        <w:jc w:val="center"/>
      </w:pPr>
      <w:drawing>
        <wp:inline xmlns:wp="http://schemas.openxmlformats.org/drawingml/2006/wordprocessingDrawing" distT="0" distB="0" distL="0" distR="0">
          <wp:extent cx="5212080" cy="3108960"/>
          <wp:effectExtent l="0" t="0" r="0" b="0"/>
          <wp:docPr id="1010" name="Chart dow"/>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10"/>
            </a:graphicData>
          </a:graphic>
        </wp:inline>
      </w:drawing>
    </w:p>
    <w:p>
      <w:pPr>
        <w:bidi/>
        <w:spacing w:after="200"/>
      </w:pPr>
      <w:r>
        <w:rPr>
          <w:rFonts w:ascii="Segoe UI" w:hAnsi="Segoe UI" w:cs="Segoe UI"/>
          <w:color w:val="6B7280"/>
          <w:sz w:val="19"/>
          <w:szCs w:val="19"/>
          <w:rtl/>
        </w:rPr>
        <w:t>الشكل 13 — توزيع الحركة على أيام الأسبوع: التباين محدود (تفاوت ضمن بضع نقاط مئوية) — سمة خطوط منتظمة.</w:t>
      </w:r>
    </w:p>
    <w:p>
      <w:r>
        <w:br w:type="page"/>
      </w:r>
    </w:p>
    <w:p>
      <w:pPr>
        <w:bidi/>
        <w:spacing w:after="200"/>
        <w:outlineLvl w:val="0"/>
      </w:pPr>
      <w:r>
        <w:rPr>
          <w:rFonts w:ascii="Segoe UI" w:hAnsi="Segoe UI" w:cs="Segoe UI"/>
          <w:b/>
          <w:bCs/>
          <w:color w:val="0F2A5C"/>
          <w:sz w:val="34"/>
          <w:szCs w:val="34"/>
          <w:rtl/>
        </w:rPr>
        <w:t>9. الأسطول: أنواع الطائرات وبصمة المسافات</w:t>
      </w:r>
    </w:p>
    <w:p xmlns:w="http://schemas.openxmlformats.org/wordprocessingml/2006/main">
      <w:pPr>
        <w:bidi/>
        <w:jc w:val="center"/>
      </w:pPr>
      <w:drawing>
        <wp:inline xmlns:wp="http://schemas.openxmlformats.org/drawingml/2006/wordprocessingDrawing" distT="0" distB="0" distL="0" distR="0">
          <wp:extent cx="5212080" cy="3931920"/>
          <wp:effectExtent l="0" t="0" r="0" b="0"/>
          <wp:docPr id="1011" name="Chart types"/>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11"/>
            </a:graphicData>
          </a:graphic>
        </wp:inline>
      </w:drawing>
    </w:p>
    <w:p>
      <w:pPr>
        <w:bidi/>
        <w:spacing w:after="200"/>
      </w:pPr>
      <w:r>
        <w:rPr>
          <w:rFonts w:ascii="Segoe UI" w:hAnsi="Segoe UI" w:cs="Segoe UI"/>
          <w:color w:val="6B7280"/>
          <w:sz w:val="19"/>
          <w:szCs w:val="19"/>
          <w:rtl/>
        </w:rPr>
        <w:t>الشكل 14 — أكثر 10 أنواع طائرات تشغيلاً: عائلة A320 تتصدر دمشق وحلب، وتحضر الطائرات العريضة (A330/B777/B787) في دمشق عبر القطرية والإمارات والاتحاد (رسم قابل للتحرير).</w:t>
      </w:r>
    </w:p>
    <w:p xmlns:w="http://schemas.openxmlformats.org/wordprocessingml/2006/main">
      <w:pPr>
        <w:bidi/>
        <w:jc w:val="center"/>
      </w:pPr>
      <w:drawing>
        <wp:inline xmlns:wp="http://schemas.openxmlformats.org/drawingml/2006/wordprocessingDrawing" distT="0" distB="0" distL="0" distR="0">
          <wp:extent cx="4480560" cy="2834640"/>
          <wp:effectExtent l="0" t="0" r="0" b="0"/>
          <wp:docPr id="1012" name="Chart ft_median"/>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12"/>
            </a:graphicData>
          </a:graphic>
        </wp:inline>
      </w:drawing>
    </w:p>
    <w:p>
      <w:pPr>
        <w:bidi/>
        <w:spacing w:after="200"/>
      </w:pPr>
      <w:r>
        <w:rPr>
          <w:rFonts w:ascii="Segoe UI" w:hAnsi="Segoe UI" w:cs="Segoe UI"/>
          <w:color w:val="6B7280"/>
          <w:sz w:val="19"/>
          <w:szCs w:val="19"/>
          <w:rtl/>
        </w:rPr>
        <w:t>الشكل 15 — وسيط زمن الرحلة: رحلات اللاذقية أطول بكثير (250 دقيقة) لأنها تصل إلى روسيا وإفريقيا (رسم قابل للتحرير).</w:t>
      </w:r>
    </w:p>
    <w:p xmlns:w="http://schemas.openxmlformats.org/wordprocessingml/2006/main">
      <w:pPr>
        <w:bidi/>
        <w:jc w:val="center"/>
      </w:pPr>
      <w:drawing>
        <wp:inline xmlns:wp="http://schemas.openxmlformats.org/drawingml/2006/wordprocessingDrawing" distT="0" distB="0" distL="0" distR="0">
          <wp:extent cx="4480560" cy="2834640"/>
          <wp:effectExtent l="0" t="0" r="0" b="0"/>
          <wp:docPr id="1013" name="Chart dist_median"/>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13"/>
            </a:graphicData>
          </a:graphic>
        </wp:inline>
      </w:drawing>
    </w:p>
    <w:p>
      <w:pPr>
        <w:bidi/>
        <w:spacing w:after="200"/>
      </w:pPr>
      <w:r>
        <w:rPr>
          <w:rFonts w:ascii="Segoe UI" w:hAnsi="Segoe UI" w:cs="Segoe UI"/>
          <w:color w:val="6B7280"/>
          <w:sz w:val="19"/>
          <w:szCs w:val="19"/>
          <w:rtl/>
        </w:rPr>
        <w:t>الشكل 16 — وسيط المسافة المقطوعة: دمشق 1,485 كم (نطاق خليجي-إقليمي) وحلب 1,026 كم لأن شبكتها إقليمية بالأساس (رسم قابل للتحرير).</w:t>
      </w:r>
    </w:p>
    <w:p xmlns:w="http://schemas.openxmlformats.org/wordprocessingml/2006/main">
      <w:pPr>
        <w:bidi/>
        <w:jc w:val="center"/>
      </w:pPr>
      <w:drawing>
        <wp:inline xmlns:wp="http://schemas.openxmlformats.org/drawingml/2006/wordprocessingDrawing" distT="0" distB="0" distL="0" distR="0">
          <wp:extent cx="4480560" cy="2834640"/>
          <wp:effectExtent l="0" t="0" r="0" b="0"/>
          <wp:docPr id="1014" name="Chart widebody"/>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14"/>
            </a:graphicData>
          </a:graphic>
        </wp:inline>
      </w:drawing>
    </w:p>
    <w:p>
      <w:pPr>
        <w:bidi/>
        <w:spacing w:after="200"/>
      </w:pPr>
      <w:r>
        <w:rPr>
          <w:rFonts w:ascii="Segoe UI" w:hAnsi="Segoe UI" w:cs="Segoe UI"/>
          <w:color w:val="6B7280"/>
          <w:sz w:val="19"/>
          <w:szCs w:val="19"/>
          <w:rtl/>
        </w:rPr>
        <w:t>الشكل 17 — حصة الطائرات العريضة البدن: مؤشر «بوصلة نضج الشبكة» — دمشق 9.9% مقابل 3.7% فقط في حلب؛ أي أن حلب لم تدخل بعد طور الطائرات الكبيرة وهامش نموها في حجم المقاعد لا يزال واسعاً (رسم قابل للتحرير).</w:t>
      </w:r>
    </w:p>
    <w:p>
      <w:r>
        <w:br w:type="page"/>
      </w:r>
    </w:p>
    <w:p>
      <w:pPr>
        <w:bidi/>
        <w:spacing w:after="200"/>
        <w:outlineLvl w:val="0"/>
      </w:pPr>
      <w:r>
        <w:rPr>
          <w:rFonts w:ascii="Segoe UI" w:hAnsi="Segoe UI" w:cs="Segoe UI"/>
          <w:b/>
          <w:bCs/>
          <w:color w:val="0F2A5C"/>
          <w:sz w:val="34"/>
          <w:szCs w:val="34"/>
          <w:rtl/>
        </w:rPr>
        <w:t>10. اللاذقية: جسر جوي عسكري</w:t>
      </w:r>
    </w:p>
    <w:p>
      <w:pPr>
        <w:bidi/>
        <w:spacing w:after="120"/>
      </w:pPr>
      <w:r>
        <w:rPr>
          <w:rFonts w:ascii="Segoe UI" w:hAnsi="Segoe UI" w:cs="Segoe UI"/>
          <w:sz w:val="22"/>
          <w:szCs w:val="22"/>
          <w:rtl/>
        </w:rPr>
        <w:t>تحتل اللاذقية موقعاً خاصاً في هذه المقارنة: خلال 20 شهراً لم تسجل سوى 252 حركة (بمعدل 13.3 حركة شهرياً)، منها 96.0% عسكري وحكومي. المشغّل المهيمن هو القوات الجوية الروسية بتنويعاتها، بطائرات شحن استراتيجي IL-76 وAn-124 وطائرات ركاب قديمة طراز Tu-154/Tu-134.</w:t>
      </w:r>
    </w:p>
    <w:p xmlns:w="http://schemas.openxmlformats.org/wordprocessingml/2006/main">
      <w:pPr>
        <w:bidi/>
        <w:jc w:val="center"/>
      </w:pPr>
      <w:drawing>
        <wp:inline xmlns:wp="http://schemas.openxmlformats.org/drawingml/2006/wordprocessingDrawing" distT="0" distB="0" distL="0" distR="0">
          <wp:extent cx="5212080" cy="3017520"/>
          <wp:effectExtent l="0" t="0" r="0" b="0"/>
          <wp:docPr id="1016" name="Chart ltk_monthly"/>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16"/>
            </a:graphicData>
          </a:graphic>
        </wp:inline>
      </w:drawing>
    </w:p>
    <w:p>
      <w:pPr>
        <w:bidi/>
        <w:spacing w:after="200"/>
      </w:pPr>
      <w:r>
        <w:rPr>
          <w:rFonts w:ascii="Segoe UI" w:hAnsi="Segoe UI" w:cs="Segoe UI"/>
          <w:color w:val="6B7280"/>
          <w:sz w:val="19"/>
          <w:szCs w:val="19"/>
          <w:rtl/>
        </w:rPr>
        <w:t>الشكل 18 — الحركة الشهرية في اللاذقية: قفزة لافتة في ديسمبر 2025 (37 حركة) ثم نشاط متقطع (رسم قابل للتحرير).</w:t>
      </w:r>
    </w:p>
    <w:p xmlns:w="http://schemas.openxmlformats.org/wordprocessingml/2006/main">
      <w:pPr>
        <w:bidi/>
        <w:jc w:val="center"/>
      </w:pPr>
      <w:drawing>
        <wp:inline xmlns:wp="http://schemas.openxmlformats.org/drawingml/2006/wordprocessingDrawing" distT="0" distB="0" distL="0" distR="0">
          <wp:extent cx="5212080" cy="3017520"/>
          <wp:effectExtent l="0" t="0" r="0" b="0"/>
          <wp:docPr id="1017" name="Chart ltk_ops"/>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17"/>
            </a:graphicData>
          </a:graphic>
        </wp:inline>
      </w:drawing>
    </w:p>
    <w:p>
      <w:pPr>
        <w:bidi/>
        <w:spacing w:after="200"/>
      </w:pPr>
      <w:r>
        <w:rPr>
          <w:rFonts w:ascii="Segoe UI" w:hAnsi="Segoe UI" w:cs="Segoe UI"/>
          <w:color w:val="6B7280"/>
          <w:sz w:val="19"/>
          <w:szCs w:val="19"/>
          <w:rtl/>
        </w:rPr>
        <w:t>الشكل 19 — المشغّلون: 93.3% من الحركات بارتباط روسي مباشر أو بنمط عسكري واضح (رسم قابل للتحرير).</w:t>
      </w:r>
    </w:p>
    <w:p xmlns:w="http://schemas.openxmlformats.org/wordprocessingml/2006/main">
      <w:pPr>
        <w:bidi/>
        <w:jc w:val="center"/>
      </w:pPr>
      <w:drawing>
        <wp:inline xmlns:wp="http://schemas.openxmlformats.org/drawingml/2006/wordprocessingDrawing" distT="0" distB="0" distL="0" distR="0">
          <wp:extent cx="5212080" cy="3017520"/>
          <wp:effectExtent l="0" t="0" r="0" b="0"/>
          <wp:docPr id="1018" name="Chart ltk_types"/>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18"/>
            </a:graphicData>
          </a:graphic>
        </wp:inline>
      </w:drawing>
    </w:p>
    <w:p>
      <w:pPr>
        <w:bidi/>
        <w:spacing w:after="200"/>
      </w:pPr>
      <w:r>
        <w:rPr>
          <w:rFonts w:ascii="Segoe UI" w:hAnsi="Segoe UI" w:cs="Segoe UI"/>
          <w:color w:val="6B7280"/>
          <w:sz w:val="19"/>
          <w:szCs w:val="19"/>
          <w:rtl/>
        </w:rPr>
        <w:t>الشكل 20 — أنواع الطائرات: IL-76 وAn-124 يهيمنان على حركة المطار (رسم قابل للتحرير).</w:t>
      </w:r>
    </w:p>
    <w:p>
      <w:pPr>
        <w:bidi/>
        <w:spacing w:after="80"/>
      </w:pPr>
      <w:r>
        <w:rPr>
          <w:rFonts w:ascii="Segoe UI" w:hAnsi="Segoe UI" w:cs="Segoe UI"/>
          <w:color w:val="1D4ED8"/>
          <w:sz w:val="21"/>
          <w:szCs w:val="21"/>
          <w:rtl/>
        </w:rPr>
        <w:t xml:space="preserve">◆ </w:t>
      </w:r>
      <w:r>
        <w:rPr>
          <w:rFonts w:ascii="Segoe UI" w:hAnsi="Segoe UI" w:cs="Segoe UI"/>
          <w:b/>
          <w:bCs/>
          <w:sz w:val="22"/>
          <w:szCs w:val="22"/>
          <w:rtl/>
        </w:rPr>
        <w:t>الوجهة الأولى قاعدة عسكرية:</w:t>
      </w:r>
      <w:r>
        <w:rPr>
          <w:rFonts w:ascii="Segoe UI" w:hAnsi="Segoe UI" w:cs="Segoe UI"/>
          <w:sz w:val="22"/>
          <w:szCs w:val="22"/>
          <w:rtl/>
        </w:rPr>
        <w:t xml:space="preserve"> مطار تشكالوفسكي (CKL) قرب موسكو يستقبل 52 رحلة من حركات اللاذقية المرتبطة به — جسر إمداد لوجستي واضح المعالم، مع ظهور جوكوفسكي وشيريميتيفو ومدن روسية أخرى.</w:t>
      </w:r>
    </w:p>
    <w:p>
      <w:pPr>
        <w:bidi/>
        <w:spacing w:after="80"/>
      </w:pPr>
      <w:r>
        <w:rPr>
          <w:rFonts w:ascii="Segoe UI" w:hAnsi="Segoe UI" w:cs="Segoe UI"/>
          <w:color w:val="1D4ED8"/>
          <w:sz w:val="21"/>
          <w:szCs w:val="21"/>
          <w:rtl/>
        </w:rPr>
        <w:t xml:space="preserve">◆ </w:t>
      </w:r>
      <w:r>
        <w:rPr>
          <w:rFonts w:ascii="Segoe UI" w:hAnsi="Segoe UI" w:cs="Segoe UI"/>
          <w:b/>
          <w:bCs/>
          <w:sz w:val="22"/>
          <w:szCs w:val="22"/>
          <w:rtl/>
        </w:rPr>
        <w:t>ذيل إفريقي:</w:t>
      </w:r>
      <w:r>
        <w:rPr>
          <w:rFonts w:ascii="Segoe UI" w:hAnsi="Segoe UI" w:cs="Segoe UI"/>
          <w:sz w:val="22"/>
          <w:szCs w:val="22"/>
          <w:rtl/>
        </w:rPr>
        <w:t xml:space="preserve"> تسجل البيانات رحلات متفرقة نحو باماكو وبرازافيل ولومي ودار السلام — نمط مميز لعمليات نقل عسكري/دبلوماسي بعيدة المدى بطائرات An-124.</w:t>
      </w:r>
    </w:p>
    <w:p>
      <w:pPr>
        <w:bidi/>
        <w:spacing w:after="80"/>
      </w:pPr>
      <w:r>
        <w:rPr>
          <w:rFonts w:ascii="Segoe UI" w:hAnsi="Segoe UI" w:cs="Segoe UI"/>
          <w:color w:val="1D4ED8"/>
          <w:sz w:val="21"/>
          <w:szCs w:val="21"/>
          <w:rtl/>
        </w:rPr>
        <w:t xml:space="preserve">◆ </w:t>
      </w:r>
      <w:r>
        <w:rPr>
          <w:rFonts w:ascii="Segoe UI" w:hAnsi="Segoe UI" w:cs="Segoe UI"/>
          <w:b/>
          <w:bCs/>
          <w:sz w:val="22"/>
          <w:szCs w:val="22"/>
          <w:rtl/>
        </w:rPr>
        <w:t>لا شبهة مدنية تقريباً:</w:t>
      </w:r>
      <w:r>
        <w:rPr>
          <w:rFonts w:ascii="Segoe UI" w:hAnsi="Segoe UI" w:cs="Segoe UI"/>
          <w:sz w:val="22"/>
          <w:szCs w:val="22"/>
          <w:rtl/>
        </w:rPr>
        <w:t xml:space="preserve"> رحلات الركاب المنتظمة غائبة، والطيران المدني في المطار شبه موقوف خلال فترة البيانات، خلافاً لدمشق وحلب.</w:t>
      </w:r>
    </w:p>
    <w:p>
      <w:pPr>
        <w:shd w:val="clear" w:fill="FFF7ED"/>
        <w:bidi/>
        <w:spacing w:after="160"/>
      </w:pPr>
      <w:r>
        <w:rPr>
          <w:rFonts w:ascii="Segoe UI" w:hAnsi="Segoe UI" w:cs="Segoe UI"/>
          <w:color w:val="374151"/>
          <w:sz w:val="21"/>
          <w:szCs w:val="21"/>
          <w:rtl/>
        </w:rPr>
        <w:t>حدود التفسير: خلص التحليل إلى «الارتباط الروسي» من واقع المشغّل المسجّل (RFF وأخواتها)، واللوحة المرسومة على الطائرات (painted_as = RFF في معظم السجلات)، وأنماط الطائرات والوجهات. بعض السجلات (52) بلا مشغّل معلن، لكن 42 منها مصنفة «عسكري وحكومي» و37 منها طائرات An-124 — لذا فالنسبة المذكورة (93.3%) تحفظية والنسبة الفعلية أعلى منها على الأرجح.</w:t>
      </w:r>
    </w:p>
    <w:p>
      <w:r>
        <w:br w:type="page"/>
      </w:r>
    </w:p>
    <w:p>
      <w:pPr>
        <w:bidi/>
        <w:spacing w:after="200"/>
        <w:outlineLvl w:val="0"/>
      </w:pPr>
      <w:r>
        <w:rPr>
          <w:rFonts w:ascii="Segoe UI" w:hAnsi="Segoe UI" w:cs="Segoe UI"/>
          <w:b/>
          <w:bCs/>
          <w:color w:val="0F2A5C"/>
          <w:sz w:val="34"/>
          <w:szCs w:val="34"/>
          <w:rtl/>
        </w:rPr>
        <w:t>11. الخلاصة التحليلية</w:t>
      </w:r>
    </w:p>
    <w:p>
      <w:pPr>
        <w:bidi/>
        <w:spacing w:after="120"/>
      </w:pPr>
      <w:r>
        <w:rPr>
          <w:rFonts w:ascii="Segoe UI" w:hAnsi="Segoe UI" w:cs="Segoe UI"/>
          <w:sz w:val="23"/>
          <w:szCs w:val="23"/>
          <w:rtl/>
        </w:rPr>
        <w:t>تروي بيانات المطارات الثلاثة قصة واحدة بثلاثة فصول:</w:t>
      </w:r>
    </w:p>
    <w:p>
      <w:pPr>
        <w:bidi/>
        <w:spacing w:after="60"/>
      </w:pPr>
      <w:r>
        <w:rPr>
          <w:rFonts w:ascii="Segoe UI" w:hAnsi="Segoe UI" w:cs="Segoe UI"/>
          <w:b/>
          <w:bCs/>
          <w:color w:val="1E5AA8"/>
          <w:sz w:val="25"/>
          <w:szCs w:val="25"/>
          <w:rtl/>
        </w:rPr>
        <w:t>دمشق — الاستقرار بعد الاستعادة</w:t>
      </w:r>
    </w:p>
    <w:p>
      <w:pPr>
        <w:bidi/>
        <w:spacing w:after="120"/>
      </w:pPr>
      <w:r>
        <w:rPr>
          <w:rFonts w:ascii="Segoe UI" w:hAnsi="Segoe UI" w:cs="Segoe UI"/>
          <w:sz w:val="22"/>
          <w:szCs w:val="22"/>
          <w:rtl/>
        </w:rPr>
        <w:t>19,743 حركة خلال 20 شهراً، و60 شركة، و95 وجهة، وسوق غير مركّز (HHI=881) بنمو +30.7% في 2026. استعاد المطار دوره كمحور إقليمي بسرعة، وارتباطه الخليجي (68.3% من مغادراته الدولية) هو السمة البنيوية الأبرز، ومؤشرات جاهزيته لمزيد من النمو إيجابية.</w:t>
      </w:r>
    </w:p>
    <w:p>
      <w:pPr>
        <w:bidi/>
        <w:spacing w:after="60"/>
      </w:pPr>
      <w:r>
        <w:rPr>
          <w:rFonts w:ascii="Segoe UI" w:hAnsi="Segoe UI" w:cs="Segoe UI"/>
          <w:b/>
          <w:bCs/>
          <w:color w:val="0E8A5F"/>
          <w:sz w:val="25"/>
          <w:szCs w:val="25"/>
          <w:rtl/>
        </w:rPr>
        <w:t>حلب — منحنى الإقلاع</w:t>
      </w:r>
    </w:p>
    <w:p>
      <w:pPr>
        <w:bidi/>
        <w:spacing w:after="120"/>
      </w:pPr>
      <w:r>
        <w:rPr>
          <w:rFonts w:ascii="Segoe UI" w:hAnsi="Segoe UI" w:cs="Segoe UI"/>
          <w:sz w:val="22"/>
          <w:szCs w:val="22"/>
          <w:rtl/>
        </w:rPr>
        <w:t>من 630 حركة في الفترة يناير–أغسطس 2025 إلى 2,886 في الفترة المقابلة من 2026 (+358.1%)، وبأعلى شهر تشغيل في تاريخ البيانات (أغسطس 2026: 694 حركة). التحدي القادم بحسب المؤشرات: توسيع قاعدة المشغلين ودخول عائلات طائرات أكبر.</w:t>
      </w:r>
    </w:p>
    <w:p>
      <w:pPr>
        <w:bidi/>
        <w:spacing w:after="60"/>
      </w:pPr>
      <w:r>
        <w:rPr>
          <w:rFonts w:ascii="Segoe UI" w:hAnsi="Segoe UI" w:cs="Segoe UI"/>
          <w:b/>
          <w:bCs/>
          <w:color w:val="C2571A"/>
          <w:sz w:val="25"/>
          <w:szCs w:val="25"/>
          <w:rtl/>
        </w:rPr>
        <w:t>اللاذقية — مطار بلا ركاب</w:t>
      </w:r>
    </w:p>
    <w:p>
      <w:pPr>
        <w:bidi/>
        <w:spacing w:after="120"/>
      </w:pPr>
      <w:r>
        <w:rPr>
          <w:rFonts w:ascii="Segoe UI" w:hAnsi="Segoe UI" w:cs="Segoe UI"/>
          <w:sz w:val="22"/>
          <w:szCs w:val="22"/>
          <w:rtl/>
        </w:rPr>
        <w:t>252 حركة فقط، 96.0% منها عسكرية/حكومية و93.3% بارتباط روسي مباشر؛ المطار يعمل عملياً كمنصة عمليات لوجستية لا كبوابة مدنية، وأي مقارنة تجارية له مع دمشق وحلب غير مجدية — إذ هي مقارنة بين نموذجين مختلفين لاستخدام المطار.</w:t>
      </w:r>
    </w:p>
    <w:p>
      <w:pPr>
        <w:bidi/>
        <w:spacing w:after="120"/>
      </w:pPr>
      <w:r>
        <w:rPr>
          <w:rFonts w:ascii="Segoe UI" w:hAnsi="Segoe UI" w:cs="Segoe UI"/>
          <w:b/>
          <w:bCs/>
          <w:color w:val="0F2A5C"/>
          <w:sz w:val="23"/>
          <w:szCs w:val="23"/>
          <w:rtl/>
        </w:rPr>
        <w:t>بصياغة واحدة: أعادت سوريا بناء بوّابتيها المدنيتين — دمشق بحجم مستقر وحلب بنمو انفجاري — بينما بقيت اللاذقية منصة عسكرية شبه حصرية.</w:t>
      </w:r>
    </w:p>
    <w:p>
      <w:r>
        <w:br w:type="page"/>
      </w:r>
    </w:p>
    <w:p>
      <w:pPr>
        <w:bidi/>
        <w:spacing w:after="200"/>
        <w:outlineLvl w:val="0"/>
      </w:pPr>
      <w:r>
        <w:rPr>
          <w:rFonts w:ascii="Segoe UI" w:hAnsi="Segoe UI" w:cs="Segoe UI"/>
          <w:b/>
          <w:bCs/>
          <w:color w:val="0F2A5C"/>
          <w:sz w:val="34"/>
          <w:szCs w:val="34"/>
          <w:rtl/>
        </w:rPr>
        <w:t>12. المصادر والمراجع</w:t>
      </w:r>
    </w:p>
    <w:p>
      <w:pPr>
        <w:bidi/>
        <w:spacing w:after="120"/>
        <w:outlineLvl w:val="1"/>
      </w:pPr>
      <w:r>
        <w:rPr>
          <w:rFonts w:ascii="Segoe UI" w:hAnsi="Segoe UI" w:cs="Segoe UI"/>
          <w:b/>
          <w:bCs/>
          <w:color w:val="1F2937"/>
          <w:sz w:val="27"/>
          <w:szCs w:val="27"/>
          <w:rtl/>
        </w:rPr>
        <w:t>12.1 البيانات الخام</w:t>
      </w:r>
    </w:p>
    <w:p>
      <w:pPr>
        <w:bidi/>
        <w:spacing w:after="80"/>
      </w:pPr>
      <w:r>
        <w:rPr>
          <w:rFonts w:ascii="Segoe UI" w:hAnsi="Segoe UI" w:cs="Segoe UI"/>
          <w:color w:val="1D4ED8"/>
          <w:sz w:val="21"/>
          <w:szCs w:val="21"/>
          <w:rtl/>
        </w:rPr>
        <w:t xml:space="preserve">◆ </w:t>
      </w:r>
      <w:r>
        <w:rPr>
          <w:rFonts w:ascii="Segoe UI" w:hAnsi="Segoe UI" w:cs="Segoe UI"/>
          <w:sz w:val="22"/>
          <w:szCs w:val="22"/>
          <w:rtl/>
        </w:rPr>
        <w:t>flights_damascus_OSDI.csv — 19,743 سجلاً، المستودع HoseenAlhlak/HoseenAlhlak، مجلد data/raw/.</w:t>
      </w:r>
    </w:p>
    <w:p>
      <w:pPr>
        <w:bidi/>
        <w:spacing w:after="80"/>
      </w:pPr>
      <w:r>
        <w:rPr>
          <w:rFonts w:ascii="Segoe UI" w:hAnsi="Segoe UI" w:cs="Segoe UI"/>
          <w:color w:val="1D4ED8"/>
          <w:sz w:val="21"/>
          <w:szCs w:val="21"/>
          <w:rtl/>
        </w:rPr>
        <w:t xml:space="preserve">◆ </w:t>
      </w:r>
      <w:r>
        <w:rPr>
          <w:rFonts w:ascii="Segoe UI" w:hAnsi="Segoe UI" w:cs="Segoe UI"/>
          <w:sz w:val="22"/>
          <w:szCs w:val="22"/>
          <w:rtl/>
        </w:rPr>
        <w:t>flights_aleppo_OSAP.csv — 5,068 سجلاً، المصدر نفسه.</w:t>
      </w:r>
    </w:p>
    <w:p>
      <w:pPr>
        <w:bidi/>
        <w:spacing w:after="80"/>
      </w:pPr>
      <w:r>
        <w:rPr>
          <w:rFonts w:ascii="Segoe UI" w:hAnsi="Segoe UI" w:cs="Segoe UI"/>
          <w:color w:val="1D4ED8"/>
          <w:sz w:val="21"/>
          <w:szCs w:val="21"/>
          <w:rtl/>
        </w:rPr>
        <w:t xml:space="preserve">◆ </w:t>
      </w:r>
      <w:r>
        <w:rPr>
          <w:rFonts w:ascii="Segoe UI" w:hAnsi="Segoe UI" w:cs="Segoe UI"/>
          <w:sz w:val="22"/>
          <w:szCs w:val="22"/>
          <w:rtl/>
        </w:rPr>
        <w:t>flights_latakia_OSLK.csv — 252 سجلاً، المصدر نفسه.</w:t>
      </w:r>
    </w:p>
    <w:p>
      <w:pPr>
        <w:bidi/>
        <w:spacing w:after="80"/>
      </w:pPr>
      <w:r>
        <w:rPr>
          <w:rFonts w:ascii="Segoe UI" w:hAnsi="Segoe UI" w:cs="Segoe UI"/>
          <w:color w:val="1D4ED8"/>
          <w:sz w:val="21"/>
          <w:szCs w:val="21"/>
          <w:rtl/>
        </w:rPr>
        <w:t xml:space="preserve">◆ </w:t>
      </w:r>
      <w:r>
        <w:rPr>
          <w:rFonts w:ascii="Segoe UI" w:hAnsi="Segoe UI" w:cs="Segoe UI"/>
          <w:sz w:val="22"/>
          <w:szCs w:val="22"/>
          <w:rtl/>
        </w:rPr>
        <w:t>بنية السجل: 25 حقلاً (fr24_id, flight, callsign, operating_as, painted_as, type, reg, orig/dest وأوقاتها, flight_time, actual_distance, circle_distance, category, runway…).</w:t>
      </w:r>
    </w:p>
    <w:p>
      <w:pPr>
        <w:bidi/>
        <w:spacing w:after="120"/>
        <w:outlineLvl w:val="1"/>
      </w:pPr>
      <w:r>
        <w:rPr>
          <w:rFonts w:ascii="Segoe UI" w:hAnsi="Segoe UI" w:cs="Segoe UI"/>
          <w:b/>
          <w:bCs/>
          <w:color w:val="1F2937"/>
          <w:sz w:val="27"/>
          <w:szCs w:val="27"/>
          <w:rtl/>
        </w:rPr>
        <w:t>12.2 مراجع التحقق من رموز شركات التشغيل</w:t>
      </w:r>
    </w:p>
    <w:p>
      <w:pPr>
        <w:spacing w:after="60"/>
        <w:jc w:val="right"/>
      </w:pPr>
      <w:r>
        <w:rPr>
          <w:rFonts w:ascii="Segoe UI" w:hAnsi="Segoe UI" w:cs="Segoe UI"/>
          <w:color w:val="374151"/>
          <w:sz w:val="19"/>
          <w:szCs w:val="19"/>
        </w:rPr>
        <w:t>Wikipedia — List of airlines of Syria:  en.wikipedia.org/wiki/List_of_airlines_of_Syria</w:t>
      </w:r>
    </w:p>
    <w:p>
      <w:pPr>
        <w:spacing w:after="60"/>
        <w:jc w:val="right"/>
      </w:pPr>
      <w:r>
        <w:rPr>
          <w:rFonts w:ascii="Segoe UI" w:hAnsi="Segoe UI" w:cs="Segoe UI"/>
          <w:color w:val="374151"/>
          <w:sz w:val="19"/>
          <w:szCs w:val="19"/>
        </w:rPr>
        <w:t>Airhex — Fly Cham (FYC/XH):  airhex.com/airlines/fly-cham</w:t>
      </w:r>
    </w:p>
    <w:p>
      <w:pPr>
        <w:spacing w:after="60"/>
        <w:jc w:val="right"/>
      </w:pPr>
      <w:r>
        <w:rPr>
          <w:rFonts w:ascii="Segoe UI" w:hAnsi="Segoe UI" w:cs="Segoe UI"/>
          <w:color w:val="374151"/>
          <w:sz w:val="19"/>
          <w:szCs w:val="19"/>
        </w:rPr>
        <w:t>Airhex — flyadeal (FAD/F3):  airhex.com/airlines/flyadeal</w:t>
      </w:r>
    </w:p>
    <w:p>
      <w:pPr>
        <w:spacing w:after="60"/>
        <w:jc w:val="right"/>
      </w:pPr>
      <w:r>
        <w:rPr>
          <w:rFonts w:ascii="Segoe UI" w:hAnsi="Segoe UI" w:cs="Segoe UI"/>
          <w:color w:val="374151"/>
          <w:sz w:val="19"/>
          <w:szCs w:val="19"/>
        </w:rPr>
        <w:t>Airhex — Dan Air (DNA/DN):  airhex.com/airlines/dan-air</w:t>
      </w:r>
    </w:p>
    <w:p>
      <w:pPr>
        <w:spacing w:after="60"/>
        <w:jc w:val="right"/>
      </w:pPr>
      <w:r>
        <w:rPr>
          <w:rFonts w:ascii="Segoe UI" w:hAnsi="Segoe UI" w:cs="Segoe UI"/>
          <w:color w:val="374151"/>
          <w:sz w:val="19"/>
          <w:szCs w:val="19"/>
        </w:rPr>
        <w:t>Plane Finder — Centrum Air (MFX/C6):  planefinder.net/data/airline/MFX</w:t>
      </w:r>
    </w:p>
    <w:p>
      <w:pPr>
        <w:spacing w:after="60"/>
        <w:jc w:val="right"/>
      </w:pPr>
      <w:r>
        <w:rPr>
          <w:rFonts w:ascii="Segoe UI" w:hAnsi="Segoe UI" w:cs="Segoe UI"/>
          <w:color w:val="374151"/>
          <w:sz w:val="19"/>
          <w:szCs w:val="19"/>
        </w:rPr>
        <w:t>Airhex — Air Mediterranean (MAR/MV):  airhex.com/airlines/air-mediterranean</w:t>
      </w:r>
    </w:p>
    <w:p>
      <w:pPr>
        <w:spacing w:after="60"/>
        <w:jc w:val="right"/>
      </w:pPr>
      <w:r>
        <w:rPr>
          <w:rFonts w:ascii="Segoe UI" w:hAnsi="Segoe UI" w:cs="Segoe UI"/>
          <w:color w:val="374151"/>
          <w:sz w:val="19"/>
          <w:szCs w:val="19"/>
        </w:rPr>
        <w:t>Airways Magazine — flynas والرحلات إلى دمشق (KNE/XY):  airwaysmag.com/new-post/flynas-syria-lcc</w:t>
      </w:r>
    </w:p>
    <w:p>
      <w:pPr>
        <w:spacing w:after="60"/>
        <w:jc w:val="right"/>
      </w:pPr>
      <w:r>
        <w:rPr>
          <w:rFonts w:ascii="Segoe UI" w:hAnsi="Segoe UI" w:cs="Segoe UI"/>
          <w:color w:val="374151"/>
          <w:sz w:val="19"/>
          <w:szCs w:val="19"/>
        </w:rPr>
        <w:t>airliners.de — أسطول LEAV Aviation (NGN/KK):  airliners.de (تقرير الأسطول 2025)</w:t>
      </w:r>
    </w:p>
    <w:p>
      <w:pPr>
        <w:bidi/>
        <w:spacing w:after="120"/>
        <w:outlineLvl w:val="1"/>
      </w:pPr>
      <w:r>
        <w:rPr>
          <w:rFonts w:ascii="Segoe UI" w:hAnsi="Segoe UI" w:cs="Segoe UI"/>
          <w:b/>
          <w:bCs/>
          <w:color w:val="1F2937"/>
          <w:sz w:val="27"/>
          <w:szCs w:val="27"/>
          <w:rtl/>
        </w:rPr>
        <w:t>12.3 أدوات التحليل ومنتجاته</w:t>
      </w:r>
    </w:p>
    <w:p>
      <w:pPr>
        <w:bidi/>
        <w:spacing w:after="80"/>
      </w:pPr>
      <w:r>
        <w:rPr>
          <w:rFonts w:ascii="Segoe UI" w:hAnsi="Segoe UI" w:cs="Segoe UI"/>
          <w:color w:val="1D4ED8"/>
          <w:sz w:val="21"/>
          <w:szCs w:val="21"/>
          <w:rtl/>
        </w:rPr>
        <w:t xml:space="preserve">◆ </w:t>
      </w:r>
      <w:r>
        <w:rPr>
          <w:rFonts w:ascii="Segoe UI" w:hAnsi="Segoe UI" w:cs="Segoe UI"/>
          <w:sz w:val="22"/>
          <w:szCs w:val="22"/>
          <w:rtl/>
        </w:rPr>
        <w:t>سكربت المؤشرات والرسوم: analysis/analyze_airports.py (Python: pandas, matplotlib, arabic-reshaper, python-bidi).</w:t>
      </w:r>
    </w:p>
    <w:p>
      <w:pPr>
        <w:bidi/>
        <w:spacing w:after="80"/>
      </w:pPr>
      <w:r>
        <w:rPr>
          <w:rFonts w:ascii="Segoe UI" w:hAnsi="Segoe UI" w:cs="Segoe UI"/>
          <w:color w:val="1D4ED8"/>
          <w:sz w:val="21"/>
          <w:szCs w:val="21"/>
          <w:rtl/>
        </w:rPr>
        <w:t xml:space="preserve">◆ </w:t>
      </w:r>
      <w:r>
        <w:rPr>
          <w:rFonts w:ascii="Segoe UI" w:hAnsi="Segoe UI" w:cs="Segoe UI"/>
          <w:sz w:val="22"/>
          <w:szCs w:val="22"/>
          <w:rtl/>
        </w:rPr>
        <w:t>مولدات التقارير: analysis/build_report.py (HTML) · analysis/build_pdf.py (PDF) · analysis/build_docx.py (هذه النسخة).</w:t>
      </w:r>
    </w:p>
    <w:p>
      <w:pPr>
        <w:bidi/>
        <w:spacing w:after="80"/>
      </w:pPr>
      <w:r>
        <w:rPr>
          <w:rFonts w:ascii="Segoe UI" w:hAnsi="Segoe UI" w:cs="Segoe UI"/>
          <w:color w:val="1D4ED8"/>
          <w:sz w:val="21"/>
          <w:szCs w:val="21"/>
          <w:rtl/>
        </w:rPr>
        <w:t xml:space="preserve">◆ </w:t>
      </w:r>
      <w:r>
        <w:rPr>
          <w:rFonts w:ascii="Segoe UI" w:hAnsi="Segoe UI" w:cs="Segoe UI"/>
          <w:sz w:val="22"/>
          <w:szCs w:val="22"/>
          <w:rtl/>
        </w:rPr>
        <w:t>المؤشرات التفصيلية: analysis/results/metrics.json وجداول CSV بجانبها.</w:t>
      </w:r>
    </w:p>
    <w:p>
      <w:pPr>
        <w:bidi/>
        <w:spacing w:after="80"/>
      </w:pPr>
      <w:r>
        <w:rPr>
          <w:rFonts w:ascii="Segoe UI" w:hAnsi="Segoe UI" w:cs="Segoe UI"/>
          <w:color w:val="1D4ED8"/>
          <w:sz w:val="21"/>
          <w:szCs w:val="21"/>
          <w:rtl/>
        </w:rPr>
        <w:t xml:space="preserve">◆ </w:t>
      </w:r>
      <w:r>
        <w:rPr>
          <w:rFonts w:ascii="Segoe UI" w:hAnsi="Segoe UI" w:cs="Segoe UI"/>
          <w:sz w:val="22"/>
          <w:szCs w:val="22"/>
          <w:rtl/>
        </w:rPr>
        <w:t>نسخ أخرى من التقرير: HTML ذاتي الاحتواء وPDF مطبوع في المجلد reports/.</w:t>
      </w:r>
    </w:p>
    <w:p>
      <w:pPr>
        <w:bidi/>
        <w:spacing w:after="120"/>
      </w:pPr>
      <w:r>
        <w:rPr>
          <w:rFonts w:ascii="Segoe UI" w:hAnsi="Segoe UI" w:cs="Segoe UI"/>
          <w:color w:val="6B7280"/>
          <w:sz w:val="19"/>
          <w:szCs w:val="19"/>
          <w:rtl/>
        </w:rPr>
        <w:t>تنويه: أرقام التقرير تعكس حصراً ما ورد في الملفات الثلاثة، وهي حساسة لاكتمال التسجيل فيها (انظر القسم 2.3). التسميات العربية للشركات والمدن اجتهاد توثيقي مبني على المصادر أعلاه.</w:t>
      </w:r>
    </w:p>
    <w:sectPr w:rsidR="00FC693F" w:rsidRPr="0006063C" w:rsidSect="00034616">
      <w:footerReference w:type="default" r:id="rId9"/>
      <w:pgSz w:w="11906" w:h="16838"/>
      <w:pgMar w:top="1191"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Segoe UI" w:hAnsi="Segoe UI" w:cs="Segoe UI"/>
        <w:color w:val="6B7280"/>
        <w:sz w:val="17"/>
        <w:szCs w:val="17"/>
        <w:rtl/>
      </w:rPr>
      <w:t xml:space="preserve">التقرير المقارن — مطارات سوريا الثلاثة  |  صفحة </w:t>
    </w:r>
    <w:fldSimple w:instr=" PAGE ">
      <w:r>
        <w:rPr>
          <w:sz w:val="17"/>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s="Segoe UI"/>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Chart1" Type="http://schemas.openxmlformats.org/officeDocument/2006/relationships/chart" Target="charts/chart1.xml"/><Relationship Id="rIdChart2" Type="http://schemas.openxmlformats.org/officeDocument/2006/relationships/chart" Target="charts/chart2.xml"/><Relationship Id="rIdChart3" Type="http://schemas.openxmlformats.org/officeDocument/2006/relationships/chart" Target="charts/chart3.xml"/><Relationship Id="rIdChart4" Type="http://schemas.openxmlformats.org/officeDocument/2006/relationships/chart" Target="charts/chart4.xml"/><Relationship Id="rIdChart5" Type="http://schemas.openxmlformats.org/officeDocument/2006/relationships/chart" Target="charts/chart5.xml"/><Relationship Id="rIdChart6" Type="http://schemas.openxmlformats.org/officeDocument/2006/relationships/chart" Target="charts/chart6.xml"/><Relationship Id="rIdChart7" Type="http://schemas.openxmlformats.org/officeDocument/2006/relationships/chart" Target="charts/chart7.xml"/><Relationship Id="rIdChart8" Type="http://schemas.openxmlformats.org/officeDocument/2006/relationships/chart" Target="charts/chart8.xml"/><Relationship Id="rIdChart9" Type="http://schemas.openxmlformats.org/officeDocument/2006/relationships/chart" Target="charts/chart9.xml"/><Relationship Id="rIdChart10" Type="http://schemas.openxmlformats.org/officeDocument/2006/relationships/chart" Target="charts/chart10.xml"/><Relationship Id="rIdChart11" Type="http://schemas.openxmlformats.org/officeDocument/2006/relationships/chart" Target="charts/chart11.xml"/><Relationship Id="rIdChart12" Type="http://schemas.openxmlformats.org/officeDocument/2006/relationships/chart" Target="charts/chart12.xml"/><Relationship Id="rIdChart13" Type="http://schemas.openxmlformats.org/officeDocument/2006/relationships/chart" Target="charts/chart13.xml"/><Relationship Id="rIdChart14" Type="http://schemas.openxmlformats.org/officeDocument/2006/relationships/chart" Target="charts/chart14.xml"/><Relationship Id="rIdChart15" Type="http://schemas.openxmlformats.org/officeDocument/2006/relationships/chart" Target="charts/chart15.xml"/><Relationship Id="rIdChart16" Type="http://schemas.openxmlformats.org/officeDocument/2006/relationships/chart" Target="charts/chart16.xml"/><Relationship Id="rIdChart17" Type="http://schemas.openxmlformats.org/officeDocument/2006/relationships/chart" Target="charts/chart17.xml"/><Relationship Id="rIdChart18" Type="http://schemas.openxmlformats.org/officeDocument/2006/relationships/chart" Target="charts/chart18.xml"/><Relationship Id="rIdChart19" Type="http://schemas.openxmlformats.org/officeDocument/2006/relationships/chart" Target="charts/chart19.xml"/><Relationship Id="rIdChart20" Type="http://schemas.openxmlformats.org/officeDocument/2006/relationships/chart" Target="charts/chart20.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Sheet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Sheet6.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Sheet7.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Sheet8.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Sheet9.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Sheet10.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Sheet11.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Excel_Sheet12.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Excel_Sheet13.xlsx"/></Relationships>
</file>

<file path=word/charts/_rels/chart14.xml.rels><?xml version='1.0' encoding='UTF-8' standalone='yes'?>
<Relationships xmlns="http://schemas.openxmlformats.org/package/2006/relationships"><Relationship Id="rId1" Type="http://schemas.openxmlformats.org/officeDocument/2006/relationships/package" Target="../embeddings/Microsoft_Excel_Sheet14.xlsx"/></Relationships>
</file>

<file path=word/charts/_rels/chart15.xml.rels><?xml version='1.0' encoding='UTF-8' standalone='yes'?>
<Relationships xmlns="http://schemas.openxmlformats.org/package/2006/relationships"><Relationship Id="rId1" Type="http://schemas.openxmlformats.org/officeDocument/2006/relationships/package" Target="../embeddings/Microsoft_Excel_Sheet15.xlsx"/></Relationships>
</file>

<file path=word/charts/_rels/chart16.xml.rels><?xml version='1.0' encoding='UTF-8' standalone='yes'?>
<Relationships xmlns="http://schemas.openxmlformats.org/package/2006/relationships"><Relationship Id="rId1" Type="http://schemas.openxmlformats.org/officeDocument/2006/relationships/package" Target="../embeddings/Microsoft_Excel_Sheet16.xlsx"/></Relationships>
</file>

<file path=word/charts/_rels/chart17.xml.rels><?xml version='1.0' encoding='UTF-8' standalone='yes'?>
<Relationships xmlns="http://schemas.openxmlformats.org/package/2006/relationships"><Relationship Id="rId1" Type="http://schemas.openxmlformats.org/officeDocument/2006/relationships/package" Target="../embeddings/Microsoft_Excel_Sheet17.xlsx"/></Relationships>
</file>

<file path=word/charts/_rels/chart18.xml.rels><?xml version='1.0' encoding='UTF-8' standalone='yes'?>
<Relationships xmlns="http://schemas.openxmlformats.org/package/2006/relationships"><Relationship Id="rId1" Type="http://schemas.openxmlformats.org/officeDocument/2006/relationships/package" Target="../embeddings/Microsoft_Excel_Sheet18.xlsx"/></Relationships>
</file>

<file path=word/charts/_rels/chart19.xml.rels><?xml version='1.0' encoding='UTF-8' standalone='yes'?>
<Relationships xmlns="http://schemas.openxmlformats.org/package/2006/relationships"><Relationship Id="rId1" Type="http://schemas.openxmlformats.org/officeDocument/2006/relationships/package" Target="../embeddings/Microsoft_Excel_Sheet19.xlsx"/></Relationships>
</file>

<file path=word/charts/_rels/chart20.xml.rels><?xml version='1.0' encoding='UTF-8' standalone='yes'?>
<Relationships xmlns="http://schemas.openxmlformats.org/package/2006/relationships"><Relationship Id="rId1" Type="http://schemas.openxmlformats.org/officeDocument/2006/relationships/package" Target="../embeddings/Microsoft_Excel_Sheet20.xlsx"/></Relationships>
</file>

<file path=word/charts/chart1.xml><?xml version="1.0" encoding="utf-8"?>
<c:chartSpace xmlns:c="http://schemas.openxmlformats.org/drawingml/2006/chart" xmlns:a="http://schemas.openxmlformats.org/drawingml/2006/main" xmlns:r="http://schemas.openxmlformats.org/officeDocument/2006/relationships">
  <c:date1904 val="0"/>
  <c:chart>
    <c:title>
      <c:tx>
        <c:rich>
          <a:bodyPr/>
          <a:lstStyle/>
          <a:p>
            <a:r>
              <a:rPr sz="1250" b="1">
                <a:solidFill>
                  <a:srgbClr val="0F2A5C"/>
                </a:solidFill>
                <a:latin typeface="Segoe UI"/>
              </a:rPr>
              <a:t>الحركات المسجلة: المغادرات مقابل الوصولات</a:t>
            </a:r>
          </a:p>
        </c:rich>
      </c:tx>
      <c:layout/>
      <c:overlay val="0"/>
    </c:title>
    <c:autoTitleDeleted val="0"/>
    <c:plotArea>
      <c:barChart>
        <c:barDir val="col"/>
        <c:grouping val="clustered"/>
        <c:ser>
          <c:idx val="0"/>
          <c:order val="0"/>
          <c:tx>
            <c:strRef>
              <c:f>Sheet1!$B$1</c:f>
              <c:strCache>
                <c:ptCount val="1"/>
                <c:pt idx="0">
                  <c:v>المغادرات</c:v>
                </c:pt>
              </c:strCache>
            </c:strRef>
          </c:tx>
          <c:spPr>
            <a:solidFill>
              <a:srgbClr val="334155"/>
            </a:solidFill>
            <a:ln>
              <a:noFill/>
            </a:ln>
          </c:spPr>
          <c:cat>
            <c:strRef>
              <c:f>Sheet1!$A$2:$A$4</c:f>
              <c:strCache>
                <c:ptCount val="3"/>
                <c:pt idx="0">
                  <c:v>دمشق</c:v>
                </c:pt>
                <c:pt idx="1">
                  <c:v>حلب</c:v>
                </c:pt>
                <c:pt idx="2">
                  <c:v>اللاذقية</c:v>
                </c:pt>
              </c:strCache>
            </c:strRef>
          </c:cat>
          <c:val>
            <c:numRef>
              <c:f>Sheet1!$B$2:$B$4</c:f>
              <c:numCache>
                <c:formatCode>General</c:formatCode>
                <c:ptCount val="3"/>
                <c:pt idx="0">
                  <c:v>9888</c:v>
                </c:pt>
                <c:pt idx="1">
                  <c:v>2589</c:v>
                </c:pt>
                <c:pt idx="2">
                  <c:v>153</c:v>
                </c:pt>
              </c:numCache>
            </c:numRef>
          </c:val>
        </c:ser>
        <c:ser>
          <c:idx val="1"/>
          <c:order val="1"/>
          <c:tx>
            <c:strRef>
              <c:f>Sheet1!$C$1</c:f>
              <c:strCache>
                <c:ptCount val="1"/>
                <c:pt idx="0">
                  <c:v>الوصولات</c:v>
                </c:pt>
              </c:strCache>
            </c:strRef>
          </c:tx>
          <c:spPr>
            <a:solidFill>
              <a:srgbClr val="94A3B8"/>
            </a:solidFill>
            <a:ln>
              <a:noFill/>
            </a:ln>
          </c:spPr>
          <c:cat>
            <c:strRef>
              <c:f>Sheet1!$A$2:$A$4</c:f>
              <c:strCache>
                <c:ptCount val="3"/>
                <c:pt idx="0">
                  <c:v>دمشق</c:v>
                </c:pt>
                <c:pt idx="1">
                  <c:v>حلب</c:v>
                </c:pt>
                <c:pt idx="2">
                  <c:v>اللاذقية</c:v>
                </c:pt>
              </c:strCache>
            </c:strRef>
          </c:cat>
          <c:val>
            <c:numRef>
              <c:f>Sheet1!$C$2:$C$4</c:f>
              <c:numCache>
                <c:formatCode>General</c:formatCode>
                <c:ptCount val="3"/>
                <c:pt idx="0">
                  <c:v>9678</c:v>
                </c:pt>
                <c:pt idx="1">
                  <c:v>2468</c:v>
                </c:pt>
                <c:pt idx="2">
                  <c:v>97</c:v>
                </c:pt>
              </c:numCache>
            </c:numRef>
          </c:val>
        </c:ser>
        <c:dLbls>
          <c:numFmt formatCode="#,##0" sourceLinked="0"/>
          <c:txPr>
            <a:bodyPr/>
            <a:lstStyle/>
            <a:p>
              <a:pPr>
                <a:defRPr sz="900">
                  <a:solidFill>
                    <a:srgbClr val="374151"/>
                  </a:solidFill>
                  <a:latin typeface="Segoe UI"/>
                </a:defRPr>
              </a:pPr>
            </a:p>
          </c:txPr>
          <c:dLblPos val="outEnd"/>
          <c:showLegendKey val="0"/>
          <c:showVal val="1"/>
          <c:showCatName val="0"/>
          <c:showSerName val="0"/>
          <c:showPercent val="0"/>
          <c:showBubbleSize val="0"/>
          <c:showLeaderLines val="1"/>
        </c:dLbls>
        <c:axId val="-2068027336"/>
        <c:axId val="-2113994440"/>
      </c:barChart>
      <c:catAx>
        <c:axId val="-2068027336"/>
        <c:scaling>
          <c:orientation val="minMax"/>
        </c:scaling>
        <c:delete val="0"/>
        <c:axPos val="b"/>
        <c:majorTickMark val="out"/>
        <c:minorTickMark val="none"/>
        <c:tickLblPos val="nextTo"/>
        <c:txPr>
          <a:bodyPr/>
          <a:lstStyle/>
          <a:p>
            <a:pPr>
              <a:defRPr sz="950">
                <a:latin typeface="Segoe UI"/>
              </a:defRPr>
            </a:pPr>
          </a:p>
        </c:txPr>
        <c:crossAx val="-2113994440"/>
        <c:crosses val="autoZero"/>
        <c:auto val="1"/>
        <c:lblAlgn val="ctr"/>
        <c:lblOffset val="100"/>
        <c:noMultiLvlLbl val="0"/>
      </c:catAx>
      <c:valAx>
        <c:axId val="-2113994440"/>
        <c:scaling/>
        <c:delete val="0"/>
        <c:axPos val="l"/>
        <c:majorGridlines>
          <c:spPr>
            <a:ln w="6350">
              <a:solidFill>
                <a:srgbClr val="E5E7EB"/>
              </a:solidFill>
            </a:ln>
          </c:spPr>
        </c:majorGridlines>
        <c:numFmt formatCode="#,##0" sourceLinked="0"/>
        <c:majorTickMark val="out"/>
        <c:minorTickMark val="none"/>
        <c:tickLblPos val="nextTo"/>
        <c:spPr>
          <a:ln>
            <a:solidFill>
              <a:srgbClr val="9CA3AF"/>
            </a:solidFill>
          </a:ln>
        </c:spPr>
        <c:txPr>
          <a:bodyPr/>
          <a:lstStyle/>
          <a:p>
            <a:pPr>
              <a:defRPr sz="900">
                <a:latin typeface="Segoe UI"/>
              </a:defRPr>
            </a:pPr>
          </a:p>
        </c:txPr>
        <c:crossAx val="-2068027336"/>
        <c:crosses val="autoZero"/>
      </c:valAx>
    </c:plotArea>
    <c:legend>
      <c:legendPos val="b"/>
      <c:overlay val="0"/>
      <c:txPr>
        <a:bodyPr/>
        <a:lstStyle/>
        <a:p>
          <a:pPr>
            <a:defRPr sz="950">
              <a:latin typeface="Segoe UI"/>
            </a:defRPr>
          </a:pPr>
        </a:p>
      </c:txPr>
    </c:legend>
    <c:dispBlanksAs val="gap"/>
  </c:chart>
  <c:txPr>
    <a:bodyPr/>
    <a:lstStyle/>
    <a:p>
      <a:pPr>
        <a:defRPr sz="1000">
          <a:latin typeface="Segoe UI"/>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chart>
    <c:title>
      <c:tx>
        <c:rich>
          <a:bodyPr/>
          <a:lstStyle/>
          <a:p>
            <a:r>
              <a:rPr sz="1250" b="1">
                <a:solidFill>
                  <a:srgbClr val="0F2A5C"/>
                </a:solidFill>
                <a:latin typeface="Segoe UI"/>
              </a:rPr>
              <a:t>تطور الحركة الشهرية للمطارات الثلاثة (2025-01 حتى 2026-09)</a:t>
            </a:r>
          </a:p>
        </c:rich>
      </c:tx>
      <c:layout/>
      <c:overlay val="0"/>
    </c:title>
    <c:autoTitleDeleted val="0"/>
    <c:plotArea>
      <c:lineChart>
        <c:grouping val="standard"/>
        <c:varyColors val="0"/>
        <c:ser>
          <c:idx val="0"/>
          <c:order val="0"/>
          <c:tx>
            <c:strRef>
              <c:f>Sheet1!$B$1</c:f>
              <c:strCache>
                <c:ptCount val="1"/>
                <c:pt idx="0">
                  <c:v>دمشق</c:v>
                </c:pt>
              </c:strCache>
            </c:strRef>
          </c:tx>
          <c:spPr>
            <a:ln w="28575">
              <a:solidFill>
                <a:srgbClr val="1E5AA8"/>
              </a:solidFill>
            </a:ln>
          </c:spPr>
          <c:marker>
            <c:symbol val="circle"/>
            <c:size val="5"/>
            <c:spPr>
              <a:solidFill>
                <a:srgbClr val="1E5AA8"/>
              </a:solidFill>
              <a:ln>
                <a:solidFill>
                  <a:srgbClr val="1E5AA8"/>
                </a:solidFill>
              </a:ln>
            </c:spPr>
          </c:marker>
          <c:cat>
            <c:strRef>
              <c:f>Sheet1!$A$2:$A$22</c:f>
              <c:strCache>
                <c:ptCount val="21"/>
                <c:pt idx="0">
                  <c:v>2025-01</c:v>
                </c:pt>
                <c:pt idx="1">
                  <c:v>2025-02</c:v>
                </c:pt>
                <c:pt idx="2">
                  <c:v>2025-03</c:v>
                </c:pt>
                <c:pt idx="3">
                  <c:v>2025-04</c:v>
                </c:pt>
                <c:pt idx="4">
                  <c:v>2025-05</c:v>
                </c:pt>
                <c:pt idx="5">
                  <c:v>2025-06</c:v>
                </c:pt>
                <c:pt idx="6">
                  <c:v>2025-07</c:v>
                </c:pt>
                <c:pt idx="7">
                  <c:v>2025-08</c:v>
                </c:pt>
                <c:pt idx="8">
                  <c:v>2025-09</c:v>
                </c:pt>
                <c:pt idx="9">
                  <c:v>2025-10</c:v>
                </c:pt>
                <c:pt idx="10">
                  <c:v>2025-11</c:v>
                </c:pt>
                <c:pt idx="11">
                  <c:v>2025-12</c:v>
                </c:pt>
                <c:pt idx="12">
                  <c:v>2026-01</c:v>
                </c:pt>
                <c:pt idx="13">
                  <c:v>2026-02</c:v>
                </c:pt>
                <c:pt idx="14">
                  <c:v>2026-03</c:v>
                </c:pt>
                <c:pt idx="15">
                  <c:v>2026-04</c:v>
                </c:pt>
                <c:pt idx="16">
                  <c:v>2026-05</c:v>
                </c:pt>
                <c:pt idx="17">
                  <c:v>2026-06</c:v>
                </c:pt>
                <c:pt idx="18">
                  <c:v>2026-07</c:v>
                </c:pt>
                <c:pt idx="19">
                  <c:v>2026-08</c:v>
                </c:pt>
                <c:pt idx="20">
                  <c:v>2026-09</c:v>
                </c:pt>
              </c:strCache>
            </c:strRef>
          </c:cat>
          <c:val>
            <c:numRef>
              <c:f>Sheet1!$B$2:$B$22</c:f>
              <c:numCache>
                <c:formatCode>General</c:formatCode>
                <c:ptCount val="21"/>
                <c:pt idx="0">
                  <c:v>370</c:v>
                </c:pt>
                <c:pt idx="1">
                  <c:v>453</c:v>
                </c:pt>
                <c:pt idx="2">
                  <c:v>522</c:v>
                </c:pt>
                <c:pt idx="3">
                  <c:v>602</c:v>
                </c:pt>
                <c:pt idx="4">
                  <c:v>798</c:v>
                </c:pt>
                <c:pt idx="5">
                  <c:v>711</c:v>
                </c:pt>
                <c:pt idx="6">
                  <c:v>1352</c:v>
                </c:pt>
                <c:pt idx="7">
                  <c:v>1385</c:v>
                </c:pt>
                <c:pt idx="8">
                  <c:v>1210</c:v>
                </c:pt>
                <c:pt idx="9">
                  <c:v>1346</c:v>
                </c:pt>
                <c:pt idx="10">
                  <c:v>1268</c:v>
                </c:pt>
                <c:pt idx="11">
                  <c:v>1329</c:v>
                </c:pt>
                <c:pt idx="12">
                  <c:v>1349</c:v>
                </c:pt>
                <c:pt idx="13">
                  <c:v>1118</c:v>
                </c:pt>
                <c:pt idx="14">
                  <c:v>11</c:v>
                </c:pt>
                <c:pt idx="15">
                  <c:v>395</c:v>
                </c:pt>
                <c:pt idx="16">
                  <c:v>1252</c:v>
                </c:pt>
                <c:pt idx="17">
                  <c:v>1272</c:v>
                </c:pt>
                <c:pt idx="18">
                  <c:v>1408</c:v>
                </c:pt>
                <c:pt idx="19">
                  <c:v>1292</c:v>
                </c:pt>
                <c:pt idx="20">
                  <c:v>300</c:v>
                </c:pt>
              </c:numCache>
            </c:numRef>
          </c:val>
          <c:smooth val="0"/>
        </c:ser>
        <c:ser>
          <c:idx val="1"/>
          <c:order val="1"/>
          <c:tx>
            <c:strRef>
              <c:f>Sheet1!$C$1</c:f>
              <c:strCache>
                <c:ptCount val="1"/>
                <c:pt idx="0">
                  <c:v>حلب</c:v>
                </c:pt>
              </c:strCache>
            </c:strRef>
          </c:tx>
          <c:spPr>
            <a:ln w="28575">
              <a:solidFill>
                <a:srgbClr val="0E8A5F"/>
              </a:solidFill>
            </a:ln>
          </c:spPr>
          <c:marker>
            <c:symbol val="circle"/>
            <c:size val="5"/>
            <c:spPr>
              <a:solidFill>
                <a:srgbClr val="0E8A5F"/>
              </a:solidFill>
              <a:ln>
                <a:solidFill>
                  <a:srgbClr val="0E8A5F"/>
                </a:solidFill>
              </a:ln>
            </c:spPr>
          </c:marker>
          <c:cat>
            <c:strRef>
              <c:f>Sheet1!$A$2:$A$22</c:f>
              <c:strCache>
                <c:ptCount val="21"/>
                <c:pt idx="0">
                  <c:v>2025-01</c:v>
                </c:pt>
                <c:pt idx="1">
                  <c:v>2025-02</c:v>
                </c:pt>
                <c:pt idx="2">
                  <c:v>2025-03</c:v>
                </c:pt>
                <c:pt idx="3">
                  <c:v>2025-04</c:v>
                </c:pt>
                <c:pt idx="4">
                  <c:v>2025-05</c:v>
                </c:pt>
                <c:pt idx="5">
                  <c:v>2025-06</c:v>
                </c:pt>
                <c:pt idx="6">
                  <c:v>2025-07</c:v>
                </c:pt>
                <c:pt idx="7">
                  <c:v>2025-08</c:v>
                </c:pt>
                <c:pt idx="8">
                  <c:v>2025-09</c:v>
                </c:pt>
                <c:pt idx="9">
                  <c:v>2025-10</c:v>
                </c:pt>
                <c:pt idx="10">
                  <c:v>2025-11</c:v>
                </c:pt>
                <c:pt idx="11">
                  <c:v>2025-12</c:v>
                </c:pt>
                <c:pt idx="12">
                  <c:v>2026-01</c:v>
                </c:pt>
                <c:pt idx="13">
                  <c:v>2026-02</c:v>
                </c:pt>
                <c:pt idx="14">
                  <c:v>2026-03</c:v>
                </c:pt>
                <c:pt idx="15">
                  <c:v>2026-04</c:v>
                </c:pt>
                <c:pt idx="16">
                  <c:v>2026-05</c:v>
                </c:pt>
                <c:pt idx="17">
                  <c:v>2026-06</c:v>
                </c:pt>
                <c:pt idx="18">
                  <c:v>2026-07</c:v>
                </c:pt>
                <c:pt idx="19">
                  <c:v>2026-08</c:v>
                </c:pt>
                <c:pt idx="20">
                  <c:v>2026-09</c:v>
                </c:pt>
              </c:strCache>
            </c:strRef>
          </c:cat>
          <c:val>
            <c:numRef>
              <c:f>Sheet1!$C$2:$C$22</c:f>
              <c:numCache>
                <c:formatCode>General</c:formatCode>
                <c:ptCount val="21"/>
                <c:pt idx="0">
                  <c:v>1</c:v>
                </c:pt>
                <c:pt idx="1">
                  <c:v>0</c:v>
                </c:pt>
                <c:pt idx="2">
                  <c:v>10</c:v>
                </c:pt>
                <c:pt idx="3">
                  <c:v>25</c:v>
                </c:pt>
                <c:pt idx="4">
                  <c:v>57</c:v>
                </c:pt>
                <c:pt idx="5">
                  <c:v>109</c:v>
                </c:pt>
                <c:pt idx="6">
                  <c:v>138</c:v>
                </c:pt>
                <c:pt idx="7">
                  <c:v>290</c:v>
                </c:pt>
                <c:pt idx="8">
                  <c:v>341</c:v>
                </c:pt>
                <c:pt idx="9">
                  <c:v>362</c:v>
                </c:pt>
                <c:pt idx="10">
                  <c:v>374</c:v>
                </c:pt>
                <c:pt idx="11">
                  <c:v>314</c:v>
                </c:pt>
                <c:pt idx="12">
                  <c:v>133</c:v>
                </c:pt>
                <c:pt idx="13">
                  <c:v>194</c:v>
                </c:pt>
                <c:pt idx="14">
                  <c:v>208</c:v>
                </c:pt>
                <c:pt idx="15">
                  <c:v>228</c:v>
                </c:pt>
                <c:pt idx="16">
                  <c:v>366</c:v>
                </c:pt>
                <c:pt idx="17">
                  <c:v>463</c:v>
                </c:pt>
                <c:pt idx="18">
                  <c:v>600</c:v>
                </c:pt>
                <c:pt idx="19">
                  <c:v>694</c:v>
                </c:pt>
                <c:pt idx="20">
                  <c:v>161</c:v>
                </c:pt>
              </c:numCache>
            </c:numRef>
          </c:val>
          <c:smooth val="0"/>
        </c:ser>
        <c:ser>
          <c:idx val="2"/>
          <c:order val="2"/>
          <c:tx>
            <c:strRef>
              <c:f>Sheet1!$D$1</c:f>
              <c:strCache>
                <c:ptCount val="1"/>
                <c:pt idx="0">
                  <c:v>اللاذقية</c:v>
                </c:pt>
              </c:strCache>
            </c:strRef>
          </c:tx>
          <c:spPr>
            <a:ln w="28575">
              <a:solidFill>
                <a:srgbClr val="C2571A"/>
              </a:solidFill>
            </a:ln>
          </c:spPr>
          <c:marker>
            <c:symbol val="circle"/>
            <c:size val="5"/>
            <c:spPr>
              <a:solidFill>
                <a:srgbClr val="C2571A"/>
              </a:solidFill>
              <a:ln>
                <a:solidFill>
                  <a:srgbClr val="C2571A"/>
                </a:solidFill>
              </a:ln>
            </c:spPr>
          </c:marker>
          <c:cat>
            <c:strRef>
              <c:f>Sheet1!$A$2:$A$22</c:f>
              <c:strCache>
                <c:ptCount val="21"/>
                <c:pt idx="0">
                  <c:v>2025-01</c:v>
                </c:pt>
                <c:pt idx="1">
                  <c:v>2025-02</c:v>
                </c:pt>
                <c:pt idx="2">
                  <c:v>2025-03</c:v>
                </c:pt>
                <c:pt idx="3">
                  <c:v>2025-04</c:v>
                </c:pt>
                <c:pt idx="4">
                  <c:v>2025-05</c:v>
                </c:pt>
                <c:pt idx="5">
                  <c:v>2025-06</c:v>
                </c:pt>
                <c:pt idx="6">
                  <c:v>2025-07</c:v>
                </c:pt>
                <c:pt idx="7">
                  <c:v>2025-08</c:v>
                </c:pt>
                <c:pt idx="8">
                  <c:v>2025-09</c:v>
                </c:pt>
                <c:pt idx="9">
                  <c:v>2025-10</c:v>
                </c:pt>
                <c:pt idx="10">
                  <c:v>2025-11</c:v>
                </c:pt>
                <c:pt idx="11">
                  <c:v>2025-12</c:v>
                </c:pt>
                <c:pt idx="12">
                  <c:v>2026-01</c:v>
                </c:pt>
                <c:pt idx="13">
                  <c:v>2026-02</c:v>
                </c:pt>
                <c:pt idx="14">
                  <c:v>2026-03</c:v>
                </c:pt>
                <c:pt idx="15">
                  <c:v>2026-04</c:v>
                </c:pt>
                <c:pt idx="16">
                  <c:v>2026-05</c:v>
                </c:pt>
                <c:pt idx="17">
                  <c:v>2026-06</c:v>
                </c:pt>
                <c:pt idx="18">
                  <c:v>2026-07</c:v>
                </c:pt>
                <c:pt idx="19">
                  <c:v>2026-08</c:v>
                </c:pt>
                <c:pt idx="20">
                  <c:v>2026-09</c:v>
                </c:pt>
              </c:strCache>
            </c:strRef>
          </c:cat>
          <c:val>
            <c:numRef>
              <c:f>Sheet1!$D$2:$D$22</c:f>
              <c:numCache>
                <c:formatCode>General</c:formatCode>
                <c:ptCount val="21"/>
                <c:pt idx="0">
                  <c:v>4</c:v>
                </c:pt>
                <c:pt idx="1">
                  <c:v>0</c:v>
                </c:pt>
                <c:pt idx="2">
                  <c:v>7</c:v>
                </c:pt>
                <c:pt idx="3">
                  <c:v>7</c:v>
                </c:pt>
                <c:pt idx="4">
                  <c:v>6</c:v>
                </c:pt>
                <c:pt idx="5">
                  <c:v>5</c:v>
                </c:pt>
                <c:pt idx="6">
                  <c:v>6</c:v>
                </c:pt>
                <c:pt idx="7">
                  <c:v>2</c:v>
                </c:pt>
                <c:pt idx="8">
                  <c:v>13</c:v>
                </c:pt>
                <c:pt idx="9">
                  <c:v>15</c:v>
                </c:pt>
                <c:pt idx="10">
                  <c:v>21</c:v>
                </c:pt>
                <c:pt idx="11">
                  <c:v>37</c:v>
                </c:pt>
                <c:pt idx="12">
                  <c:v>6</c:v>
                </c:pt>
                <c:pt idx="13">
                  <c:v>14</c:v>
                </c:pt>
                <c:pt idx="14">
                  <c:v>0</c:v>
                </c:pt>
                <c:pt idx="15">
                  <c:v>8</c:v>
                </c:pt>
                <c:pt idx="16">
                  <c:v>16</c:v>
                </c:pt>
                <c:pt idx="17">
                  <c:v>25</c:v>
                </c:pt>
                <c:pt idx="18">
                  <c:v>31</c:v>
                </c:pt>
                <c:pt idx="19">
                  <c:v>24</c:v>
                </c:pt>
                <c:pt idx="20">
                  <c:v>5</c:v>
                </c:pt>
              </c:numCache>
            </c:numRef>
          </c:val>
          <c:smooth val="0"/>
        </c:ser>
        <c:marker val="1"/>
        <c:smooth val="0"/>
        <c:axId val="2118791784"/>
        <c:axId val="2140495176"/>
      </c:lineChart>
      <c:catAx>
        <c:axId val="2118791784"/>
        <c:scaling>
          <c:orientation val="minMax"/>
        </c:scaling>
        <c:delete val="0"/>
        <c:axPos val="b"/>
        <c:majorTickMark val="out"/>
        <c:minorTickMark val="none"/>
        <c:tickLblPos val="nextTo"/>
        <c:txPr>
          <a:bodyPr/>
          <a:lstStyle/>
          <a:p>
            <a:pPr>
              <a:defRPr sz="950">
                <a:latin typeface="Segoe UI"/>
              </a:defRPr>
            </a:pPr>
          </a:p>
        </c:txPr>
        <c:crossAx val="2140495176"/>
        <c:crosses val="autoZero"/>
        <c:auto val="1"/>
        <c:lblAlgn val="ctr"/>
        <c:lblOffset val="100"/>
        <c:noMultiLvlLbl val="0"/>
      </c:catAx>
      <c:valAx>
        <c:axId val="2140495176"/>
        <c:scaling/>
        <c:delete val="0"/>
        <c:axPos val="l"/>
        <c:majorGridlines>
          <c:spPr>
            <a:ln w="6350">
              <a:solidFill>
                <a:srgbClr val="E5E7EB"/>
              </a:solidFill>
            </a:ln>
          </c:spPr>
        </c:majorGridlines>
        <c:numFmt formatCode="#,##0" sourceLinked="0"/>
        <c:majorTickMark val="out"/>
        <c:minorTickMark val="none"/>
        <c:tickLblPos val="nextTo"/>
        <c:spPr>
          <a:ln>
            <a:solidFill>
              <a:srgbClr val="9CA3AF"/>
            </a:solidFill>
          </a:ln>
        </c:spPr>
        <c:txPr>
          <a:bodyPr/>
          <a:lstStyle/>
          <a:p>
            <a:pPr>
              <a:defRPr sz="900">
                <a:latin typeface="Segoe UI"/>
              </a:defRPr>
            </a:pPr>
          </a:p>
        </c:txPr>
        <c:crossAx val="2118791784"/>
        <c:crosses val="autoZero"/>
      </c:valAx>
    </c:plotArea>
    <c:legend>
      <c:legendPos val="b"/>
      <c:layout/>
      <c:overlay val="0"/>
      <c:txPr>
        <a:bodyPr/>
        <a:lstStyle/>
        <a:p>
          <a:pPr>
            <a:defRPr sz="950">
              <a:latin typeface="Segoe UI"/>
            </a:defRPr>
          </a:pPr>
        </a:p>
      </c:txPr>
    </c:legend>
    <c:plotVisOnly val="1"/>
    <c:dispBlanksAs val="gap"/>
    <c:showDLblsOverMax val="0"/>
  </c:chart>
  <c:txPr>
    <a:bodyPr/>
    <a:lstStyle/>
    <a:p>
      <a:pPr>
        <a:defRPr sz="1000">
          <a:latin typeface="Segoe UI"/>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chart>
    <c:title>
      <c:tx>
        <c:rich>
          <a:bodyPr/>
          <a:lstStyle/>
          <a:p>
            <a:r>
              <a:rPr sz="1250" b="1">
                <a:solidFill>
                  <a:srgbClr val="0F2A5C"/>
                </a:solidFill>
                <a:latin typeface="Segoe UI"/>
              </a:rPr>
              <a:t>تركيب الحركة حسب الفئة (نسبة مئوية)</a:t>
            </a:r>
          </a:p>
        </c:rich>
      </c:tx>
      <c:layout/>
      <c:overlay val="0"/>
    </c:title>
    <c:autoTitleDeleted val="0"/>
    <c:plotArea>
      <c:barChart>
        <c:barDir val="bar"/>
        <c:grouping val="stacked"/>
        <c:ser>
          <c:idx val="0"/>
          <c:order val="0"/>
          <c:tx>
            <c:strRef>
              <c:f>Sheet1!$B$1</c:f>
              <c:strCache>
                <c:ptCount val="1"/>
                <c:pt idx="0">
                  <c:v>رحلات ركاب</c:v>
                </c:pt>
              </c:strCache>
            </c:strRef>
          </c:tx>
          <c:spPr>
            <a:solidFill>
              <a:srgbClr val="2563EB"/>
            </a:solidFill>
            <a:ln>
              <a:noFill/>
            </a:ln>
          </c:spPr>
          <c:cat>
            <c:strRef>
              <c:f>Sheet1!$A$2:$A$4</c:f>
              <c:strCache>
                <c:ptCount val="3"/>
                <c:pt idx="0">
                  <c:v>اللاذقية</c:v>
                </c:pt>
                <c:pt idx="1">
                  <c:v>حلب</c:v>
                </c:pt>
                <c:pt idx="2">
                  <c:v>دمشق</c:v>
                </c:pt>
              </c:strCache>
            </c:strRef>
          </c:cat>
          <c:val>
            <c:numRef>
              <c:f>Sheet1!$B$2:$B$4</c:f>
              <c:numCache>
                <c:formatCode>General</c:formatCode>
                <c:ptCount val="3"/>
                <c:pt idx="0">
                  <c:v>94.6</c:v>
                </c:pt>
                <c:pt idx="1">
                  <c:v>95.4</c:v>
                </c:pt>
                <c:pt idx="2">
                  <c:v>0</c:v>
                </c:pt>
              </c:numCache>
            </c:numRef>
          </c:val>
        </c:ser>
        <c:ser>
          <c:idx val="1"/>
          <c:order val="1"/>
          <c:tx>
            <c:strRef>
              <c:f>Sheet1!$C$1</c:f>
              <c:strCache>
                <c:ptCount val="1"/>
                <c:pt idx="0">
                  <c:v>شحن جوي</c:v>
                </c:pt>
              </c:strCache>
            </c:strRef>
          </c:tx>
          <c:spPr>
            <a:solidFill>
              <a:srgbClr val="7C3AED"/>
            </a:solidFill>
            <a:ln>
              <a:noFill/>
            </a:ln>
          </c:spPr>
          <c:cat>
            <c:strRef>
              <c:f>Sheet1!$A$2:$A$4</c:f>
              <c:strCache>
                <c:ptCount val="3"/>
                <c:pt idx="0">
                  <c:v>اللاذقية</c:v>
                </c:pt>
                <c:pt idx="1">
                  <c:v>حلب</c:v>
                </c:pt>
                <c:pt idx="2">
                  <c:v>دمشق</c:v>
                </c:pt>
              </c:strCache>
            </c:strRef>
          </c:cat>
          <c:val>
            <c:numRef>
              <c:f>Sheet1!$C$2:$C$4</c:f>
              <c:numCache>
                <c:formatCode>General</c:formatCode>
                <c:ptCount val="3"/>
                <c:pt idx="0">
                  <c:v>0.7</c:v>
                </c:pt>
                <c:pt idx="1">
                  <c:v>0</c:v>
                </c:pt>
                <c:pt idx="2">
                  <c:v>0.4</c:v>
                </c:pt>
              </c:numCache>
            </c:numRef>
          </c:val>
        </c:ser>
        <c:ser>
          <c:idx val="2"/>
          <c:order val="2"/>
          <c:tx>
            <c:strRef>
              <c:f>Sheet1!$D$1</c:f>
              <c:strCache>
                <c:ptCount val="1"/>
                <c:pt idx="0">
                  <c:v>طيران أعمال</c:v>
                </c:pt>
              </c:strCache>
            </c:strRef>
          </c:tx>
          <c:spPr>
            <a:solidFill>
              <a:srgbClr val="0891B2"/>
            </a:solidFill>
            <a:ln>
              <a:noFill/>
            </a:ln>
          </c:spPr>
          <c:cat>
            <c:strRef>
              <c:f>Sheet1!$A$2:$A$4</c:f>
              <c:strCache>
                <c:ptCount val="3"/>
                <c:pt idx="0">
                  <c:v>اللاذقية</c:v>
                </c:pt>
                <c:pt idx="1">
                  <c:v>حلب</c:v>
                </c:pt>
                <c:pt idx="2">
                  <c:v>دمشق</c:v>
                </c:pt>
              </c:strCache>
            </c:strRef>
          </c:cat>
          <c:val>
            <c:numRef>
              <c:f>Sheet1!$D$2:$D$4</c:f>
              <c:numCache>
                <c:formatCode>General</c:formatCode>
                <c:ptCount val="3"/>
                <c:pt idx="0">
                  <c:v>2.3</c:v>
                </c:pt>
                <c:pt idx="1">
                  <c:v>2.4</c:v>
                </c:pt>
                <c:pt idx="2">
                  <c:v>0</c:v>
                </c:pt>
              </c:numCache>
            </c:numRef>
          </c:val>
        </c:ser>
        <c:ser>
          <c:idx val="3"/>
          <c:order val="3"/>
          <c:tx>
            <c:strRef>
              <c:f>Sheet1!$E$1</c:f>
              <c:strCache>
                <c:ptCount val="1"/>
                <c:pt idx="0">
                  <c:v>عسكري وحكومي</c:v>
                </c:pt>
              </c:strCache>
            </c:strRef>
          </c:tx>
          <c:spPr>
            <a:solidFill>
              <a:srgbClr val="D64545"/>
            </a:solidFill>
            <a:ln>
              <a:noFill/>
            </a:ln>
          </c:spPr>
          <c:cat>
            <c:strRef>
              <c:f>Sheet1!$A$2:$A$4</c:f>
              <c:strCache>
                <c:ptCount val="3"/>
                <c:pt idx="0">
                  <c:v>اللاذقية</c:v>
                </c:pt>
                <c:pt idx="1">
                  <c:v>حلب</c:v>
                </c:pt>
                <c:pt idx="2">
                  <c:v>دمشق</c:v>
                </c:pt>
              </c:strCache>
            </c:strRef>
          </c:cat>
          <c:val>
            <c:numRef>
              <c:f>Sheet1!$E$2:$E$4</c:f>
              <c:numCache>
                <c:formatCode>General</c:formatCode>
                <c:ptCount val="3"/>
                <c:pt idx="0">
                  <c:v>0.8</c:v>
                </c:pt>
                <c:pt idx="1">
                  <c:v>0.5</c:v>
                </c:pt>
                <c:pt idx="2">
                  <c:v>96.0</c:v>
                </c:pt>
              </c:numCache>
            </c:numRef>
          </c:val>
        </c:ser>
        <c:ser>
          <c:idx val="4"/>
          <c:order val="4"/>
          <c:tx>
            <c:strRef>
              <c:f>Sheet1!$F$1</c:f>
              <c:strCache>
                <c:ptCount val="1"/>
                <c:pt idx="0">
                  <c:v>أخرى/غير مصنّف</c:v>
                </c:pt>
              </c:strCache>
            </c:strRef>
          </c:tx>
          <c:spPr>
            <a:solidFill>
              <a:srgbClr val="CBD5E1"/>
            </a:solidFill>
            <a:ln>
              <a:noFill/>
            </a:ln>
          </c:spPr>
          <c:cat>
            <c:strRef>
              <c:f>Sheet1!$A$2:$A$4</c:f>
              <c:strCache>
                <c:ptCount val="3"/>
                <c:pt idx="0">
                  <c:v>اللاذقية</c:v>
                </c:pt>
                <c:pt idx="1">
                  <c:v>حلب</c:v>
                </c:pt>
                <c:pt idx="2">
                  <c:v>دمشق</c:v>
                </c:pt>
              </c:strCache>
            </c:strRef>
          </c:cat>
          <c:val>
            <c:numRef>
              <c:f>Sheet1!$F$2:$F$4</c:f>
              <c:numCache>
                <c:formatCode>General</c:formatCode>
                <c:ptCount val="3"/>
                <c:pt idx="0">
                  <c:v>1.6000000000000085</c:v>
                </c:pt>
                <c:pt idx="1">
                  <c:v>1.6999999999999886</c:v>
                </c:pt>
                <c:pt idx="2">
                  <c:v>3.5999999999999943</c:v>
                </c:pt>
              </c:numCache>
            </c:numRef>
          </c:val>
        </c:ser>
        <c:overlap val="100"/>
        <c:axId val="-2068027336"/>
        <c:axId val="-2113994440"/>
      </c:barChart>
      <c:catAx>
        <c:axId val="-2068027336"/>
        <c:scaling>
          <c:orientation val="minMax"/>
        </c:scaling>
        <c:delete val="0"/>
        <c:axPos val="l"/>
        <c:majorTickMark val="out"/>
        <c:minorTickMark val="none"/>
        <c:tickLblPos val="nextTo"/>
        <c:txPr>
          <a:bodyPr/>
          <a:lstStyle/>
          <a:p>
            <a:pPr>
              <a:defRPr sz="950">
                <a:latin typeface="Segoe UI"/>
              </a:defRPr>
            </a:pPr>
          </a:p>
        </c:txPr>
        <c:crossAx val="-2113994440"/>
        <c:crosses val="autoZero"/>
        <c:auto val="1"/>
        <c:lblAlgn val="ctr"/>
        <c:lblOffset val="100"/>
        <c:noMultiLvlLbl val="0"/>
      </c:catAx>
      <c:valAx>
        <c:axId val="-2113994440"/>
        <c:scaling/>
        <c:delete val="0"/>
        <c:axPos val="b"/>
        <c:majorGridlines>
          <c:spPr>
            <a:ln w="6350">
              <a:solidFill>
                <a:srgbClr val="E5E7EB"/>
              </a:solidFill>
            </a:ln>
          </c:spPr>
        </c:majorGridlines>
        <c:numFmt formatCode="#,##0" sourceLinked="0"/>
        <c:majorTickMark val="out"/>
        <c:minorTickMark val="none"/>
        <c:tickLblPos val="nextTo"/>
        <c:spPr>
          <a:ln>
            <a:solidFill>
              <a:srgbClr val="9CA3AF"/>
            </a:solidFill>
          </a:ln>
        </c:spPr>
        <c:txPr>
          <a:bodyPr/>
          <a:lstStyle/>
          <a:p>
            <a:pPr>
              <a:defRPr sz="900">
                <a:latin typeface="Segoe UI"/>
              </a:defRPr>
            </a:pPr>
          </a:p>
        </c:txPr>
        <c:crossAx val="-2068027336"/>
        <c:crosses val="autoZero"/>
      </c:valAx>
    </c:plotArea>
    <c:legend>
      <c:legendPos val="b"/>
      <c:overlay val="0"/>
      <c:txPr>
        <a:bodyPr/>
        <a:lstStyle/>
        <a:p>
          <a:pPr>
            <a:defRPr sz="950">
              <a:latin typeface="Segoe UI"/>
            </a:defRPr>
          </a:pPr>
        </a:p>
      </c:txPr>
    </c:legend>
    <c:dispBlanksAs val="gap"/>
  </c:chart>
  <c:txPr>
    <a:bodyPr/>
    <a:lstStyle/>
    <a:p>
      <a:pPr>
        <a:defRPr sz="1000">
          <a:latin typeface="Segoe UI"/>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chart>
    <c:title>
      <c:tx>
        <c:rich>
          <a:bodyPr/>
          <a:lstStyle/>
          <a:p>
            <a:r>
              <a:rPr sz="1250" b="1">
                <a:solidFill>
                  <a:srgbClr val="0F2A5C"/>
                </a:solidFill>
                <a:latin typeface="Segoe UI"/>
              </a:rPr>
              <a:t>أكبر 12 شركة تشغيل عبر المطارات الثلاثة</a:t>
            </a:r>
          </a:p>
        </c:rich>
      </c:tx>
      <c:layout/>
      <c:overlay val="0"/>
    </c:title>
    <c:autoTitleDeleted val="0"/>
    <c:plotArea>
      <c:barChart>
        <c:barDir val="bar"/>
        <c:grouping val="stacked"/>
        <c:ser>
          <c:idx val="0"/>
          <c:order val="0"/>
          <c:tx>
            <c:strRef>
              <c:f>Sheet1!$B$1</c:f>
              <c:strCache>
                <c:ptCount val="1"/>
                <c:pt idx="0">
                  <c:v>حلب</c:v>
                </c:pt>
              </c:strCache>
            </c:strRef>
          </c:tx>
          <c:spPr>
            <a:solidFill>
              <a:srgbClr val="0E8A5F"/>
            </a:solidFill>
            <a:ln>
              <a:noFill/>
            </a:ln>
          </c:spPr>
          <c:cat>
            <c:strRef>
              <c:f>Sheet1!$A$2:$A$13</c:f>
              <c:strCache>
                <c:ptCount val="12"/>
                <c:pt idx="0">
                  <c:v>فلاي ديل (FAD)</c:v>
                </c:pt>
                <c:pt idx="1">
                  <c:v>الجزيرة الكويتية (JZR)</c:v>
                </c:pt>
                <c:pt idx="2">
                  <c:v>الخطوط القطرية (QTR)</c:v>
                </c:pt>
                <c:pt idx="3">
                  <c:v>إيه جت AJet (TKJ)</c:v>
                </c:pt>
                <c:pt idx="4">
                  <c:v>فلاي دبي (FDB)</c:v>
                </c:pt>
                <c:pt idx="5">
                  <c:v>أجنحة الشام (SAW)</c:v>
                </c:pt>
                <c:pt idx="6">
                  <c:v>العربية للطيران (ABY)</c:v>
                </c:pt>
                <c:pt idx="7">
                  <c:v>فلاي ناس (KNE)</c:v>
                </c:pt>
                <c:pt idx="8">
                  <c:v>الخطوط التركية (THY)</c:v>
                </c:pt>
                <c:pt idx="9">
                  <c:v>الملكية الأردنية (RJA)</c:v>
                </c:pt>
                <c:pt idx="10">
                  <c:v>الخطوط الجوية السورية (SYR)</c:v>
                </c:pt>
                <c:pt idx="11">
                  <c:v>فلاي شام (FYC)</c:v>
                </c:pt>
              </c:strCache>
            </c:strRef>
          </c:cat>
          <c:val>
            <c:numRef>
              <c:f>Sheet1!$B$2:$B$13</c:f>
              <c:numCache>
                <c:formatCode>General</c:formatCode>
                <c:ptCount val="12"/>
                <c:pt idx="0">
                  <c:v>514</c:v>
                </c:pt>
                <c:pt idx="1">
                  <c:v>900</c:v>
                </c:pt>
                <c:pt idx="2">
                  <c:v>1207</c:v>
                </c:pt>
                <c:pt idx="3">
                  <c:v>768</c:v>
                </c:pt>
                <c:pt idx="4">
                  <c:v>1334</c:v>
                </c:pt>
                <c:pt idx="5">
                  <c:v>1329</c:v>
                </c:pt>
                <c:pt idx="6">
                  <c:v>1352</c:v>
                </c:pt>
                <c:pt idx="7">
                  <c:v>1564</c:v>
                </c:pt>
                <c:pt idx="8">
                  <c:v>1035</c:v>
                </c:pt>
                <c:pt idx="9">
                  <c:v>1678</c:v>
                </c:pt>
                <c:pt idx="10">
                  <c:v>3166</c:v>
                </c:pt>
                <c:pt idx="11">
                  <c:v>3027</c:v>
                </c:pt>
              </c:numCache>
            </c:numRef>
          </c:val>
        </c:ser>
        <c:ser>
          <c:idx val="1"/>
          <c:order val="1"/>
          <c:tx>
            <c:strRef>
              <c:f>Sheet1!$C$1</c:f>
              <c:strCache>
                <c:ptCount val="1"/>
                <c:pt idx="0">
                  <c:v>دمشق</c:v>
                </c:pt>
              </c:strCache>
            </c:strRef>
          </c:tx>
          <c:spPr>
            <a:solidFill>
              <a:srgbClr val="1E5AA8"/>
            </a:solidFill>
            <a:ln>
              <a:noFill/>
            </a:ln>
          </c:spPr>
          <c:cat>
            <c:strRef>
              <c:f>Sheet1!$A$2:$A$13</c:f>
              <c:strCache>
                <c:ptCount val="12"/>
                <c:pt idx="0">
                  <c:v>فلاي ديل (FAD)</c:v>
                </c:pt>
                <c:pt idx="1">
                  <c:v>الجزيرة الكويتية (JZR)</c:v>
                </c:pt>
                <c:pt idx="2">
                  <c:v>الخطوط القطرية (QTR)</c:v>
                </c:pt>
                <c:pt idx="3">
                  <c:v>إيه جت AJet (TKJ)</c:v>
                </c:pt>
                <c:pt idx="4">
                  <c:v>فلاي دبي (FDB)</c:v>
                </c:pt>
                <c:pt idx="5">
                  <c:v>أجنحة الشام (SAW)</c:v>
                </c:pt>
                <c:pt idx="6">
                  <c:v>العربية للطيران (ABY)</c:v>
                </c:pt>
                <c:pt idx="7">
                  <c:v>فلاي ناس (KNE)</c:v>
                </c:pt>
                <c:pt idx="8">
                  <c:v>الخطوط التركية (THY)</c:v>
                </c:pt>
                <c:pt idx="9">
                  <c:v>الملكية الأردنية (RJA)</c:v>
                </c:pt>
                <c:pt idx="10">
                  <c:v>الخطوط الجوية السورية (SYR)</c:v>
                </c:pt>
                <c:pt idx="11">
                  <c:v>فلاي شام (FYC)</c:v>
                </c:pt>
              </c:strCache>
            </c:strRef>
          </c:cat>
          <c:val>
            <c:numRef>
              <c:f>Sheet1!$C$2:$C$13</c:f>
              <c:numCache>
                <c:formatCode>General</c:formatCode>
                <c:ptCount val="12"/>
                <c:pt idx="0">
                  <c:v>59</c:v>
                </c:pt>
                <c:pt idx="1">
                  <c:v>40</c:v>
                </c:pt>
                <c:pt idx="2">
                  <c:v>142</c:v>
                </c:pt>
                <c:pt idx="3">
                  <c:v>595</c:v>
                </c:pt>
                <c:pt idx="4">
                  <c:v>88</c:v>
                </c:pt>
                <c:pt idx="5">
                  <c:v>107</c:v>
                </c:pt>
                <c:pt idx="6">
                  <c:v>137</c:v>
                </c:pt>
                <c:pt idx="7">
                  <c:v>26</c:v>
                </c:pt>
                <c:pt idx="8">
                  <c:v>733</c:v>
                </c:pt>
                <c:pt idx="9">
                  <c:v>1407</c:v>
                </c:pt>
                <c:pt idx="10">
                  <c:v>463</c:v>
                </c:pt>
                <c:pt idx="11">
                  <c:v>687</c:v>
                </c:pt>
              </c:numCache>
            </c:numRef>
          </c:val>
        </c:ser>
        <c:ser>
          <c:idx val="2"/>
          <c:order val="2"/>
          <c:tx>
            <c:strRef>
              <c:f>Sheet1!$D$1</c:f>
              <c:strCache>
                <c:ptCount val="1"/>
                <c:pt idx="0">
                  <c:v>اللاذقية</c:v>
                </c:pt>
              </c:strCache>
            </c:strRef>
          </c:tx>
          <c:spPr>
            <a:solidFill>
              <a:srgbClr val="C2571A"/>
            </a:solidFill>
            <a:ln>
              <a:noFill/>
            </a:ln>
          </c:spPr>
          <c:cat>
            <c:strRef>
              <c:f>Sheet1!$A$2:$A$13</c:f>
              <c:strCache>
                <c:ptCount val="12"/>
                <c:pt idx="0">
                  <c:v>فلاي ديل (FAD)</c:v>
                </c:pt>
                <c:pt idx="1">
                  <c:v>الجزيرة الكويتية (JZR)</c:v>
                </c:pt>
                <c:pt idx="2">
                  <c:v>الخطوط القطرية (QTR)</c:v>
                </c:pt>
                <c:pt idx="3">
                  <c:v>إيه جت AJet (TKJ)</c:v>
                </c:pt>
                <c:pt idx="4">
                  <c:v>فلاي دبي (FDB)</c:v>
                </c:pt>
                <c:pt idx="5">
                  <c:v>أجنحة الشام (SAW)</c:v>
                </c:pt>
                <c:pt idx="6">
                  <c:v>العربية للطيران (ABY)</c:v>
                </c:pt>
                <c:pt idx="7">
                  <c:v>فلاي ناس (KNE)</c:v>
                </c:pt>
                <c:pt idx="8">
                  <c:v>الخطوط التركية (THY)</c:v>
                </c:pt>
                <c:pt idx="9">
                  <c:v>الملكية الأردنية (RJA)</c:v>
                </c:pt>
                <c:pt idx="10">
                  <c:v>الخطوط الجوية السورية (SYR)</c:v>
                </c:pt>
                <c:pt idx="11">
                  <c:v>فلاي شام (FYC)</c:v>
                </c:pt>
              </c:strCache>
            </c:strRef>
          </c:cat>
          <c:val>
            <c:numRef>
              <c:f>Sheet1!$D$2:$D$13</c:f>
              <c:numCache>
                <c:formatCode>General</c:formatCode>
                <c:ptCount val="12"/>
                <c:pt idx="0">
                  <c:v>0</c:v>
                </c:pt>
                <c:pt idx="1">
                  <c:v>0</c:v>
                </c:pt>
                <c:pt idx="2">
                  <c:v>0</c:v>
                </c:pt>
                <c:pt idx="3">
                  <c:v>0</c:v>
                </c:pt>
                <c:pt idx="4">
                  <c:v>0</c:v>
                </c:pt>
                <c:pt idx="5">
                  <c:v>0</c:v>
                </c:pt>
                <c:pt idx="6">
                  <c:v>0</c:v>
                </c:pt>
                <c:pt idx="7">
                  <c:v>0</c:v>
                </c:pt>
                <c:pt idx="8">
                  <c:v>0</c:v>
                </c:pt>
                <c:pt idx="9">
                  <c:v>0</c:v>
                </c:pt>
                <c:pt idx="10">
                  <c:v>0</c:v>
                </c:pt>
                <c:pt idx="11">
                  <c:v>0</c:v>
                </c:pt>
              </c:numCache>
            </c:numRef>
          </c:val>
        </c:ser>
        <c:overlap val="100"/>
        <c:axId val="-2068027336"/>
        <c:axId val="-2113994440"/>
      </c:barChart>
      <c:catAx>
        <c:axId val="-2068027336"/>
        <c:scaling>
          <c:orientation val="minMax"/>
        </c:scaling>
        <c:delete val="0"/>
        <c:axPos val="l"/>
        <c:majorTickMark val="out"/>
        <c:minorTickMark val="none"/>
        <c:tickLblPos val="nextTo"/>
        <c:txPr>
          <a:bodyPr/>
          <a:lstStyle/>
          <a:p>
            <a:pPr>
              <a:defRPr sz="950">
                <a:latin typeface="Segoe UI"/>
              </a:defRPr>
            </a:pPr>
          </a:p>
        </c:txPr>
        <c:crossAx val="-2113994440"/>
        <c:crosses val="autoZero"/>
        <c:auto val="1"/>
        <c:lblAlgn val="ctr"/>
        <c:lblOffset val="100"/>
        <c:noMultiLvlLbl val="0"/>
      </c:catAx>
      <c:valAx>
        <c:axId val="-2113994440"/>
        <c:scaling/>
        <c:delete val="0"/>
        <c:axPos val="b"/>
        <c:majorGridlines>
          <c:spPr>
            <a:ln w="6350">
              <a:solidFill>
                <a:srgbClr val="E5E7EB"/>
              </a:solidFill>
            </a:ln>
          </c:spPr>
        </c:majorGridlines>
        <c:numFmt formatCode="#,##0" sourceLinked="0"/>
        <c:majorTickMark val="out"/>
        <c:minorTickMark val="none"/>
        <c:tickLblPos val="nextTo"/>
        <c:spPr>
          <a:ln>
            <a:solidFill>
              <a:srgbClr val="9CA3AF"/>
            </a:solidFill>
          </a:ln>
        </c:spPr>
        <c:txPr>
          <a:bodyPr/>
          <a:lstStyle/>
          <a:p>
            <a:pPr>
              <a:defRPr sz="900">
                <a:latin typeface="Segoe UI"/>
              </a:defRPr>
            </a:pPr>
          </a:p>
        </c:txPr>
        <c:crossAx val="-2068027336"/>
        <c:crosses val="autoZero"/>
      </c:valAx>
    </c:plotArea>
    <c:legend>
      <c:legendPos val="b"/>
      <c:overlay val="0"/>
      <c:txPr>
        <a:bodyPr/>
        <a:lstStyle/>
        <a:p>
          <a:pPr>
            <a:defRPr sz="950">
              <a:latin typeface="Segoe UI"/>
            </a:defRPr>
          </a:pPr>
        </a:p>
      </c:txPr>
    </c:legend>
    <c:dispBlanksAs val="gap"/>
  </c:chart>
  <c:txPr>
    <a:bodyPr/>
    <a:lstStyle/>
    <a:p>
      <a:pPr>
        <a:defRPr sz="1000">
          <a:latin typeface="Segoe UI"/>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roundedCorners val="0"/>
  <c:chart>
    <c:title>
      <c:tx>
        <c:rich>
          <a:bodyPr/>
          <a:lstStyle/>
          <a:p>
            <a:r>
              <a:rPr sz="1250" b="1">
                <a:solidFill>
                  <a:srgbClr val="0F2A5C"/>
                </a:solidFill>
                <a:latin typeface="Segoe UI"/>
              </a:rPr>
              <a:t>حصص السوق — دمشق (أكبر 7 شركات + آخرون)</a:t>
            </a:r>
          </a:p>
        </c:rich>
      </c:tx>
      <c:layout/>
      <c:overlay val="0"/>
    </c:title>
    <c:autoTitleDeleted val="0"/>
    <c:plotArea>
      <c:layout/>
      <c:doughnutChart>
        <c:varyColors val="1"/>
        <c:ser>
          <c:idx val="0"/>
          <c:order val="0"/>
          <c:tx>
            <c:strRef>
              <c:f>Sheet1!$B$1</c:f>
              <c:strCache>
                <c:ptCount val="1"/>
                <c:pt idx="0">
                  <c:v>عدد الحركات</c:v>
                </c:pt>
              </c:strCache>
            </c:strRef>
          </c:tx>
          <c:dPt>
            <c:idx val="0"/>
            <c:spPr>
              <a:solidFill>
                <a:srgbClr val="1E5AA8"/>
              </a:solidFill>
            </c:spPr>
          </c:dPt>
          <c:dPt>
            <c:idx val="1"/>
            <c:spPr>
              <a:solidFill>
                <a:srgbClr val="3B82C4"/>
              </a:solidFill>
            </c:spPr>
          </c:dPt>
          <c:dPt>
            <c:idx val="2"/>
            <c:spPr>
              <a:solidFill>
                <a:srgbClr val="6BA3D9"/>
              </a:solidFill>
            </c:spPr>
          </c:dPt>
          <c:dPt>
            <c:idx val="3"/>
            <c:spPr>
              <a:solidFill>
                <a:srgbClr val="93B9E3"/>
              </a:solidFill>
            </c:spPr>
          </c:dPt>
          <c:dPt>
            <c:idx val="4"/>
            <c:spPr>
              <a:solidFill>
                <a:srgbClr val="B7CDEA"/>
              </a:solidFill>
            </c:spPr>
          </c:dPt>
          <c:dPt>
            <c:idx val="5"/>
            <c:spPr>
              <a:solidFill>
                <a:srgbClr val="D3E0F2"/>
              </a:solidFill>
            </c:spPr>
          </c:dPt>
          <c:dPt>
            <c:idx val="6"/>
            <c:spPr>
              <a:solidFill>
                <a:srgbClr val="E7EFF9"/>
              </a:solidFill>
            </c:spPr>
          </c:dPt>
          <c:dPt>
            <c:idx val="7"/>
            <c:spPr>
              <a:solidFill>
                <a:srgbClr val="CBD5E1"/>
              </a:solidFill>
            </c:spPr>
          </c:dPt>
          <c:cat>
            <c:strRef>
              <c:f>Sheet1!$A$2:$A$9</c:f>
              <c:strCache>
                <c:ptCount val="8"/>
                <c:pt idx="0">
                  <c:v>الخطوط الجوية السورية (SYR)</c:v>
                </c:pt>
                <c:pt idx="1">
                  <c:v>فلاي شام (FYC)</c:v>
                </c:pt>
                <c:pt idx="2">
                  <c:v>الملكية الأردنية (RJA)</c:v>
                </c:pt>
                <c:pt idx="3">
                  <c:v>فلاي ناس (KNE)</c:v>
                </c:pt>
                <c:pt idx="4">
                  <c:v>العربية للطيران (ABY)</c:v>
                </c:pt>
                <c:pt idx="5">
                  <c:v>فلاي دبي (FDB)</c:v>
                </c:pt>
                <c:pt idx="6">
                  <c:v>أجنحة الشام (SAW)</c:v>
                </c:pt>
                <c:pt idx="7">
                  <c:v>آخرون</c:v>
                </c:pt>
              </c:strCache>
            </c:strRef>
          </c:cat>
          <c:val>
            <c:numRef>
              <c:f>Sheet1!$B$2:$B$9</c:f>
              <c:numCache>
                <c:formatCode>General</c:formatCode>
                <c:ptCount val="8"/>
                <c:pt idx="0">
                  <c:v>3166</c:v>
                </c:pt>
                <c:pt idx="1">
                  <c:v>3027</c:v>
                </c:pt>
                <c:pt idx="2">
                  <c:v>1678</c:v>
                </c:pt>
                <c:pt idx="3">
                  <c:v>1564</c:v>
                </c:pt>
                <c:pt idx="4">
                  <c:v>1352</c:v>
                </c:pt>
                <c:pt idx="5">
                  <c:v>1334</c:v>
                </c:pt>
                <c:pt idx="6">
                  <c:v>1329</c:v>
                </c:pt>
                <c:pt idx="7">
                  <c:v>6293</c:v>
                </c:pt>
              </c:numCache>
            </c:numRef>
          </c:val>
        </c:ser>
        <c:dLbls>
          <c:numFmt formatCode="0%" sourceLinked="0"/>
          <c:txPr>
            <a:bodyPr/>
            <a:lstStyle/>
            <a:p>
              <a:pPr>
                <a:defRPr sz="900" b="1">
                  <a:solidFill>
                    <a:srgbClr val="FFFFFF"/>
                  </a:solidFill>
                </a:defRPr>
              </a:pPr>
            </a:p>
          </c:txPr>
          <c:showLegendKey val="0"/>
          <c:showVal val="0"/>
          <c:showCatName val="0"/>
          <c:showSerName val="0"/>
          <c:showPercent val="1"/>
          <c:showBubbleSize val="0"/>
          <c:showLeaderLines val="1"/>
        </c:dLbls>
        <c:firstSliceAng val="0"/>
        <c:holeSize val="50"/>
      </c:doughnutChart>
    </c:plotArea>
    <c:plotVisOnly val="1"/>
    <c:dispBlanksAs val="gap"/>
    <c:showDLblsOverMax val="0"/>
  </c:chart>
  <c:txPr>
    <a:bodyPr/>
    <a:lstStyle/>
    <a:p>
      <a:pPr>
        <a:defRPr sz="1000">
          <a:latin typeface="Segoe UI"/>
        </a:defRPr>
      </a:pPr>
      <a:endParaR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roundedCorners val="0"/>
  <c:chart>
    <c:title>
      <c:tx>
        <c:rich>
          <a:bodyPr/>
          <a:lstStyle/>
          <a:p>
            <a:r>
              <a:rPr sz="1250" b="1">
                <a:solidFill>
                  <a:srgbClr val="0F2A5C"/>
                </a:solidFill>
                <a:latin typeface="Segoe UI"/>
              </a:rPr>
              <a:t>حصص السوق — حلب (أكبر 7 شركات + آخرون)</a:t>
            </a:r>
          </a:p>
        </c:rich>
      </c:tx>
      <c:layout/>
      <c:overlay val="0"/>
    </c:title>
    <c:autoTitleDeleted val="0"/>
    <c:plotArea>
      <c:layout/>
      <c:doughnutChart>
        <c:varyColors val="1"/>
        <c:ser>
          <c:idx val="0"/>
          <c:order val="0"/>
          <c:tx>
            <c:strRef>
              <c:f>Sheet1!$B$1</c:f>
              <c:strCache>
                <c:ptCount val="1"/>
                <c:pt idx="0">
                  <c:v>عدد الحركات</c:v>
                </c:pt>
              </c:strCache>
            </c:strRef>
          </c:tx>
          <c:dPt>
            <c:idx val="0"/>
            <c:spPr>
              <a:solidFill>
                <a:srgbClr val="0E8A5F"/>
              </a:solidFill>
            </c:spPr>
          </c:dPt>
          <c:dPt>
            <c:idx val="1"/>
            <c:spPr>
              <a:solidFill>
                <a:srgbClr val="2DA44E"/>
              </a:solidFill>
            </c:spPr>
          </c:dPt>
          <c:dPt>
            <c:idx val="2"/>
            <c:spPr>
              <a:solidFill>
                <a:srgbClr val="5CBF7E"/>
              </a:solidFill>
            </c:spPr>
          </c:dPt>
          <c:dPt>
            <c:idx val="3"/>
            <c:spPr>
              <a:solidFill>
                <a:srgbClr val="8BD4A8"/>
              </a:solidFill>
            </c:spPr>
          </c:dPt>
          <c:dPt>
            <c:idx val="4"/>
            <c:spPr>
              <a:solidFill>
                <a:srgbClr val="B8E6CC"/>
              </a:solidFill>
            </c:spPr>
          </c:dPt>
          <c:dPt>
            <c:idx val="5"/>
            <c:spPr>
              <a:solidFill>
                <a:srgbClr val="D5F2E1"/>
              </a:solidFill>
            </c:spPr>
          </c:dPt>
          <c:dPt>
            <c:idx val="6"/>
            <c:spPr>
              <a:solidFill>
                <a:srgbClr val="EAF9F1"/>
              </a:solidFill>
            </c:spPr>
          </c:dPt>
          <c:dPt>
            <c:idx val="7"/>
            <c:spPr>
              <a:solidFill>
                <a:srgbClr val="CBD5E1"/>
              </a:solidFill>
            </c:spPr>
          </c:dPt>
          <c:cat>
            <c:strRef>
              <c:f>Sheet1!$A$2:$A$9</c:f>
              <c:strCache>
                <c:ptCount val="8"/>
                <c:pt idx="0">
                  <c:v>الملكية الأردنية (RJA)</c:v>
                </c:pt>
                <c:pt idx="1">
                  <c:v>الخطوط التركية (THY)</c:v>
                </c:pt>
                <c:pt idx="2">
                  <c:v>فلاي شام (FYC)</c:v>
                </c:pt>
                <c:pt idx="3">
                  <c:v>إيه جت AJet (TKJ)</c:v>
                </c:pt>
                <c:pt idx="4">
                  <c:v>الخطوط الجوية السورية (SYR)</c:v>
                </c:pt>
                <c:pt idx="5">
                  <c:v>بيغاسوس (PGT)</c:v>
                </c:pt>
                <c:pt idx="6">
                  <c:v>الخطوط القطرية (QTR)</c:v>
                </c:pt>
                <c:pt idx="7">
                  <c:v>آخرون</c:v>
                </c:pt>
              </c:strCache>
            </c:strRef>
          </c:cat>
          <c:val>
            <c:numRef>
              <c:f>Sheet1!$B$2:$B$9</c:f>
              <c:numCache>
                <c:formatCode>General</c:formatCode>
                <c:ptCount val="8"/>
                <c:pt idx="0">
                  <c:v>1407</c:v>
                </c:pt>
                <c:pt idx="1">
                  <c:v>733</c:v>
                </c:pt>
                <c:pt idx="2">
                  <c:v>687</c:v>
                </c:pt>
                <c:pt idx="3">
                  <c:v>595</c:v>
                </c:pt>
                <c:pt idx="4">
                  <c:v>463</c:v>
                </c:pt>
                <c:pt idx="5">
                  <c:v>177</c:v>
                </c:pt>
                <c:pt idx="6">
                  <c:v>142</c:v>
                </c:pt>
                <c:pt idx="7">
                  <c:v>864</c:v>
                </c:pt>
              </c:numCache>
            </c:numRef>
          </c:val>
        </c:ser>
        <c:dLbls>
          <c:numFmt formatCode="0%" sourceLinked="0"/>
          <c:txPr>
            <a:bodyPr/>
            <a:lstStyle/>
            <a:p>
              <a:pPr>
                <a:defRPr sz="900" b="1">
                  <a:solidFill>
                    <a:srgbClr val="FFFFFF"/>
                  </a:solidFill>
                </a:defRPr>
              </a:pPr>
            </a:p>
          </c:txPr>
          <c:showLegendKey val="0"/>
          <c:showVal val="0"/>
          <c:showCatName val="0"/>
          <c:showSerName val="0"/>
          <c:showPercent val="1"/>
          <c:showBubbleSize val="0"/>
          <c:showLeaderLines val="1"/>
        </c:dLbls>
        <c:firstSliceAng val="0"/>
        <c:holeSize val="50"/>
      </c:doughnutChart>
    </c:plotArea>
    <c:plotVisOnly val="1"/>
    <c:dispBlanksAs val="gap"/>
    <c:showDLblsOverMax val="0"/>
  </c:chart>
  <c:txPr>
    <a:bodyPr/>
    <a:lstStyle/>
    <a:p>
      <a:pPr>
        <a:defRPr sz="1000">
          <a:latin typeface="Segoe UI"/>
        </a:defRPr>
      </a:pPr>
      <a:endParaR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chart>
    <c:title>
      <c:tx>
        <c:rich>
          <a:bodyPr/>
          <a:lstStyle/>
          <a:p>
            <a:r>
              <a:rPr sz="1250" b="1">
                <a:solidFill>
                  <a:srgbClr val="0F2A5C"/>
                </a:solidFill>
                <a:latin typeface="Segoe UI"/>
              </a:rPr>
              <a:t>أهم 10 وجهات مغادرة — دمشق</a:t>
            </a:r>
          </a:p>
        </c:rich>
      </c:tx>
      <c:layout/>
      <c:overlay val="0"/>
    </c:title>
    <c:autoTitleDeleted val="0"/>
    <c:plotArea>
      <c:barChart>
        <c:barDir val="bar"/>
        <c:grouping val="clustered"/>
        <c:ser>
          <c:idx val="0"/>
          <c:order val="0"/>
          <c:tx>
            <c:strRef>
              <c:f>Sheet1!$B$1</c:f>
              <c:strCache>
                <c:ptCount val="1"/>
                <c:pt idx="0">
                  <c:v>عدد الرحلات</c:v>
                </c:pt>
              </c:strCache>
            </c:strRef>
          </c:tx>
          <c:spPr>
            <a:solidFill>
              <a:srgbClr val="1E5AA8"/>
            </a:solidFill>
            <a:ln>
              <a:noFill/>
            </a:ln>
          </c:spPr>
          <c:cat>
            <c:strRef>
              <c:f>Sheet1!$A$2:$A$11</c:f>
              <c:strCache>
                <c:ptCount val="10"/>
                <c:pt idx="0">
                  <c:v>أبوظبي (AUH)</c:v>
                </c:pt>
                <c:pt idx="1">
                  <c:v>إسطنبول (صبيحة) (SAW)</c:v>
                </c:pt>
                <c:pt idx="2">
                  <c:v>جدة (JED)</c:v>
                </c:pt>
                <c:pt idx="3">
                  <c:v>إسطنبول (IST)</c:v>
                </c:pt>
                <c:pt idx="4">
                  <c:v>الرياض (RUH)</c:v>
                </c:pt>
                <c:pt idx="5">
                  <c:v>الدوحة (DOH)</c:v>
                </c:pt>
                <c:pt idx="6">
                  <c:v>عمّان (AMM)</c:v>
                </c:pt>
                <c:pt idx="7">
                  <c:v>الشارقة (SHJ)</c:v>
                </c:pt>
                <c:pt idx="8">
                  <c:v>دبي (DXB)</c:v>
                </c:pt>
                <c:pt idx="9">
                  <c:v>الكويت (KWI)</c:v>
                </c:pt>
              </c:strCache>
            </c:strRef>
          </c:cat>
          <c:val>
            <c:numRef>
              <c:f>Sheet1!$B$2:$B$11</c:f>
              <c:numCache>
                <c:formatCode>General</c:formatCode>
                <c:ptCount val="10"/>
                <c:pt idx="0">
                  <c:v>334</c:v>
                </c:pt>
                <c:pt idx="1">
                  <c:v>382</c:v>
                </c:pt>
                <c:pt idx="2">
                  <c:v>646</c:v>
                </c:pt>
                <c:pt idx="3">
                  <c:v>730</c:v>
                </c:pt>
                <c:pt idx="4">
                  <c:v>740</c:v>
                </c:pt>
                <c:pt idx="5">
                  <c:v>760</c:v>
                </c:pt>
                <c:pt idx="6">
                  <c:v>887</c:v>
                </c:pt>
                <c:pt idx="7">
                  <c:v>1141</c:v>
                </c:pt>
                <c:pt idx="8">
                  <c:v>1193</c:v>
                </c:pt>
                <c:pt idx="9">
                  <c:v>1418</c:v>
                </c:pt>
              </c:numCache>
            </c:numRef>
          </c:val>
        </c:ser>
        <c:dLbls>
          <c:numFmt formatCode="#,##0" sourceLinked="0"/>
          <c:txPr>
            <a:bodyPr/>
            <a:lstStyle/>
            <a:p>
              <a:pPr>
                <a:defRPr sz="900">
                  <a:solidFill>
                    <a:srgbClr val="374151"/>
                  </a:solidFill>
                  <a:latin typeface="Segoe UI"/>
                </a:defRPr>
              </a:pPr>
            </a:p>
          </c:txPr>
          <c:dLblPos val="outEnd"/>
          <c:showLegendKey val="0"/>
          <c:showVal val="1"/>
          <c:showCatName val="0"/>
          <c:showSerName val="0"/>
          <c:showPercent val="0"/>
          <c:showBubbleSize val="0"/>
          <c:showLeaderLines val="1"/>
        </c:dLbls>
        <c:axId val="-2068027336"/>
        <c:axId val="-2113994440"/>
      </c:barChart>
      <c:catAx>
        <c:axId val="-2068027336"/>
        <c:scaling>
          <c:orientation val="minMax"/>
        </c:scaling>
        <c:delete val="0"/>
        <c:axPos val="l"/>
        <c:majorTickMark val="out"/>
        <c:minorTickMark val="none"/>
        <c:tickLblPos val="nextTo"/>
        <c:txPr>
          <a:bodyPr/>
          <a:lstStyle/>
          <a:p>
            <a:pPr>
              <a:defRPr sz="950">
                <a:latin typeface="Segoe UI"/>
              </a:defRPr>
            </a:pPr>
          </a:p>
        </c:txPr>
        <c:crossAx val="-2113994440"/>
        <c:crosses val="autoZero"/>
        <c:auto val="1"/>
        <c:lblAlgn val="ctr"/>
        <c:lblOffset val="100"/>
        <c:noMultiLvlLbl val="0"/>
      </c:catAx>
      <c:valAx>
        <c:axId val="-2113994440"/>
        <c:scaling/>
        <c:delete val="0"/>
        <c:axPos val="b"/>
        <c:majorGridlines>
          <c:spPr>
            <a:ln w="6350">
              <a:solidFill>
                <a:srgbClr val="E5E7EB"/>
              </a:solidFill>
            </a:ln>
          </c:spPr>
        </c:majorGridlines>
        <c:numFmt formatCode="#,##0" sourceLinked="0"/>
        <c:majorTickMark val="out"/>
        <c:minorTickMark val="none"/>
        <c:tickLblPos val="nextTo"/>
        <c:spPr>
          <a:ln>
            <a:solidFill>
              <a:srgbClr val="9CA3AF"/>
            </a:solidFill>
          </a:ln>
        </c:spPr>
        <c:txPr>
          <a:bodyPr/>
          <a:lstStyle/>
          <a:p>
            <a:pPr>
              <a:defRPr sz="900">
                <a:latin typeface="Segoe UI"/>
              </a:defRPr>
            </a:pPr>
          </a:p>
        </c:txPr>
        <c:crossAx val="-2068027336"/>
        <c:crosses val="autoZero"/>
      </c:valAx>
    </c:plotArea>
    <c:dispBlanksAs val="gap"/>
  </c:chart>
  <c:txPr>
    <a:bodyPr/>
    <a:lstStyle/>
    <a:p>
      <a:pPr>
        <a:defRPr sz="1000">
          <a:latin typeface="Segoe UI"/>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chart>
    <c:title>
      <c:tx>
        <c:rich>
          <a:bodyPr/>
          <a:lstStyle/>
          <a:p>
            <a:r>
              <a:rPr sz="1250" b="1">
                <a:solidFill>
                  <a:srgbClr val="0F2A5C"/>
                </a:solidFill>
                <a:latin typeface="Segoe UI"/>
              </a:rPr>
              <a:t>أهم 10 وجهات مغادرة — حلب</a:t>
            </a:r>
          </a:p>
        </c:rich>
      </c:tx>
      <c:layout/>
      <c:overlay val="0"/>
    </c:title>
    <c:autoTitleDeleted val="0"/>
    <c:plotArea>
      <c:barChart>
        <c:barDir val="bar"/>
        <c:grouping val="clustered"/>
        <c:ser>
          <c:idx val="0"/>
          <c:order val="0"/>
          <c:tx>
            <c:strRef>
              <c:f>Sheet1!$B$1</c:f>
              <c:strCache>
                <c:ptCount val="1"/>
                <c:pt idx="0">
                  <c:v>عدد الرحلات</c:v>
                </c:pt>
              </c:strCache>
            </c:strRef>
          </c:tx>
          <c:spPr>
            <a:solidFill>
              <a:srgbClr val="0E8A5F"/>
            </a:solidFill>
            <a:ln>
              <a:noFill/>
            </a:ln>
          </c:spPr>
          <c:cat>
            <c:strRef>
              <c:f>Sheet1!$A$2:$A$11</c:f>
              <c:strCache>
                <c:ptCount val="10"/>
                <c:pt idx="0">
                  <c:v>الرياض (RUH)</c:v>
                </c:pt>
                <c:pt idx="1">
                  <c:v>الكويت (KWI)</c:v>
                </c:pt>
                <c:pt idx="2">
                  <c:v>دمشق (DAM)</c:v>
                </c:pt>
                <c:pt idx="3">
                  <c:v>الدوحة (DOH)</c:v>
                </c:pt>
                <c:pt idx="4">
                  <c:v>جدة (JED)</c:v>
                </c:pt>
                <c:pt idx="5">
                  <c:v>دبي (DXB)</c:v>
                </c:pt>
                <c:pt idx="6">
                  <c:v>الشارقة (SHJ)</c:v>
                </c:pt>
                <c:pt idx="7">
                  <c:v>إسطنبول (IST)</c:v>
                </c:pt>
                <c:pt idx="8">
                  <c:v>إسطنبول (صبيحة) (SAW)</c:v>
                </c:pt>
                <c:pt idx="9">
                  <c:v>عمّان (AMM)</c:v>
                </c:pt>
              </c:strCache>
            </c:strRef>
          </c:cat>
          <c:val>
            <c:numRef>
              <c:f>Sheet1!$B$2:$B$11</c:f>
              <c:numCache>
                <c:formatCode>General</c:formatCode>
                <c:ptCount val="10"/>
                <c:pt idx="0">
                  <c:v>54</c:v>
                </c:pt>
                <c:pt idx="1">
                  <c:v>57</c:v>
                </c:pt>
                <c:pt idx="2">
                  <c:v>72</c:v>
                </c:pt>
                <c:pt idx="3">
                  <c:v>80</c:v>
                </c:pt>
                <c:pt idx="4">
                  <c:v>96</c:v>
                </c:pt>
                <c:pt idx="5">
                  <c:v>98</c:v>
                </c:pt>
                <c:pt idx="6">
                  <c:v>201</c:v>
                </c:pt>
                <c:pt idx="7">
                  <c:v>449</c:v>
                </c:pt>
                <c:pt idx="8">
                  <c:v>450</c:v>
                </c:pt>
                <c:pt idx="9">
                  <c:v>700</c:v>
                </c:pt>
              </c:numCache>
            </c:numRef>
          </c:val>
        </c:ser>
        <c:dLbls>
          <c:numFmt formatCode="#,##0" sourceLinked="0"/>
          <c:txPr>
            <a:bodyPr/>
            <a:lstStyle/>
            <a:p>
              <a:pPr>
                <a:defRPr sz="900">
                  <a:solidFill>
                    <a:srgbClr val="374151"/>
                  </a:solidFill>
                  <a:latin typeface="Segoe UI"/>
                </a:defRPr>
              </a:pPr>
            </a:p>
          </c:txPr>
          <c:dLblPos val="outEnd"/>
          <c:showLegendKey val="0"/>
          <c:showVal val="1"/>
          <c:showCatName val="0"/>
          <c:showSerName val="0"/>
          <c:showPercent val="0"/>
          <c:showBubbleSize val="0"/>
          <c:showLeaderLines val="1"/>
        </c:dLbls>
        <c:axId val="-2068027336"/>
        <c:axId val="-2113994440"/>
      </c:barChart>
      <c:catAx>
        <c:axId val="-2068027336"/>
        <c:scaling>
          <c:orientation val="minMax"/>
        </c:scaling>
        <c:delete val="0"/>
        <c:axPos val="l"/>
        <c:majorTickMark val="out"/>
        <c:minorTickMark val="none"/>
        <c:tickLblPos val="nextTo"/>
        <c:txPr>
          <a:bodyPr/>
          <a:lstStyle/>
          <a:p>
            <a:pPr>
              <a:defRPr sz="950">
                <a:latin typeface="Segoe UI"/>
              </a:defRPr>
            </a:pPr>
          </a:p>
        </c:txPr>
        <c:crossAx val="-2113994440"/>
        <c:crosses val="autoZero"/>
        <c:auto val="1"/>
        <c:lblAlgn val="ctr"/>
        <c:lblOffset val="100"/>
        <c:noMultiLvlLbl val="0"/>
      </c:catAx>
      <c:valAx>
        <c:axId val="-2113994440"/>
        <c:scaling/>
        <c:delete val="0"/>
        <c:axPos val="b"/>
        <c:majorGridlines>
          <c:spPr>
            <a:ln w="6350">
              <a:solidFill>
                <a:srgbClr val="E5E7EB"/>
              </a:solidFill>
            </a:ln>
          </c:spPr>
        </c:majorGridlines>
        <c:numFmt formatCode="#,##0" sourceLinked="0"/>
        <c:majorTickMark val="out"/>
        <c:minorTickMark val="none"/>
        <c:tickLblPos val="nextTo"/>
        <c:spPr>
          <a:ln>
            <a:solidFill>
              <a:srgbClr val="9CA3AF"/>
            </a:solidFill>
          </a:ln>
        </c:spPr>
        <c:txPr>
          <a:bodyPr/>
          <a:lstStyle/>
          <a:p>
            <a:pPr>
              <a:defRPr sz="900">
                <a:latin typeface="Segoe UI"/>
              </a:defRPr>
            </a:pPr>
          </a:p>
        </c:txPr>
        <c:crossAx val="-2068027336"/>
        <c:crosses val="autoZero"/>
      </c:valAx>
    </c:plotArea>
    <c:dispBlanksAs val="gap"/>
  </c:chart>
  <c:txPr>
    <a:bodyPr/>
    <a:lstStyle/>
    <a:p>
      <a:pPr>
        <a:defRPr sz="1000">
          <a:latin typeface="Segoe UI"/>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chart>
    <c:title>
      <c:tx>
        <c:rich>
          <a:bodyPr/>
          <a:lstStyle/>
          <a:p>
            <a:r>
              <a:rPr sz="1250" b="1">
                <a:solidFill>
                  <a:srgbClr val="0F2A5C"/>
                </a:solidFill>
                <a:latin typeface="Segoe UI"/>
              </a:rPr>
              <a:t>التوزيع الساعي للحركة — إيقاع اليوم التشغيلي (%)</a:t>
            </a:r>
          </a:p>
        </c:rich>
      </c:tx>
      <c:layout/>
      <c:overlay val="0"/>
    </c:title>
    <c:autoTitleDeleted val="0"/>
    <c:plotArea>
      <c:lineChart>
        <c:grouping val="standard"/>
        <c:varyColors val="0"/>
        <c:ser>
          <c:idx val="0"/>
          <c:order val="0"/>
          <c:tx>
            <c:strRef>
              <c:f>Sheet1!$B$1</c:f>
              <c:strCache>
                <c:ptCount val="1"/>
                <c:pt idx="0">
                  <c:v>دمشق</c:v>
                </c:pt>
              </c:strCache>
            </c:strRef>
          </c:tx>
          <c:spPr>
            <a:ln w="28575">
              <a:solidFill>
                <a:srgbClr val="1E5AA8"/>
              </a:solidFill>
            </a:ln>
          </c:spPr>
          <c:marker>
            <c:symbol val="circle"/>
            <c:size val="5"/>
            <c:spPr>
              <a:solidFill>
                <a:srgbClr val="1E5AA8"/>
              </a:solidFill>
              <a:ln>
                <a:solidFill>
                  <a:srgbClr val="1E5AA8"/>
                </a:solidFill>
              </a:ln>
            </c:spPr>
          </c:marker>
          <c:cat>
            <c:strRef>
              <c:f>Sheet1!$A$2:$A$25</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Sheet1!$B$2:$B$25</c:f>
              <c:numCache>
                <c:formatCode>General</c:formatCode>
                <c:ptCount val="24"/>
                <c:pt idx="0">
                  <c:v>0.8</c:v>
                </c:pt>
                <c:pt idx="1">
                  <c:v>0.97</c:v>
                </c:pt>
                <c:pt idx="2">
                  <c:v>0.82</c:v>
                </c:pt>
                <c:pt idx="3">
                  <c:v>2.06</c:v>
                </c:pt>
                <c:pt idx="4">
                  <c:v>1.48</c:v>
                </c:pt>
                <c:pt idx="5">
                  <c:v>2.27</c:v>
                </c:pt>
                <c:pt idx="6">
                  <c:v>5.15</c:v>
                </c:pt>
                <c:pt idx="7">
                  <c:v>6.87</c:v>
                </c:pt>
                <c:pt idx="8">
                  <c:v>6.85</c:v>
                </c:pt>
                <c:pt idx="9">
                  <c:v>7.65</c:v>
                </c:pt>
                <c:pt idx="10">
                  <c:v>7.95</c:v>
                </c:pt>
                <c:pt idx="11">
                  <c:v>5.26</c:v>
                </c:pt>
                <c:pt idx="12">
                  <c:v>6.6</c:v>
                </c:pt>
                <c:pt idx="13">
                  <c:v>8.48</c:v>
                </c:pt>
                <c:pt idx="14">
                  <c:v>8.52</c:v>
                </c:pt>
                <c:pt idx="15">
                  <c:v>4.43</c:v>
                </c:pt>
                <c:pt idx="16">
                  <c:v>4.19</c:v>
                </c:pt>
                <c:pt idx="17">
                  <c:v>6.8</c:v>
                </c:pt>
                <c:pt idx="18">
                  <c:v>4.52</c:v>
                </c:pt>
                <c:pt idx="19">
                  <c:v>2.74</c:v>
                </c:pt>
                <c:pt idx="20">
                  <c:v>1.98</c:v>
                </c:pt>
                <c:pt idx="21">
                  <c:v>1.8</c:v>
                </c:pt>
                <c:pt idx="22">
                  <c:v>0.83</c:v>
                </c:pt>
                <c:pt idx="23">
                  <c:v>0.99</c:v>
                </c:pt>
              </c:numCache>
            </c:numRef>
          </c:val>
          <c:smooth val="0"/>
        </c:ser>
        <c:ser>
          <c:idx val="1"/>
          <c:order val="1"/>
          <c:tx>
            <c:strRef>
              <c:f>Sheet1!$C$1</c:f>
              <c:strCache>
                <c:ptCount val="1"/>
                <c:pt idx="0">
                  <c:v>حلب</c:v>
                </c:pt>
              </c:strCache>
            </c:strRef>
          </c:tx>
          <c:spPr>
            <a:ln w="28575">
              <a:solidFill>
                <a:srgbClr val="0E8A5F"/>
              </a:solidFill>
            </a:ln>
          </c:spPr>
          <c:marker>
            <c:symbol val="circle"/>
            <c:size val="5"/>
            <c:spPr>
              <a:solidFill>
                <a:srgbClr val="0E8A5F"/>
              </a:solidFill>
              <a:ln>
                <a:solidFill>
                  <a:srgbClr val="0E8A5F"/>
                </a:solidFill>
              </a:ln>
            </c:spPr>
          </c:marker>
          <c:cat>
            <c:strRef>
              <c:f>Sheet1!$A$2:$A$25</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Sheet1!$C$2:$C$25</c:f>
              <c:numCache>
                <c:formatCode>General</c:formatCode>
                <c:ptCount val="24"/>
                <c:pt idx="0">
                  <c:v>1.1</c:v>
                </c:pt>
                <c:pt idx="1">
                  <c:v>1.1</c:v>
                </c:pt>
                <c:pt idx="2">
                  <c:v>0.95</c:v>
                </c:pt>
                <c:pt idx="3">
                  <c:v>1.48</c:v>
                </c:pt>
                <c:pt idx="4">
                  <c:v>5.84</c:v>
                </c:pt>
                <c:pt idx="5">
                  <c:v>5.98</c:v>
                </c:pt>
                <c:pt idx="6">
                  <c:v>8.15</c:v>
                </c:pt>
                <c:pt idx="7">
                  <c:v>10.69</c:v>
                </c:pt>
                <c:pt idx="8">
                  <c:v>8.21</c:v>
                </c:pt>
                <c:pt idx="9">
                  <c:v>8.64</c:v>
                </c:pt>
                <c:pt idx="10">
                  <c:v>7.32</c:v>
                </c:pt>
                <c:pt idx="11">
                  <c:v>7.0</c:v>
                </c:pt>
                <c:pt idx="12">
                  <c:v>9.16</c:v>
                </c:pt>
                <c:pt idx="13">
                  <c:v>5.17</c:v>
                </c:pt>
                <c:pt idx="14">
                  <c:v>4.38</c:v>
                </c:pt>
                <c:pt idx="15">
                  <c:v>2.23</c:v>
                </c:pt>
                <c:pt idx="16">
                  <c:v>3.81</c:v>
                </c:pt>
                <c:pt idx="17">
                  <c:v>2.98</c:v>
                </c:pt>
                <c:pt idx="18">
                  <c:v>1.09</c:v>
                </c:pt>
                <c:pt idx="19">
                  <c:v>0.69</c:v>
                </c:pt>
                <c:pt idx="20">
                  <c:v>1.54</c:v>
                </c:pt>
                <c:pt idx="21">
                  <c:v>0.81</c:v>
                </c:pt>
                <c:pt idx="22">
                  <c:v>0.73</c:v>
                </c:pt>
                <c:pt idx="23">
                  <c:v>0.95</c:v>
                </c:pt>
              </c:numCache>
            </c:numRef>
          </c:val>
          <c:smooth val="0"/>
        </c:ser>
        <c:ser>
          <c:idx val="2"/>
          <c:order val="2"/>
          <c:tx>
            <c:strRef>
              <c:f>Sheet1!$D$1</c:f>
              <c:strCache>
                <c:ptCount val="1"/>
                <c:pt idx="0">
                  <c:v>اللاذقية</c:v>
                </c:pt>
              </c:strCache>
            </c:strRef>
          </c:tx>
          <c:spPr>
            <a:ln w="28575">
              <a:solidFill>
                <a:srgbClr val="C2571A"/>
              </a:solidFill>
            </a:ln>
          </c:spPr>
          <c:marker>
            <c:symbol val="circle"/>
            <c:size val="5"/>
            <c:spPr>
              <a:solidFill>
                <a:srgbClr val="C2571A"/>
              </a:solidFill>
              <a:ln>
                <a:solidFill>
                  <a:srgbClr val="C2571A"/>
                </a:solidFill>
              </a:ln>
            </c:spPr>
          </c:marker>
          <c:cat>
            <c:strRef>
              <c:f>Sheet1!$A$2:$A$25</c:f>
              <c:strCache>
                <c:ptCount val="24"/>
                <c:pt idx="0">
                  <c:v>00</c:v>
                </c:pt>
                <c:pt idx="1">
                  <c:v>01</c:v>
                </c:pt>
                <c:pt idx="2">
                  <c:v>02</c:v>
                </c:pt>
                <c:pt idx="3">
                  <c:v>03</c:v>
                </c:pt>
                <c:pt idx="4">
                  <c:v>04</c:v>
                </c:pt>
                <c:pt idx="5">
                  <c:v>05</c:v>
                </c:pt>
                <c:pt idx="6">
                  <c:v>06</c:v>
                </c:pt>
                <c:pt idx="7">
                  <c:v>07</c:v>
                </c:pt>
                <c:pt idx="8">
                  <c:v>08</c:v>
                </c:pt>
                <c:pt idx="9">
                  <c:v>09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Sheet1!$D$2:$D$25</c:f>
              <c:numCache>
                <c:formatCode>General</c:formatCode>
                <c:ptCount val="24"/>
                <c:pt idx="0">
                  <c:v>1.98</c:v>
                </c:pt>
                <c:pt idx="1">
                  <c:v>2.78</c:v>
                </c:pt>
                <c:pt idx="2">
                  <c:v>1.19</c:v>
                </c:pt>
                <c:pt idx="3">
                  <c:v>1.98</c:v>
                </c:pt>
                <c:pt idx="4">
                  <c:v>1.98</c:v>
                </c:pt>
                <c:pt idx="5">
                  <c:v>2.78</c:v>
                </c:pt>
                <c:pt idx="6">
                  <c:v>2.38</c:v>
                </c:pt>
                <c:pt idx="7">
                  <c:v>2.38</c:v>
                </c:pt>
                <c:pt idx="8">
                  <c:v>1.98</c:v>
                </c:pt>
                <c:pt idx="9">
                  <c:v>6.75</c:v>
                </c:pt>
                <c:pt idx="10">
                  <c:v>5.95</c:v>
                </c:pt>
                <c:pt idx="11">
                  <c:v>6.35</c:v>
                </c:pt>
                <c:pt idx="12">
                  <c:v>6.75</c:v>
                </c:pt>
                <c:pt idx="13">
                  <c:v>3.97</c:v>
                </c:pt>
                <c:pt idx="14">
                  <c:v>5.95</c:v>
                </c:pt>
                <c:pt idx="15">
                  <c:v>4.76</c:v>
                </c:pt>
                <c:pt idx="16">
                  <c:v>3.17</c:v>
                </c:pt>
                <c:pt idx="17">
                  <c:v>7.94</c:v>
                </c:pt>
                <c:pt idx="18">
                  <c:v>5.95</c:v>
                </c:pt>
                <c:pt idx="19">
                  <c:v>1.98</c:v>
                </c:pt>
                <c:pt idx="20">
                  <c:v>7.94</c:v>
                </c:pt>
                <c:pt idx="21">
                  <c:v>5.16</c:v>
                </c:pt>
                <c:pt idx="22">
                  <c:v>4.76</c:v>
                </c:pt>
                <c:pt idx="23">
                  <c:v>3.17</c:v>
                </c:pt>
              </c:numCache>
            </c:numRef>
          </c:val>
          <c:smooth val="0"/>
        </c:ser>
        <c:marker val="1"/>
        <c:smooth val="0"/>
        <c:axId val="2118791784"/>
        <c:axId val="2140495176"/>
      </c:lineChart>
      <c:catAx>
        <c:axId val="2118791784"/>
        <c:scaling>
          <c:orientation val="minMax"/>
        </c:scaling>
        <c:delete val="0"/>
        <c:axPos val="b"/>
        <c:majorTickMark val="out"/>
        <c:minorTickMark val="none"/>
        <c:tickLblPos val="nextTo"/>
        <c:txPr>
          <a:bodyPr/>
          <a:lstStyle/>
          <a:p>
            <a:pPr>
              <a:defRPr sz="950">
                <a:latin typeface="Segoe UI"/>
              </a:defRPr>
            </a:pPr>
          </a:p>
        </c:txPr>
        <c:crossAx val="2140495176"/>
        <c:crosses val="autoZero"/>
        <c:auto val="1"/>
        <c:lblAlgn val="ctr"/>
        <c:lblOffset val="100"/>
        <c:noMultiLvlLbl val="0"/>
      </c:catAx>
      <c:valAx>
        <c:axId val="2140495176"/>
        <c:scaling/>
        <c:delete val="0"/>
        <c:axPos val="l"/>
        <c:majorGridlines>
          <c:spPr>
            <a:ln w="6350">
              <a:solidFill>
                <a:srgbClr val="E5E7EB"/>
              </a:solidFill>
            </a:ln>
          </c:spPr>
        </c:majorGridlines>
        <c:numFmt formatCode="#,##0" sourceLinked="0"/>
        <c:majorTickMark val="out"/>
        <c:minorTickMark val="none"/>
        <c:tickLblPos val="nextTo"/>
        <c:spPr>
          <a:ln>
            <a:solidFill>
              <a:srgbClr val="9CA3AF"/>
            </a:solidFill>
          </a:ln>
        </c:spPr>
        <c:txPr>
          <a:bodyPr/>
          <a:lstStyle/>
          <a:p>
            <a:pPr>
              <a:defRPr sz="900">
                <a:latin typeface="Segoe UI"/>
              </a:defRPr>
            </a:pPr>
          </a:p>
        </c:txPr>
        <c:crossAx val="2118791784"/>
        <c:crosses val="autoZero"/>
      </c:valAx>
    </c:plotArea>
    <c:legend>
      <c:legendPos val="b"/>
      <c:layout/>
      <c:overlay val="0"/>
      <c:txPr>
        <a:bodyPr/>
        <a:lstStyle/>
        <a:p>
          <a:pPr>
            <a:defRPr sz="950">
              <a:latin typeface="Segoe UI"/>
            </a:defRPr>
          </a:pPr>
        </a:p>
      </c:txPr>
    </c:legend>
    <c:plotVisOnly val="1"/>
    <c:dispBlanksAs val="gap"/>
    <c:showDLblsOverMax val="0"/>
  </c:chart>
  <c:txPr>
    <a:bodyPr/>
    <a:lstStyle/>
    <a:p>
      <a:pPr>
        <a:defRPr sz="1000">
          <a:latin typeface="Segoe UI"/>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chart>
    <c:title>
      <c:tx>
        <c:rich>
          <a:bodyPr/>
          <a:lstStyle/>
          <a:p>
            <a:r>
              <a:rPr sz="1250" b="1">
                <a:solidFill>
                  <a:srgbClr val="0F2A5C"/>
                </a:solidFill>
                <a:latin typeface="Segoe UI"/>
              </a:rPr>
              <a:t>توزيع الحركة على أيام الأسبوع (%)</a:t>
            </a:r>
          </a:p>
        </c:rich>
      </c:tx>
      <c:layout/>
      <c:overlay val="0"/>
    </c:title>
    <c:autoTitleDeleted val="0"/>
    <c:plotArea>
      <c:barChart>
        <c:barDir val="col"/>
        <c:grouping val="clustered"/>
        <c:ser>
          <c:idx val="0"/>
          <c:order val="0"/>
          <c:tx>
            <c:strRef>
              <c:f>Sheet1!$B$1</c:f>
              <c:strCache>
                <c:ptCount val="1"/>
                <c:pt idx="0">
                  <c:v>دمشق</c:v>
                </c:pt>
              </c:strCache>
            </c:strRef>
          </c:tx>
          <c:spPr>
            <a:solidFill>
              <a:srgbClr val="1E5AA8"/>
            </a:solidFill>
            <a:ln>
              <a:noFill/>
            </a:ln>
          </c:spPr>
          <c:cat>
            <c:strRef>
              <c:f>Sheet1!$A$2:$A$8</c:f>
              <c:strCache>
                <c:ptCount val="7"/>
                <c:pt idx="0">
                  <c:v>الاثنين</c:v>
                </c:pt>
                <c:pt idx="1">
                  <c:v>الثلاثاء</c:v>
                </c:pt>
                <c:pt idx="2">
                  <c:v>الأربعاء</c:v>
                </c:pt>
                <c:pt idx="3">
                  <c:v>الخميس</c:v>
                </c:pt>
                <c:pt idx="4">
                  <c:v>جمعة</c:v>
                </c:pt>
                <c:pt idx="5">
                  <c:v>السبت</c:v>
                </c:pt>
                <c:pt idx="6">
                  <c:v>الأحد</c:v>
                </c:pt>
              </c:strCache>
            </c:strRef>
          </c:cat>
          <c:val>
            <c:numRef>
              <c:f>Sheet1!$B$2:$B$8</c:f>
              <c:numCache>
                <c:formatCode>General</c:formatCode>
                <c:ptCount val="7"/>
                <c:pt idx="0">
                  <c:v>10.66</c:v>
                </c:pt>
                <c:pt idx="1">
                  <c:v>5.98</c:v>
                </c:pt>
                <c:pt idx="2">
                  <c:v>16.22</c:v>
                </c:pt>
                <c:pt idx="3">
                  <c:v>18.27</c:v>
                </c:pt>
                <c:pt idx="4">
                  <c:v>17.09</c:v>
                </c:pt>
                <c:pt idx="5">
                  <c:v>16.88</c:v>
                </c:pt>
                <c:pt idx="6">
                  <c:v>14.89</c:v>
                </c:pt>
              </c:numCache>
            </c:numRef>
          </c:val>
        </c:ser>
        <c:ser>
          <c:idx val="1"/>
          <c:order val="1"/>
          <c:tx>
            <c:strRef>
              <c:f>Sheet1!$C$1</c:f>
              <c:strCache>
                <c:ptCount val="1"/>
                <c:pt idx="0">
                  <c:v>حلب</c:v>
                </c:pt>
              </c:strCache>
            </c:strRef>
          </c:tx>
          <c:spPr>
            <a:solidFill>
              <a:srgbClr val="0E8A5F"/>
            </a:solidFill>
            <a:ln>
              <a:noFill/>
            </a:ln>
          </c:spPr>
          <c:cat>
            <c:strRef>
              <c:f>Sheet1!$A$2:$A$8</c:f>
              <c:strCache>
                <c:ptCount val="7"/>
                <c:pt idx="0">
                  <c:v>الاثنين</c:v>
                </c:pt>
                <c:pt idx="1">
                  <c:v>الثلاثاء</c:v>
                </c:pt>
                <c:pt idx="2">
                  <c:v>الأربعاء</c:v>
                </c:pt>
                <c:pt idx="3">
                  <c:v>الخميس</c:v>
                </c:pt>
                <c:pt idx="4">
                  <c:v>جمعة</c:v>
                </c:pt>
                <c:pt idx="5">
                  <c:v>السبت</c:v>
                </c:pt>
                <c:pt idx="6">
                  <c:v>الأحد</c:v>
                </c:pt>
              </c:strCache>
            </c:strRef>
          </c:cat>
          <c:val>
            <c:numRef>
              <c:f>Sheet1!$C$2:$C$8</c:f>
              <c:numCache>
                <c:formatCode>General</c:formatCode>
                <c:ptCount val="7"/>
                <c:pt idx="0">
                  <c:v>15.65</c:v>
                </c:pt>
                <c:pt idx="1">
                  <c:v>15.79</c:v>
                </c:pt>
                <c:pt idx="2">
                  <c:v>13.42</c:v>
                </c:pt>
                <c:pt idx="3">
                  <c:v>14.34</c:v>
                </c:pt>
                <c:pt idx="4">
                  <c:v>13.02</c:v>
                </c:pt>
                <c:pt idx="5">
                  <c:v>14.36</c:v>
                </c:pt>
                <c:pt idx="6">
                  <c:v>13.42</c:v>
                </c:pt>
              </c:numCache>
            </c:numRef>
          </c:val>
        </c:ser>
        <c:ser>
          <c:idx val="2"/>
          <c:order val="2"/>
          <c:tx>
            <c:strRef>
              <c:f>Sheet1!$D$1</c:f>
              <c:strCache>
                <c:ptCount val="1"/>
                <c:pt idx="0">
                  <c:v>اللاذقية</c:v>
                </c:pt>
              </c:strCache>
            </c:strRef>
          </c:tx>
          <c:spPr>
            <a:solidFill>
              <a:srgbClr val="C2571A"/>
            </a:solidFill>
            <a:ln>
              <a:noFill/>
            </a:ln>
          </c:spPr>
          <c:cat>
            <c:strRef>
              <c:f>Sheet1!$A$2:$A$8</c:f>
              <c:strCache>
                <c:ptCount val="7"/>
                <c:pt idx="0">
                  <c:v>الاثنين</c:v>
                </c:pt>
                <c:pt idx="1">
                  <c:v>الثلاثاء</c:v>
                </c:pt>
                <c:pt idx="2">
                  <c:v>الأربعاء</c:v>
                </c:pt>
                <c:pt idx="3">
                  <c:v>الخميس</c:v>
                </c:pt>
                <c:pt idx="4">
                  <c:v>جمعة</c:v>
                </c:pt>
                <c:pt idx="5">
                  <c:v>السبت</c:v>
                </c:pt>
                <c:pt idx="6">
                  <c:v>الأحد</c:v>
                </c:pt>
              </c:strCache>
            </c:strRef>
          </c:cat>
          <c:val>
            <c:numRef>
              <c:f>Sheet1!$D$2:$D$8</c:f>
              <c:numCache>
                <c:formatCode>General</c:formatCode>
                <c:ptCount val="7"/>
                <c:pt idx="0">
                  <c:v>13.49</c:v>
                </c:pt>
                <c:pt idx="1">
                  <c:v>9.92</c:v>
                </c:pt>
                <c:pt idx="2">
                  <c:v>21.03</c:v>
                </c:pt>
                <c:pt idx="3">
                  <c:v>18.65</c:v>
                </c:pt>
                <c:pt idx="4">
                  <c:v>11.9</c:v>
                </c:pt>
                <c:pt idx="5">
                  <c:v>11.9</c:v>
                </c:pt>
                <c:pt idx="6">
                  <c:v>13.1</c:v>
                </c:pt>
              </c:numCache>
            </c:numRef>
          </c:val>
        </c:ser>
        <c:axId val="-2068027336"/>
        <c:axId val="-2113994440"/>
      </c:barChart>
      <c:catAx>
        <c:axId val="-2068027336"/>
        <c:scaling>
          <c:orientation val="minMax"/>
        </c:scaling>
        <c:delete val="0"/>
        <c:axPos val="b"/>
        <c:majorTickMark val="out"/>
        <c:minorTickMark val="none"/>
        <c:tickLblPos val="nextTo"/>
        <c:txPr>
          <a:bodyPr/>
          <a:lstStyle/>
          <a:p>
            <a:pPr>
              <a:defRPr sz="950">
                <a:latin typeface="Segoe UI"/>
              </a:defRPr>
            </a:pPr>
          </a:p>
        </c:txPr>
        <c:crossAx val="-2113994440"/>
        <c:crosses val="autoZero"/>
        <c:auto val="1"/>
        <c:lblAlgn val="ctr"/>
        <c:lblOffset val="100"/>
        <c:noMultiLvlLbl val="0"/>
      </c:catAx>
      <c:valAx>
        <c:axId val="-2113994440"/>
        <c:scaling/>
        <c:delete val="0"/>
        <c:axPos val="l"/>
        <c:majorGridlines>
          <c:spPr>
            <a:ln w="6350">
              <a:solidFill>
                <a:srgbClr val="E5E7EB"/>
              </a:solidFill>
            </a:ln>
          </c:spPr>
        </c:majorGridlines>
        <c:numFmt formatCode="#,##0" sourceLinked="0"/>
        <c:majorTickMark val="out"/>
        <c:minorTickMark val="none"/>
        <c:tickLblPos val="nextTo"/>
        <c:spPr>
          <a:ln>
            <a:solidFill>
              <a:srgbClr val="9CA3AF"/>
            </a:solidFill>
          </a:ln>
        </c:spPr>
        <c:txPr>
          <a:bodyPr/>
          <a:lstStyle/>
          <a:p>
            <a:pPr>
              <a:defRPr sz="900">
                <a:latin typeface="Segoe UI"/>
              </a:defRPr>
            </a:pPr>
          </a:p>
        </c:txPr>
        <c:crossAx val="-2068027336"/>
        <c:crosses val="autoZero"/>
      </c:valAx>
    </c:plotArea>
    <c:legend>
      <c:legendPos val="b"/>
      <c:overlay val="0"/>
      <c:txPr>
        <a:bodyPr/>
        <a:lstStyle/>
        <a:p>
          <a:pPr>
            <a:defRPr sz="950">
              <a:latin typeface="Segoe UI"/>
            </a:defRPr>
          </a:pPr>
        </a:p>
      </c:txPr>
    </c:legend>
    <c:dispBlanksAs val="gap"/>
  </c:chart>
  <c:txPr>
    <a:bodyPr/>
    <a:lstStyle/>
    <a:p>
      <a:pPr>
        <a:defRPr sz="1000">
          <a:latin typeface="Segoe UI"/>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chart>
    <c:title>
      <c:tx>
        <c:rich>
          <a:bodyPr/>
          <a:lstStyle/>
          <a:p>
            <a:r>
              <a:rPr sz="1250" b="1">
                <a:solidFill>
                  <a:srgbClr val="0F2A5C"/>
                </a:solidFill>
                <a:latin typeface="Segoe UI"/>
              </a:rPr>
              <a:t>أكثر 10 أنواع طائرات تشغيلاً (حسب المطار)</a:t>
            </a:r>
          </a:p>
        </c:rich>
      </c:tx>
      <c:layout/>
      <c:overlay val="0"/>
    </c:title>
    <c:autoTitleDeleted val="0"/>
    <c:plotArea>
      <c:barChart>
        <c:barDir val="bar"/>
        <c:grouping val="stacked"/>
        <c:ser>
          <c:idx val="0"/>
          <c:order val="0"/>
          <c:tx>
            <c:strRef>
              <c:f>Sheet1!$B$1</c:f>
              <c:strCache>
                <c:ptCount val="1"/>
                <c:pt idx="0">
                  <c:v>دمشق</c:v>
                </c:pt>
              </c:strCache>
            </c:strRef>
          </c:tx>
          <c:spPr>
            <a:solidFill>
              <a:srgbClr val="1E5AA8"/>
            </a:solidFill>
            <a:ln>
              <a:noFill/>
            </a:ln>
          </c:spPr>
          <c:cat>
            <c:strRef>
              <c:f>Sheet1!$A$2:$A$11</c:f>
              <c:strCache>
                <c:ptCount val="10"/>
                <c:pt idx="0">
                  <c:v>E290</c:v>
                </c:pt>
                <c:pt idx="1">
                  <c:v>E295</c:v>
                </c:pt>
                <c:pt idx="2">
                  <c:v>A332</c:v>
                </c:pt>
                <c:pt idx="3">
                  <c:v>B735</c:v>
                </c:pt>
                <c:pt idx="4">
                  <c:v>A333</c:v>
                </c:pt>
                <c:pt idx="5">
                  <c:v>B739</c:v>
                </c:pt>
                <c:pt idx="6">
                  <c:v>B38M</c:v>
                </c:pt>
                <c:pt idx="7">
                  <c:v>B738</c:v>
                </c:pt>
                <c:pt idx="8">
                  <c:v>A20N</c:v>
                </c:pt>
                <c:pt idx="9">
                  <c:v>A320</c:v>
                </c:pt>
              </c:strCache>
            </c:strRef>
          </c:cat>
          <c:val>
            <c:numRef>
              <c:f>Sheet1!$B$2:$B$11</c:f>
              <c:numCache>
                <c:formatCode>General</c:formatCode>
                <c:ptCount val="10"/>
                <c:pt idx="0">
                  <c:v>170</c:v>
                </c:pt>
                <c:pt idx="1">
                  <c:v>239</c:v>
                </c:pt>
                <c:pt idx="2">
                  <c:v>650</c:v>
                </c:pt>
                <c:pt idx="3">
                  <c:v>666</c:v>
                </c:pt>
                <c:pt idx="4">
                  <c:v>1048</c:v>
                </c:pt>
                <c:pt idx="5">
                  <c:v>484</c:v>
                </c:pt>
                <c:pt idx="6">
                  <c:v>1205</c:v>
                </c:pt>
                <c:pt idx="7">
                  <c:v>903</c:v>
                </c:pt>
                <c:pt idx="8">
                  <c:v>3120</c:v>
                </c:pt>
                <c:pt idx="9">
                  <c:v>9647</c:v>
                </c:pt>
              </c:numCache>
            </c:numRef>
          </c:val>
        </c:ser>
        <c:ser>
          <c:idx val="1"/>
          <c:order val="1"/>
          <c:tx>
            <c:strRef>
              <c:f>Sheet1!$C$1</c:f>
              <c:strCache>
                <c:ptCount val="1"/>
                <c:pt idx="0">
                  <c:v>حلب</c:v>
                </c:pt>
              </c:strCache>
            </c:strRef>
          </c:tx>
          <c:spPr>
            <a:solidFill>
              <a:srgbClr val="0E8A5F"/>
            </a:solidFill>
            <a:ln>
              <a:noFill/>
            </a:ln>
          </c:spPr>
          <c:cat>
            <c:strRef>
              <c:f>Sheet1!$A$2:$A$11</c:f>
              <c:strCache>
                <c:ptCount val="10"/>
                <c:pt idx="0">
                  <c:v>E290</c:v>
                </c:pt>
                <c:pt idx="1">
                  <c:v>E295</c:v>
                </c:pt>
                <c:pt idx="2">
                  <c:v>A332</c:v>
                </c:pt>
                <c:pt idx="3">
                  <c:v>B735</c:v>
                </c:pt>
                <c:pt idx="4">
                  <c:v>A333</c:v>
                </c:pt>
                <c:pt idx="5">
                  <c:v>B739</c:v>
                </c:pt>
                <c:pt idx="6">
                  <c:v>B38M</c:v>
                </c:pt>
                <c:pt idx="7">
                  <c:v>B738</c:v>
                </c:pt>
                <c:pt idx="8">
                  <c:v>A20N</c:v>
                </c:pt>
                <c:pt idx="9">
                  <c:v>A320</c:v>
                </c:pt>
              </c:strCache>
            </c:strRef>
          </c:cat>
          <c:val>
            <c:numRef>
              <c:f>Sheet1!$C$2:$C$11</c:f>
              <c:numCache>
                <c:formatCode>General</c:formatCode>
                <c:ptCount val="10"/>
                <c:pt idx="0">
                  <c:v>304</c:v>
                </c:pt>
                <c:pt idx="1">
                  <c:v>311</c:v>
                </c:pt>
                <c:pt idx="2">
                  <c:v>119</c:v>
                </c:pt>
                <c:pt idx="3">
                  <c:v>146</c:v>
                </c:pt>
                <c:pt idx="4">
                  <c:v>68</c:v>
                </c:pt>
                <c:pt idx="5">
                  <c:v>709</c:v>
                </c:pt>
                <c:pt idx="6">
                  <c:v>38</c:v>
                </c:pt>
                <c:pt idx="7">
                  <c:v>866</c:v>
                </c:pt>
                <c:pt idx="8">
                  <c:v>697</c:v>
                </c:pt>
                <c:pt idx="9">
                  <c:v>1515</c:v>
                </c:pt>
              </c:numCache>
            </c:numRef>
          </c:val>
        </c:ser>
        <c:ser>
          <c:idx val="2"/>
          <c:order val="2"/>
          <c:tx>
            <c:strRef>
              <c:f>Sheet1!$D$1</c:f>
              <c:strCache>
                <c:ptCount val="1"/>
                <c:pt idx="0">
                  <c:v>اللاذقية</c:v>
                </c:pt>
              </c:strCache>
            </c:strRef>
          </c:tx>
          <c:spPr>
            <a:solidFill>
              <a:srgbClr val="C2571A"/>
            </a:solidFill>
            <a:ln>
              <a:noFill/>
            </a:ln>
          </c:spPr>
          <c:cat>
            <c:strRef>
              <c:f>Sheet1!$A$2:$A$11</c:f>
              <c:strCache>
                <c:ptCount val="10"/>
                <c:pt idx="0">
                  <c:v>E290</c:v>
                </c:pt>
                <c:pt idx="1">
                  <c:v>E295</c:v>
                </c:pt>
                <c:pt idx="2">
                  <c:v>A332</c:v>
                </c:pt>
                <c:pt idx="3">
                  <c:v>B735</c:v>
                </c:pt>
                <c:pt idx="4">
                  <c:v>A333</c:v>
                </c:pt>
                <c:pt idx="5">
                  <c:v>B739</c:v>
                </c:pt>
                <c:pt idx="6">
                  <c:v>B38M</c:v>
                </c:pt>
                <c:pt idx="7">
                  <c:v>B738</c:v>
                </c:pt>
                <c:pt idx="8">
                  <c:v>A20N</c:v>
                </c:pt>
                <c:pt idx="9">
                  <c:v>A320</c:v>
                </c:pt>
              </c:strCache>
            </c:strRef>
          </c:cat>
          <c:val>
            <c:numRef>
              <c:f>Sheet1!$D$2:$D$11</c:f>
              <c:numCache>
                <c:formatCode>General</c:formatCode>
                <c:ptCount val="10"/>
                <c:pt idx="0">
                  <c:v>0</c:v>
                </c:pt>
                <c:pt idx="1">
                  <c:v>0</c:v>
                </c:pt>
                <c:pt idx="2">
                  <c:v>0</c:v>
                </c:pt>
                <c:pt idx="3">
                  <c:v>0</c:v>
                </c:pt>
                <c:pt idx="4">
                  <c:v>0</c:v>
                </c:pt>
                <c:pt idx="5">
                  <c:v>0</c:v>
                </c:pt>
                <c:pt idx="6">
                  <c:v>0</c:v>
                </c:pt>
                <c:pt idx="7">
                  <c:v>0</c:v>
                </c:pt>
                <c:pt idx="8">
                  <c:v>0</c:v>
                </c:pt>
                <c:pt idx="9">
                  <c:v>0</c:v>
                </c:pt>
              </c:numCache>
            </c:numRef>
          </c:val>
        </c:ser>
        <c:overlap val="100"/>
        <c:axId val="-2068027336"/>
        <c:axId val="-2113994440"/>
      </c:barChart>
      <c:catAx>
        <c:axId val="-2068027336"/>
        <c:scaling>
          <c:orientation val="minMax"/>
        </c:scaling>
        <c:delete val="0"/>
        <c:axPos val="l"/>
        <c:majorTickMark val="out"/>
        <c:minorTickMark val="none"/>
        <c:tickLblPos val="nextTo"/>
        <c:txPr>
          <a:bodyPr/>
          <a:lstStyle/>
          <a:p>
            <a:pPr>
              <a:defRPr sz="950">
                <a:latin typeface="Segoe UI"/>
              </a:defRPr>
            </a:pPr>
          </a:p>
        </c:txPr>
        <c:crossAx val="-2113994440"/>
        <c:crosses val="autoZero"/>
        <c:auto val="1"/>
        <c:lblAlgn val="ctr"/>
        <c:lblOffset val="100"/>
        <c:noMultiLvlLbl val="0"/>
      </c:catAx>
      <c:valAx>
        <c:axId val="-2113994440"/>
        <c:scaling/>
        <c:delete val="0"/>
        <c:axPos val="b"/>
        <c:majorGridlines>
          <c:spPr>
            <a:ln w="6350">
              <a:solidFill>
                <a:srgbClr val="E5E7EB"/>
              </a:solidFill>
            </a:ln>
          </c:spPr>
        </c:majorGridlines>
        <c:numFmt formatCode="#,##0" sourceLinked="0"/>
        <c:majorTickMark val="out"/>
        <c:minorTickMark val="none"/>
        <c:tickLblPos val="nextTo"/>
        <c:spPr>
          <a:ln>
            <a:solidFill>
              <a:srgbClr val="9CA3AF"/>
            </a:solidFill>
          </a:ln>
        </c:spPr>
        <c:txPr>
          <a:bodyPr/>
          <a:lstStyle/>
          <a:p>
            <a:pPr>
              <a:defRPr sz="900">
                <a:latin typeface="Segoe UI"/>
              </a:defRPr>
            </a:pPr>
          </a:p>
        </c:txPr>
        <c:crossAx val="-2068027336"/>
        <c:crosses val="autoZero"/>
      </c:valAx>
    </c:plotArea>
    <c:legend>
      <c:legendPos val="b"/>
      <c:overlay val="0"/>
      <c:txPr>
        <a:bodyPr/>
        <a:lstStyle/>
        <a:p>
          <a:pPr>
            <a:defRPr sz="950">
              <a:latin typeface="Segoe UI"/>
            </a:defRPr>
          </a:pPr>
        </a:p>
      </c:txPr>
    </c:legend>
    <c:dispBlanksAs val="gap"/>
  </c:chart>
  <c:txPr>
    <a:bodyPr/>
    <a:lstStyle/>
    <a:p>
      <a:pPr>
        <a:defRPr sz="1000">
          <a:latin typeface="Segoe UI"/>
        </a:defRPr>
      </a:pPr>
      <a:endParaRPr lang="en-U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chart>
    <c:title>
      <c:tx>
        <c:rich>
          <a:bodyPr/>
          <a:lstStyle/>
          <a:p>
            <a:r>
              <a:rPr sz="1250" b="1">
                <a:solidFill>
                  <a:srgbClr val="0F2A5C"/>
                </a:solidFill>
                <a:latin typeface="Segoe UI"/>
              </a:rPr>
              <a:t>وسيط زمن الرحلة (دقيقة)</a:t>
            </a:r>
          </a:p>
        </c:rich>
      </c:tx>
      <c:layout/>
      <c:overlay val="0"/>
    </c:title>
    <c:autoTitleDeleted val="0"/>
    <c:plotArea>
      <c:barChart>
        <c:barDir val="col"/>
        <c:grouping val="clustered"/>
        <c:ser>
          <c:idx val="0"/>
          <c:order val="0"/>
          <c:tx>
            <c:strRef>
              <c:f>Sheet1!$B$1</c:f>
              <c:strCache>
                <c:ptCount val="1"/>
                <c:pt idx="0">
                  <c:v>الوسيط (دقيقة)</c:v>
                </c:pt>
              </c:strCache>
            </c:strRef>
          </c:tx>
          <c:spPr>
            <a:solidFill>
              <a:srgbClr val="0F766E"/>
            </a:solidFill>
            <a:ln>
              <a:noFill/>
            </a:ln>
          </c:spPr>
          <c:dPt>
            <c:idx val="0"/>
            <c:spPr>
              <a:solidFill>
                <a:srgbClr val="1E5AA8"/>
              </a:solidFill>
            </c:spPr>
          </c:dPt>
          <c:dPt>
            <c:idx val="1"/>
            <c:spPr>
              <a:solidFill>
                <a:srgbClr val="0E8A5F"/>
              </a:solidFill>
            </c:spPr>
          </c:dPt>
          <c:dPt>
            <c:idx val="2"/>
            <c:spPr>
              <a:solidFill>
                <a:srgbClr val="C2571A"/>
              </a:solidFill>
            </c:spPr>
          </c:dPt>
          <c:cat>
            <c:strRef>
              <c:f>Sheet1!$A$2:$A$4</c:f>
              <c:strCache>
                <c:ptCount val="3"/>
                <c:pt idx="0">
                  <c:v>دمشق</c:v>
                </c:pt>
                <c:pt idx="1">
                  <c:v>حلب</c:v>
                </c:pt>
                <c:pt idx="2">
                  <c:v>اللاذقية</c:v>
                </c:pt>
              </c:strCache>
            </c:strRef>
          </c:cat>
          <c:val>
            <c:numRef>
              <c:f>Sheet1!$B$2:$B$4</c:f>
              <c:numCache>
                <c:formatCode>General</c:formatCode>
                <c:ptCount val="3"/>
                <c:pt idx="0">
                  <c:v>121.0</c:v>
                </c:pt>
                <c:pt idx="1">
                  <c:v>90.0</c:v>
                </c:pt>
                <c:pt idx="2">
                  <c:v>250.0</c:v>
                </c:pt>
              </c:numCache>
            </c:numRef>
          </c:val>
        </c:ser>
        <c:dLbls>
          <c:numFmt formatCode="#,##0" sourceLinked="0"/>
          <c:txPr>
            <a:bodyPr/>
            <a:lstStyle/>
            <a:p>
              <a:pPr>
                <a:defRPr sz="900">
                  <a:solidFill>
                    <a:srgbClr val="374151"/>
                  </a:solidFill>
                  <a:latin typeface="Segoe UI"/>
                </a:defRPr>
              </a:pPr>
            </a:p>
          </c:txPr>
          <c:dLblPos val="outEnd"/>
          <c:showLegendKey val="0"/>
          <c:showVal val="1"/>
          <c:showCatName val="0"/>
          <c:showSerName val="0"/>
          <c:showPercent val="0"/>
          <c:showBubbleSize val="0"/>
          <c:showLeaderLines val="1"/>
        </c:dLbls>
        <c:axId val="-2068027336"/>
        <c:axId val="-2113994440"/>
      </c:barChart>
      <c:catAx>
        <c:axId val="-2068027336"/>
        <c:scaling>
          <c:orientation val="minMax"/>
        </c:scaling>
        <c:delete val="0"/>
        <c:axPos val="b"/>
        <c:majorTickMark val="out"/>
        <c:minorTickMark val="none"/>
        <c:tickLblPos val="nextTo"/>
        <c:txPr>
          <a:bodyPr/>
          <a:lstStyle/>
          <a:p>
            <a:pPr>
              <a:defRPr sz="950">
                <a:latin typeface="Segoe UI"/>
              </a:defRPr>
            </a:pPr>
          </a:p>
        </c:txPr>
        <c:crossAx val="-2113994440"/>
        <c:crosses val="autoZero"/>
        <c:auto val="1"/>
        <c:lblAlgn val="ctr"/>
        <c:lblOffset val="100"/>
        <c:noMultiLvlLbl val="0"/>
      </c:catAx>
      <c:valAx>
        <c:axId val="-2113994440"/>
        <c:scaling/>
        <c:delete val="0"/>
        <c:axPos val="l"/>
        <c:majorGridlines>
          <c:spPr>
            <a:ln w="6350">
              <a:solidFill>
                <a:srgbClr val="E5E7EB"/>
              </a:solidFill>
            </a:ln>
          </c:spPr>
        </c:majorGridlines>
        <c:numFmt formatCode="#,##0" sourceLinked="0"/>
        <c:majorTickMark val="out"/>
        <c:minorTickMark val="none"/>
        <c:tickLblPos val="nextTo"/>
        <c:spPr>
          <a:ln>
            <a:solidFill>
              <a:srgbClr val="9CA3AF"/>
            </a:solidFill>
          </a:ln>
        </c:spPr>
        <c:txPr>
          <a:bodyPr/>
          <a:lstStyle/>
          <a:p>
            <a:pPr>
              <a:defRPr sz="900">
                <a:latin typeface="Segoe UI"/>
              </a:defRPr>
            </a:pPr>
          </a:p>
        </c:txPr>
        <c:crossAx val="-2068027336"/>
        <c:crosses val="autoZero"/>
      </c:valAx>
    </c:plotArea>
    <c:dispBlanksAs val="gap"/>
  </c:chart>
  <c:txPr>
    <a:bodyPr/>
    <a:lstStyle/>
    <a:p>
      <a:pPr>
        <a:defRPr sz="1000">
          <a:latin typeface="Segoe UI"/>
        </a:defRPr>
      </a:pPr>
      <a:endParaRPr lang="en-U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chart>
    <c:title>
      <c:tx>
        <c:rich>
          <a:bodyPr/>
          <a:lstStyle/>
          <a:p>
            <a:r>
              <a:rPr sz="1250" b="1">
                <a:solidFill>
                  <a:srgbClr val="0F2A5C"/>
                </a:solidFill>
                <a:latin typeface="Segoe UI"/>
              </a:rPr>
              <a:t>وسيط المسافة المقطوعة (كم)</a:t>
            </a:r>
          </a:p>
        </c:rich>
      </c:tx>
      <c:layout/>
      <c:overlay val="0"/>
    </c:title>
    <c:autoTitleDeleted val="0"/>
    <c:plotArea>
      <c:barChart>
        <c:barDir val="col"/>
        <c:grouping val="clustered"/>
        <c:ser>
          <c:idx val="0"/>
          <c:order val="0"/>
          <c:tx>
            <c:strRef>
              <c:f>Sheet1!$B$1</c:f>
              <c:strCache>
                <c:ptCount val="1"/>
                <c:pt idx="0">
                  <c:v>الوسيط (كم)</c:v>
                </c:pt>
              </c:strCache>
            </c:strRef>
          </c:tx>
          <c:spPr>
            <a:solidFill>
              <a:srgbClr val="7C3AED"/>
            </a:solidFill>
            <a:ln>
              <a:noFill/>
            </a:ln>
          </c:spPr>
          <c:dPt>
            <c:idx val="0"/>
            <c:spPr>
              <a:solidFill>
                <a:srgbClr val="1E5AA8"/>
              </a:solidFill>
            </c:spPr>
          </c:dPt>
          <c:dPt>
            <c:idx val="1"/>
            <c:spPr>
              <a:solidFill>
                <a:srgbClr val="0E8A5F"/>
              </a:solidFill>
            </c:spPr>
          </c:dPt>
          <c:dPt>
            <c:idx val="2"/>
            <c:spPr>
              <a:solidFill>
                <a:srgbClr val="C2571A"/>
              </a:solidFill>
            </c:spPr>
          </c:dPt>
          <c:cat>
            <c:strRef>
              <c:f>Sheet1!$A$2:$A$4</c:f>
              <c:strCache>
                <c:ptCount val="3"/>
                <c:pt idx="0">
                  <c:v>دمشق</c:v>
                </c:pt>
                <c:pt idx="1">
                  <c:v>حلب</c:v>
                </c:pt>
                <c:pt idx="2">
                  <c:v>اللاذقية</c:v>
                </c:pt>
              </c:strCache>
            </c:strRef>
          </c:cat>
          <c:val>
            <c:numRef>
              <c:f>Sheet1!$B$2:$B$4</c:f>
              <c:numCache>
                <c:formatCode>General</c:formatCode>
                <c:ptCount val="3"/>
                <c:pt idx="0">
                  <c:v>1485.0</c:v>
                </c:pt>
                <c:pt idx="1">
                  <c:v>1026.0</c:v>
                </c:pt>
                <c:pt idx="2">
                  <c:v>1658.0</c:v>
                </c:pt>
              </c:numCache>
            </c:numRef>
          </c:val>
        </c:ser>
        <c:dLbls>
          <c:numFmt formatCode="#,##0" sourceLinked="0"/>
          <c:txPr>
            <a:bodyPr/>
            <a:lstStyle/>
            <a:p>
              <a:pPr>
                <a:defRPr sz="900">
                  <a:solidFill>
                    <a:srgbClr val="374151"/>
                  </a:solidFill>
                  <a:latin typeface="Segoe UI"/>
                </a:defRPr>
              </a:pPr>
            </a:p>
          </c:txPr>
          <c:dLblPos val="outEnd"/>
          <c:showLegendKey val="0"/>
          <c:showVal val="1"/>
          <c:showCatName val="0"/>
          <c:showSerName val="0"/>
          <c:showPercent val="0"/>
          <c:showBubbleSize val="0"/>
          <c:showLeaderLines val="1"/>
        </c:dLbls>
        <c:axId val="-2068027336"/>
        <c:axId val="-2113994440"/>
      </c:barChart>
      <c:catAx>
        <c:axId val="-2068027336"/>
        <c:scaling>
          <c:orientation val="minMax"/>
        </c:scaling>
        <c:delete val="0"/>
        <c:axPos val="b"/>
        <c:majorTickMark val="out"/>
        <c:minorTickMark val="none"/>
        <c:tickLblPos val="nextTo"/>
        <c:txPr>
          <a:bodyPr/>
          <a:lstStyle/>
          <a:p>
            <a:pPr>
              <a:defRPr sz="950">
                <a:latin typeface="Segoe UI"/>
              </a:defRPr>
            </a:pPr>
          </a:p>
        </c:txPr>
        <c:crossAx val="-2113994440"/>
        <c:crosses val="autoZero"/>
        <c:auto val="1"/>
        <c:lblAlgn val="ctr"/>
        <c:lblOffset val="100"/>
        <c:noMultiLvlLbl val="0"/>
      </c:catAx>
      <c:valAx>
        <c:axId val="-2113994440"/>
        <c:scaling/>
        <c:delete val="0"/>
        <c:axPos val="l"/>
        <c:majorGridlines>
          <c:spPr>
            <a:ln w="6350">
              <a:solidFill>
                <a:srgbClr val="E5E7EB"/>
              </a:solidFill>
            </a:ln>
          </c:spPr>
        </c:majorGridlines>
        <c:numFmt formatCode="#,##0" sourceLinked="0"/>
        <c:majorTickMark val="out"/>
        <c:minorTickMark val="none"/>
        <c:tickLblPos val="nextTo"/>
        <c:spPr>
          <a:ln>
            <a:solidFill>
              <a:srgbClr val="9CA3AF"/>
            </a:solidFill>
          </a:ln>
        </c:spPr>
        <c:txPr>
          <a:bodyPr/>
          <a:lstStyle/>
          <a:p>
            <a:pPr>
              <a:defRPr sz="900">
                <a:latin typeface="Segoe UI"/>
              </a:defRPr>
            </a:pPr>
          </a:p>
        </c:txPr>
        <c:crossAx val="-2068027336"/>
        <c:crosses val="autoZero"/>
      </c:valAx>
    </c:plotArea>
    <c:dispBlanksAs val="gap"/>
  </c:chart>
  <c:txPr>
    <a:bodyPr/>
    <a:lstStyle/>
    <a:p>
      <a:pPr>
        <a:defRPr sz="1000">
          <a:latin typeface="Segoe UI"/>
        </a:defRPr>
      </a:pPr>
      <a:endParaRPr lang="en-U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chart>
    <c:title>
      <c:tx>
        <c:rich>
          <a:bodyPr/>
          <a:lstStyle/>
          <a:p>
            <a:r>
              <a:rPr sz="1250" b="1">
                <a:solidFill>
                  <a:srgbClr val="0F2A5C"/>
                </a:solidFill>
                <a:latin typeface="Segoe UI"/>
              </a:rPr>
              <a:t>حصة الطائرات العريضة البدن (%)</a:t>
            </a:r>
          </a:p>
        </c:rich>
      </c:tx>
      <c:layout/>
      <c:overlay val="0"/>
    </c:title>
    <c:autoTitleDeleted val="0"/>
    <c:plotArea>
      <c:barChart>
        <c:barDir val="col"/>
        <c:grouping val="clustered"/>
        <c:ser>
          <c:idx val="0"/>
          <c:order val="0"/>
          <c:tx>
            <c:strRef>
              <c:f>Sheet1!$B$1</c:f>
              <c:strCache>
                <c:ptCount val="1"/>
                <c:pt idx="0">
                  <c:v>النسبة</c:v>
                </c:pt>
              </c:strCache>
            </c:strRef>
          </c:tx>
          <c:spPr>
            <a:solidFill>
              <a:srgbClr val="B45309"/>
            </a:solidFill>
            <a:ln>
              <a:noFill/>
            </a:ln>
          </c:spPr>
          <c:dPt>
            <c:idx val="0"/>
            <c:spPr>
              <a:solidFill>
                <a:srgbClr val="1E5AA8"/>
              </a:solidFill>
            </c:spPr>
          </c:dPt>
          <c:dPt>
            <c:idx val="1"/>
            <c:spPr>
              <a:solidFill>
                <a:srgbClr val="0E8A5F"/>
              </a:solidFill>
            </c:spPr>
          </c:dPt>
          <c:dPt>
            <c:idx val="2"/>
            <c:spPr>
              <a:solidFill>
                <a:srgbClr val="C2571A"/>
              </a:solidFill>
            </c:spPr>
          </c:dPt>
          <c:cat>
            <c:strRef>
              <c:f>Sheet1!$A$2:$A$4</c:f>
              <c:strCache>
                <c:ptCount val="3"/>
                <c:pt idx="0">
                  <c:v>دمشق</c:v>
                </c:pt>
                <c:pt idx="1">
                  <c:v>حلب</c:v>
                </c:pt>
                <c:pt idx="2">
                  <c:v>اللاذقية</c:v>
                </c:pt>
              </c:strCache>
            </c:strRef>
          </c:cat>
          <c:val>
            <c:numRef>
              <c:f>Sheet1!$B$2:$B$4</c:f>
              <c:numCache>
                <c:formatCode>General</c:formatCode>
                <c:ptCount val="3"/>
                <c:pt idx="0">
                  <c:v>9.9</c:v>
                </c:pt>
                <c:pt idx="1">
                  <c:v>3.7</c:v>
                </c:pt>
                <c:pt idx="2">
                  <c:v>25.4</c:v>
                </c:pt>
              </c:numCache>
            </c:numRef>
          </c:val>
        </c:ser>
        <c:dLbls>
          <c:numFmt formatCode="0.0&quot;%&quot;" sourceLinked="0"/>
          <c:txPr>
            <a:bodyPr/>
            <a:lstStyle/>
            <a:p>
              <a:pPr>
                <a:defRPr sz="900">
                  <a:solidFill>
                    <a:srgbClr val="374151"/>
                  </a:solidFill>
                  <a:latin typeface="Segoe UI"/>
                </a:defRPr>
              </a:pPr>
            </a:p>
          </c:txPr>
          <c:dLblPos val="outEnd"/>
          <c:showLegendKey val="0"/>
          <c:showVal val="1"/>
          <c:showCatName val="0"/>
          <c:showSerName val="0"/>
          <c:showPercent val="0"/>
          <c:showBubbleSize val="0"/>
          <c:showLeaderLines val="1"/>
        </c:dLbls>
        <c:axId val="-2068027336"/>
        <c:axId val="-2113994440"/>
      </c:barChart>
      <c:catAx>
        <c:axId val="-2068027336"/>
        <c:scaling>
          <c:orientation val="minMax"/>
        </c:scaling>
        <c:delete val="0"/>
        <c:axPos val="b"/>
        <c:majorTickMark val="out"/>
        <c:minorTickMark val="none"/>
        <c:tickLblPos val="nextTo"/>
        <c:txPr>
          <a:bodyPr/>
          <a:lstStyle/>
          <a:p>
            <a:pPr>
              <a:defRPr sz="950">
                <a:latin typeface="Segoe UI"/>
              </a:defRPr>
            </a:pPr>
          </a:p>
        </c:txPr>
        <c:crossAx val="-2113994440"/>
        <c:crosses val="autoZero"/>
        <c:auto val="1"/>
        <c:lblAlgn val="ctr"/>
        <c:lblOffset val="100"/>
        <c:noMultiLvlLbl val="0"/>
      </c:catAx>
      <c:valAx>
        <c:axId val="-2113994440"/>
        <c:scaling/>
        <c:delete val="0"/>
        <c:axPos val="l"/>
        <c:majorGridlines>
          <c:spPr>
            <a:ln w="6350">
              <a:solidFill>
                <a:srgbClr val="E5E7EB"/>
              </a:solidFill>
            </a:ln>
          </c:spPr>
        </c:majorGridlines>
        <c:numFmt formatCode="#,##0" sourceLinked="0"/>
        <c:majorTickMark val="out"/>
        <c:minorTickMark val="none"/>
        <c:tickLblPos val="nextTo"/>
        <c:spPr>
          <a:ln>
            <a:solidFill>
              <a:srgbClr val="9CA3AF"/>
            </a:solidFill>
          </a:ln>
        </c:spPr>
        <c:txPr>
          <a:bodyPr/>
          <a:lstStyle/>
          <a:p>
            <a:pPr>
              <a:defRPr sz="900">
                <a:latin typeface="Segoe UI"/>
              </a:defRPr>
            </a:pPr>
          </a:p>
        </c:txPr>
        <c:crossAx val="-2068027336"/>
        <c:crosses val="autoZero"/>
      </c:valAx>
    </c:plotArea>
    <c:dispBlanksAs val="gap"/>
  </c:chart>
  <c:txPr>
    <a:bodyPr/>
    <a:lstStyle/>
    <a:p>
      <a:pPr>
        <a:defRPr sz="1000">
          <a:latin typeface="Segoe UI"/>
        </a:defRPr>
      </a:pPr>
      <a:endParaRPr lang="en-U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chart>
    <c:title>
      <c:tx>
        <c:rich>
          <a:bodyPr/>
          <a:lstStyle/>
          <a:p>
            <a:r>
              <a:rPr sz="1250" b="1">
                <a:solidFill>
                  <a:srgbClr val="0F2A5C"/>
                </a:solidFill>
                <a:latin typeface="Segoe UI"/>
              </a:rPr>
              <a:t>مقارنة عادلة: الفترة يناير–أغسطس بين عامي 2025 و2026</a:t>
            </a:r>
          </a:p>
        </c:rich>
      </c:tx>
      <c:layout/>
      <c:overlay val="0"/>
    </c:title>
    <c:autoTitleDeleted val="0"/>
    <c:plotArea>
      <c:barChart>
        <c:barDir val="col"/>
        <c:grouping val="clustered"/>
        <c:ser>
          <c:idx val="0"/>
          <c:order val="0"/>
          <c:tx>
            <c:strRef>
              <c:f>Sheet1!$B$1</c:f>
              <c:strCache>
                <c:ptCount val="1"/>
                <c:pt idx="0">
                  <c:v>يناير–أغسطس 2025</c:v>
                </c:pt>
              </c:strCache>
            </c:strRef>
          </c:tx>
          <c:spPr>
            <a:solidFill>
              <a:srgbClr val="93C5FD"/>
            </a:solidFill>
            <a:ln>
              <a:noFill/>
            </a:ln>
          </c:spPr>
          <c:cat>
            <c:strRef>
              <c:f>Sheet1!$A$2:$A$4</c:f>
              <c:strCache>
                <c:ptCount val="3"/>
                <c:pt idx="0">
                  <c:v>دمشق</c:v>
                </c:pt>
                <c:pt idx="1">
                  <c:v>حلب</c:v>
                </c:pt>
                <c:pt idx="2">
                  <c:v>اللاذقية</c:v>
                </c:pt>
              </c:strCache>
            </c:strRef>
          </c:cat>
          <c:val>
            <c:numRef>
              <c:f>Sheet1!$B$2:$B$4</c:f>
              <c:numCache>
                <c:formatCode>General</c:formatCode>
                <c:ptCount val="3"/>
                <c:pt idx="0">
                  <c:v>6193</c:v>
                </c:pt>
                <c:pt idx="1">
                  <c:v>630</c:v>
                </c:pt>
                <c:pt idx="2">
                  <c:v>37</c:v>
                </c:pt>
              </c:numCache>
            </c:numRef>
          </c:val>
        </c:ser>
        <c:ser>
          <c:idx val="1"/>
          <c:order val="1"/>
          <c:tx>
            <c:strRef>
              <c:f>Sheet1!$C$1</c:f>
              <c:strCache>
                <c:ptCount val="1"/>
                <c:pt idx="0">
                  <c:v>يناير–أغسطس 2026</c:v>
                </c:pt>
              </c:strCache>
            </c:strRef>
          </c:tx>
          <c:spPr>
            <a:solidFill>
              <a:srgbClr val="1D4ED8"/>
            </a:solidFill>
            <a:ln>
              <a:noFill/>
            </a:ln>
          </c:spPr>
          <c:cat>
            <c:strRef>
              <c:f>Sheet1!$A$2:$A$4</c:f>
              <c:strCache>
                <c:ptCount val="3"/>
                <c:pt idx="0">
                  <c:v>دمشق</c:v>
                </c:pt>
                <c:pt idx="1">
                  <c:v>حلب</c:v>
                </c:pt>
                <c:pt idx="2">
                  <c:v>اللاذقية</c:v>
                </c:pt>
              </c:strCache>
            </c:strRef>
          </c:cat>
          <c:val>
            <c:numRef>
              <c:f>Sheet1!$C$2:$C$4</c:f>
              <c:numCache>
                <c:formatCode>General</c:formatCode>
                <c:ptCount val="3"/>
                <c:pt idx="0">
                  <c:v>8097</c:v>
                </c:pt>
                <c:pt idx="1">
                  <c:v>2886</c:v>
                </c:pt>
                <c:pt idx="2">
                  <c:v>124</c:v>
                </c:pt>
              </c:numCache>
            </c:numRef>
          </c:val>
        </c:ser>
        <c:dLbls>
          <c:numFmt formatCode="#,##0" sourceLinked="0"/>
          <c:txPr>
            <a:bodyPr/>
            <a:lstStyle/>
            <a:p>
              <a:pPr>
                <a:defRPr sz="900">
                  <a:solidFill>
                    <a:srgbClr val="374151"/>
                  </a:solidFill>
                  <a:latin typeface="Segoe UI"/>
                </a:defRPr>
              </a:pPr>
            </a:p>
          </c:txPr>
          <c:dLblPos val="outEnd"/>
          <c:showLegendKey val="0"/>
          <c:showVal val="1"/>
          <c:showCatName val="0"/>
          <c:showSerName val="0"/>
          <c:showPercent val="0"/>
          <c:showBubbleSize val="0"/>
          <c:showLeaderLines val="1"/>
        </c:dLbls>
        <c:axId val="-2068027336"/>
        <c:axId val="-2113994440"/>
      </c:barChart>
      <c:catAx>
        <c:axId val="-2068027336"/>
        <c:scaling>
          <c:orientation val="minMax"/>
        </c:scaling>
        <c:delete val="0"/>
        <c:axPos val="b"/>
        <c:majorTickMark val="out"/>
        <c:minorTickMark val="none"/>
        <c:tickLblPos val="nextTo"/>
        <c:txPr>
          <a:bodyPr/>
          <a:lstStyle/>
          <a:p>
            <a:pPr>
              <a:defRPr sz="950">
                <a:latin typeface="Segoe UI"/>
              </a:defRPr>
            </a:pPr>
          </a:p>
        </c:txPr>
        <c:crossAx val="-2113994440"/>
        <c:crosses val="autoZero"/>
        <c:auto val="1"/>
        <c:lblAlgn val="ctr"/>
        <c:lblOffset val="100"/>
        <c:noMultiLvlLbl val="0"/>
      </c:catAx>
      <c:valAx>
        <c:axId val="-2113994440"/>
        <c:scaling/>
        <c:delete val="0"/>
        <c:axPos val="l"/>
        <c:majorGridlines>
          <c:spPr>
            <a:ln w="6350">
              <a:solidFill>
                <a:srgbClr val="E5E7EB"/>
              </a:solidFill>
            </a:ln>
          </c:spPr>
        </c:majorGridlines>
        <c:numFmt formatCode="#,##0" sourceLinked="0"/>
        <c:majorTickMark val="out"/>
        <c:minorTickMark val="none"/>
        <c:tickLblPos val="nextTo"/>
        <c:spPr>
          <a:ln>
            <a:solidFill>
              <a:srgbClr val="9CA3AF"/>
            </a:solidFill>
          </a:ln>
        </c:spPr>
        <c:txPr>
          <a:bodyPr/>
          <a:lstStyle/>
          <a:p>
            <a:pPr>
              <a:defRPr sz="900">
                <a:latin typeface="Segoe UI"/>
              </a:defRPr>
            </a:pPr>
          </a:p>
        </c:txPr>
        <c:crossAx val="-2068027336"/>
        <c:crosses val="autoZero"/>
      </c:valAx>
    </c:plotArea>
    <c:legend>
      <c:legendPos val="b"/>
      <c:overlay val="0"/>
      <c:txPr>
        <a:bodyPr/>
        <a:lstStyle/>
        <a:p>
          <a:pPr>
            <a:defRPr sz="950">
              <a:latin typeface="Segoe UI"/>
            </a:defRPr>
          </a:pPr>
        </a:p>
      </c:txPr>
    </c:legend>
    <c:dispBlanksAs val="gap"/>
  </c:chart>
  <c:txPr>
    <a:bodyPr/>
    <a:lstStyle/>
    <a:p>
      <a:pPr>
        <a:defRPr sz="1000">
          <a:latin typeface="Segoe UI"/>
        </a:defRPr>
      </a:pPr>
      <a:endParaRPr lang="en-U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chart>
    <c:title>
      <c:tx>
        <c:rich>
          <a:bodyPr/>
          <a:lstStyle/>
          <a:p>
            <a:r>
              <a:rPr sz="1250" b="1">
                <a:solidFill>
                  <a:srgbClr val="0F2A5C"/>
                </a:solidFill>
                <a:latin typeface="Segoe UI"/>
              </a:rPr>
              <a:t>اللاذقية: الحركة الشهرية</a:t>
            </a:r>
          </a:p>
        </c:rich>
      </c:tx>
      <c:layout/>
      <c:overlay val="0"/>
    </c:title>
    <c:autoTitleDeleted val="0"/>
    <c:plotArea>
      <c:barChart>
        <c:barDir val="col"/>
        <c:grouping val="clustered"/>
        <c:ser>
          <c:idx val="0"/>
          <c:order val="0"/>
          <c:tx>
            <c:strRef>
              <c:f>Sheet1!$B$1</c:f>
              <c:strCache>
                <c:ptCount val="1"/>
                <c:pt idx="0">
                  <c:v>عدد الحركات</c:v>
                </c:pt>
              </c:strCache>
            </c:strRef>
          </c:tx>
          <c:spPr>
            <a:solidFill>
              <a:srgbClr val="C2571A"/>
            </a:solidFill>
            <a:ln>
              <a:noFill/>
            </a:ln>
          </c:spPr>
          <c:cat>
            <c:strRef>
              <c:f>Sheet1!$A$2:$A$22</c:f>
              <c:strCache>
                <c:ptCount val="21"/>
                <c:pt idx="0">
                  <c:v>2025-01</c:v>
                </c:pt>
                <c:pt idx="1">
                  <c:v>2025-02</c:v>
                </c:pt>
                <c:pt idx="2">
                  <c:v>2025-03</c:v>
                </c:pt>
                <c:pt idx="3">
                  <c:v>2025-04</c:v>
                </c:pt>
                <c:pt idx="4">
                  <c:v>2025-05</c:v>
                </c:pt>
                <c:pt idx="5">
                  <c:v>2025-06</c:v>
                </c:pt>
                <c:pt idx="6">
                  <c:v>2025-07</c:v>
                </c:pt>
                <c:pt idx="7">
                  <c:v>2025-08</c:v>
                </c:pt>
                <c:pt idx="8">
                  <c:v>2025-09</c:v>
                </c:pt>
                <c:pt idx="9">
                  <c:v>2025-10</c:v>
                </c:pt>
                <c:pt idx="10">
                  <c:v>2025-11</c:v>
                </c:pt>
                <c:pt idx="11">
                  <c:v>2025-12</c:v>
                </c:pt>
                <c:pt idx="12">
                  <c:v>2026-01</c:v>
                </c:pt>
                <c:pt idx="13">
                  <c:v>2026-02</c:v>
                </c:pt>
                <c:pt idx="14">
                  <c:v>2026-03</c:v>
                </c:pt>
                <c:pt idx="15">
                  <c:v>2026-04</c:v>
                </c:pt>
                <c:pt idx="16">
                  <c:v>2026-05</c:v>
                </c:pt>
                <c:pt idx="17">
                  <c:v>2026-06</c:v>
                </c:pt>
                <c:pt idx="18">
                  <c:v>2026-07</c:v>
                </c:pt>
                <c:pt idx="19">
                  <c:v>2026-08</c:v>
                </c:pt>
                <c:pt idx="20">
                  <c:v>2026-09</c:v>
                </c:pt>
              </c:strCache>
            </c:strRef>
          </c:cat>
          <c:val>
            <c:numRef>
              <c:f>Sheet1!$B$2:$B$22</c:f>
              <c:numCache>
                <c:formatCode>General</c:formatCode>
                <c:ptCount val="21"/>
                <c:pt idx="0">
                  <c:v>4</c:v>
                </c:pt>
                <c:pt idx="1">
                  <c:v>0</c:v>
                </c:pt>
                <c:pt idx="2">
                  <c:v>7</c:v>
                </c:pt>
                <c:pt idx="3">
                  <c:v>7</c:v>
                </c:pt>
                <c:pt idx="4">
                  <c:v>6</c:v>
                </c:pt>
                <c:pt idx="5">
                  <c:v>5</c:v>
                </c:pt>
                <c:pt idx="6">
                  <c:v>6</c:v>
                </c:pt>
                <c:pt idx="7">
                  <c:v>2</c:v>
                </c:pt>
                <c:pt idx="8">
                  <c:v>13</c:v>
                </c:pt>
                <c:pt idx="9">
                  <c:v>15</c:v>
                </c:pt>
                <c:pt idx="10">
                  <c:v>21</c:v>
                </c:pt>
                <c:pt idx="11">
                  <c:v>37</c:v>
                </c:pt>
                <c:pt idx="12">
                  <c:v>6</c:v>
                </c:pt>
                <c:pt idx="13">
                  <c:v>14</c:v>
                </c:pt>
                <c:pt idx="14">
                  <c:v>0</c:v>
                </c:pt>
                <c:pt idx="15">
                  <c:v>8</c:v>
                </c:pt>
                <c:pt idx="16">
                  <c:v>16</c:v>
                </c:pt>
                <c:pt idx="17">
                  <c:v>25</c:v>
                </c:pt>
                <c:pt idx="18">
                  <c:v>31</c:v>
                </c:pt>
                <c:pt idx="19">
                  <c:v>24</c:v>
                </c:pt>
                <c:pt idx="20">
                  <c:v>5</c:v>
                </c:pt>
              </c:numCache>
            </c:numRef>
          </c:val>
        </c:ser>
        <c:axId val="-2068027336"/>
        <c:axId val="-2113994440"/>
      </c:barChart>
      <c:catAx>
        <c:axId val="-2068027336"/>
        <c:scaling>
          <c:orientation val="minMax"/>
        </c:scaling>
        <c:delete val="0"/>
        <c:axPos val="b"/>
        <c:majorTickMark val="out"/>
        <c:minorTickMark val="none"/>
        <c:tickLblPos val="nextTo"/>
        <c:txPr>
          <a:bodyPr/>
          <a:lstStyle/>
          <a:p>
            <a:pPr>
              <a:defRPr sz="950">
                <a:latin typeface="Segoe UI"/>
              </a:defRPr>
            </a:pPr>
          </a:p>
        </c:txPr>
        <c:crossAx val="-2113994440"/>
        <c:crosses val="autoZero"/>
        <c:auto val="1"/>
        <c:lblAlgn val="ctr"/>
        <c:lblOffset val="100"/>
        <c:noMultiLvlLbl val="0"/>
      </c:catAx>
      <c:valAx>
        <c:axId val="-2113994440"/>
        <c:scaling/>
        <c:delete val="0"/>
        <c:axPos val="l"/>
        <c:majorGridlines>
          <c:spPr>
            <a:ln w="6350">
              <a:solidFill>
                <a:srgbClr val="E5E7EB"/>
              </a:solidFill>
            </a:ln>
          </c:spPr>
        </c:majorGridlines>
        <c:numFmt formatCode="#,##0" sourceLinked="0"/>
        <c:majorTickMark val="out"/>
        <c:minorTickMark val="none"/>
        <c:tickLblPos val="nextTo"/>
        <c:spPr>
          <a:ln>
            <a:solidFill>
              <a:srgbClr val="9CA3AF"/>
            </a:solidFill>
          </a:ln>
        </c:spPr>
        <c:txPr>
          <a:bodyPr/>
          <a:lstStyle/>
          <a:p>
            <a:pPr>
              <a:defRPr sz="900">
                <a:latin typeface="Segoe UI"/>
              </a:defRPr>
            </a:pPr>
          </a:p>
        </c:txPr>
        <c:crossAx val="-2068027336"/>
        <c:crosses val="autoZero"/>
      </c:valAx>
    </c:plotArea>
    <c:dispBlanksAs val="gap"/>
  </c:chart>
  <c:txPr>
    <a:bodyPr/>
    <a:lstStyle/>
    <a:p>
      <a:pPr>
        <a:defRPr sz="1000">
          <a:latin typeface="Segoe UI"/>
        </a:defRPr>
      </a:pPr>
      <a:endParaRPr lang="en-U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chart>
    <c:title>
      <c:tx>
        <c:rich>
          <a:bodyPr/>
          <a:lstStyle/>
          <a:p>
            <a:r>
              <a:rPr sz="1250" b="1">
                <a:solidFill>
                  <a:srgbClr val="0F2A5C"/>
                </a:solidFill>
                <a:latin typeface="Segoe UI"/>
              </a:rPr>
              <a:t>اللاذقية: المشغّلون (عدد الحركات)</a:t>
            </a:r>
          </a:p>
        </c:rich>
      </c:tx>
      <c:layout/>
      <c:overlay val="0"/>
    </c:title>
    <c:autoTitleDeleted val="0"/>
    <c:plotArea>
      <c:barChart>
        <c:barDir val="bar"/>
        <c:grouping val="clustered"/>
        <c:ser>
          <c:idx val="0"/>
          <c:order val="0"/>
          <c:tx>
            <c:strRef>
              <c:f>Sheet1!$B$1</c:f>
              <c:strCache>
                <c:ptCount val="1"/>
                <c:pt idx="0">
                  <c:v>عدد الحركات</c:v>
                </c:pt>
              </c:strCache>
            </c:strRef>
          </c:tx>
          <c:spPr>
            <a:solidFill>
              <a:srgbClr val="B91C1C"/>
            </a:solidFill>
            <a:ln>
              <a:noFill/>
            </a:ln>
          </c:spPr>
          <c:cat>
            <c:strRef>
              <c:f>Sheet1!$A$2:$A$6</c:f>
              <c:strCache>
                <c:ptCount val="5"/>
                <c:pt idx="0">
                  <c:v>تشكيل RSD الروسي (RSD)</c:v>
                </c:pt>
                <c:pt idx="1">
                  <c:v>تشكيل CHD الروسي (CHD)</c:v>
                </c:pt>
                <c:pt idx="2">
                  <c:v>تشكيل TTF الروسي (TTF)</c:v>
                </c:pt>
                <c:pt idx="3">
                  <c:v>غير محدد المشغّل</c:v>
                </c:pt>
                <c:pt idx="4">
                  <c:v>القوات الجوية الروسية</c:v>
                </c:pt>
              </c:strCache>
            </c:strRef>
          </c:cat>
          <c:val>
            <c:numRef>
              <c:f>Sheet1!$B$2:$B$6</c:f>
              <c:numCache>
                <c:formatCode>General</c:formatCode>
                <c:ptCount val="5"/>
                <c:pt idx="0">
                  <c:v>8</c:v>
                </c:pt>
                <c:pt idx="1">
                  <c:v>18</c:v>
                </c:pt>
                <c:pt idx="2">
                  <c:v>26</c:v>
                </c:pt>
                <c:pt idx="3">
                  <c:v>52</c:v>
                </c:pt>
                <c:pt idx="4">
                  <c:v>148</c:v>
                </c:pt>
              </c:numCache>
            </c:numRef>
          </c:val>
        </c:ser>
        <c:dLbls>
          <c:numFmt formatCode="#,##0" sourceLinked="0"/>
          <c:txPr>
            <a:bodyPr/>
            <a:lstStyle/>
            <a:p>
              <a:pPr>
                <a:defRPr sz="900">
                  <a:solidFill>
                    <a:srgbClr val="374151"/>
                  </a:solidFill>
                  <a:latin typeface="Segoe UI"/>
                </a:defRPr>
              </a:pPr>
            </a:p>
          </c:txPr>
          <c:dLblPos val="outEnd"/>
          <c:showLegendKey val="0"/>
          <c:showVal val="1"/>
          <c:showCatName val="0"/>
          <c:showSerName val="0"/>
          <c:showPercent val="0"/>
          <c:showBubbleSize val="0"/>
          <c:showLeaderLines val="1"/>
        </c:dLbls>
        <c:axId val="-2068027336"/>
        <c:axId val="-2113994440"/>
      </c:barChart>
      <c:catAx>
        <c:axId val="-2068027336"/>
        <c:scaling>
          <c:orientation val="minMax"/>
        </c:scaling>
        <c:delete val="0"/>
        <c:axPos val="l"/>
        <c:majorTickMark val="out"/>
        <c:minorTickMark val="none"/>
        <c:tickLblPos val="nextTo"/>
        <c:txPr>
          <a:bodyPr/>
          <a:lstStyle/>
          <a:p>
            <a:pPr>
              <a:defRPr sz="950">
                <a:latin typeface="Segoe UI"/>
              </a:defRPr>
            </a:pPr>
          </a:p>
        </c:txPr>
        <c:crossAx val="-2113994440"/>
        <c:crosses val="autoZero"/>
        <c:auto val="1"/>
        <c:lblAlgn val="ctr"/>
        <c:lblOffset val="100"/>
        <c:noMultiLvlLbl val="0"/>
      </c:catAx>
      <c:valAx>
        <c:axId val="-2113994440"/>
        <c:scaling/>
        <c:delete val="0"/>
        <c:axPos val="b"/>
        <c:majorGridlines>
          <c:spPr>
            <a:ln w="6350">
              <a:solidFill>
                <a:srgbClr val="E5E7EB"/>
              </a:solidFill>
            </a:ln>
          </c:spPr>
        </c:majorGridlines>
        <c:numFmt formatCode="#,##0" sourceLinked="0"/>
        <c:majorTickMark val="out"/>
        <c:minorTickMark val="none"/>
        <c:tickLblPos val="nextTo"/>
        <c:spPr>
          <a:ln>
            <a:solidFill>
              <a:srgbClr val="9CA3AF"/>
            </a:solidFill>
          </a:ln>
        </c:spPr>
        <c:txPr>
          <a:bodyPr/>
          <a:lstStyle/>
          <a:p>
            <a:pPr>
              <a:defRPr sz="900">
                <a:latin typeface="Segoe UI"/>
              </a:defRPr>
            </a:pPr>
          </a:p>
        </c:txPr>
        <c:crossAx val="-2068027336"/>
        <c:crosses val="autoZero"/>
      </c:valAx>
    </c:plotArea>
    <c:dispBlanksAs val="gap"/>
  </c:chart>
  <c:txPr>
    <a:bodyPr/>
    <a:lstStyle/>
    <a:p>
      <a:pPr>
        <a:defRPr sz="1000">
          <a:latin typeface="Segoe UI"/>
        </a:defRPr>
      </a:pPr>
      <a:endParaRPr lang="en-U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chart>
    <c:title>
      <c:tx>
        <c:rich>
          <a:bodyPr/>
          <a:lstStyle/>
          <a:p>
            <a:r>
              <a:rPr sz="1250" b="1">
                <a:solidFill>
                  <a:srgbClr val="0F2A5C"/>
                </a:solidFill>
                <a:latin typeface="Segoe UI"/>
              </a:rPr>
              <a:t>اللاذقية: أنواع الطائرات</a:t>
            </a:r>
          </a:p>
        </c:rich>
      </c:tx>
      <c:layout/>
      <c:overlay val="0"/>
    </c:title>
    <c:autoTitleDeleted val="0"/>
    <c:plotArea>
      <c:barChart>
        <c:barDir val="bar"/>
        <c:grouping val="clustered"/>
        <c:ser>
          <c:idx val="0"/>
          <c:order val="0"/>
          <c:tx>
            <c:strRef>
              <c:f>Sheet1!$B$1</c:f>
              <c:strCache>
                <c:ptCount val="1"/>
                <c:pt idx="0">
                  <c:v>عدد الحركات</c:v>
                </c:pt>
              </c:strCache>
            </c:strRef>
          </c:tx>
          <c:spPr>
            <a:solidFill>
              <a:srgbClr val="7F1D1D"/>
            </a:solidFill>
            <a:ln>
              <a:noFill/>
            </a:ln>
          </c:spPr>
          <c:cat>
            <c:strRef>
              <c:f>Sheet1!$A$2:$A$7</c:f>
              <c:strCache>
                <c:ptCount val="6"/>
                <c:pt idx="0">
                  <c:v>GLEX</c:v>
                </c:pt>
                <c:pt idx="1">
                  <c:v>T134</c:v>
                </c:pt>
                <c:pt idx="2">
                  <c:v>IL62</c:v>
                </c:pt>
                <c:pt idx="3">
                  <c:v>T154</c:v>
                </c:pt>
                <c:pt idx="4">
                  <c:v>A124</c:v>
                </c:pt>
                <c:pt idx="5">
                  <c:v>IL76</c:v>
                </c:pt>
              </c:strCache>
            </c:strRef>
          </c:cat>
          <c:val>
            <c:numRef>
              <c:f>Sheet1!$B$2:$B$7</c:f>
              <c:numCache>
                <c:formatCode>General</c:formatCode>
                <c:ptCount val="6"/>
                <c:pt idx="0">
                  <c:v>2</c:v>
                </c:pt>
                <c:pt idx="1">
                  <c:v>6</c:v>
                </c:pt>
                <c:pt idx="2">
                  <c:v>35</c:v>
                </c:pt>
                <c:pt idx="3">
                  <c:v>35</c:v>
                </c:pt>
                <c:pt idx="4">
                  <c:v>64</c:v>
                </c:pt>
                <c:pt idx="5">
                  <c:v>104</c:v>
                </c:pt>
              </c:numCache>
            </c:numRef>
          </c:val>
        </c:ser>
        <c:dLbls>
          <c:numFmt formatCode="#,##0" sourceLinked="0"/>
          <c:txPr>
            <a:bodyPr/>
            <a:lstStyle/>
            <a:p>
              <a:pPr>
                <a:defRPr sz="900">
                  <a:solidFill>
                    <a:srgbClr val="374151"/>
                  </a:solidFill>
                  <a:latin typeface="Segoe UI"/>
                </a:defRPr>
              </a:pPr>
            </a:p>
          </c:txPr>
          <c:dLblPos val="outEnd"/>
          <c:showLegendKey val="0"/>
          <c:showVal val="1"/>
          <c:showCatName val="0"/>
          <c:showSerName val="0"/>
          <c:showPercent val="0"/>
          <c:showBubbleSize val="0"/>
          <c:showLeaderLines val="1"/>
        </c:dLbls>
        <c:axId val="-2068027336"/>
        <c:axId val="-2113994440"/>
      </c:barChart>
      <c:catAx>
        <c:axId val="-2068027336"/>
        <c:scaling>
          <c:orientation val="minMax"/>
        </c:scaling>
        <c:delete val="0"/>
        <c:axPos val="l"/>
        <c:majorTickMark val="out"/>
        <c:minorTickMark val="none"/>
        <c:tickLblPos val="nextTo"/>
        <c:txPr>
          <a:bodyPr/>
          <a:lstStyle/>
          <a:p>
            <a:pPr>
              <a:defRPr sz="950">
                <a:latin typeface="Segoe UI"/>
              </a:defRPr>
            </a:pPr>
          </a:p>
        </c:txPr>
        <c:crossAx val="-2113994440"/>
        <c:crosses val="autoZero"/>
        <c:auto val="1"/>
        <c:lblAlgn val="ctr"/>
        <c:lblOffset val="100"/>
        <c:noMultiLvlLbl val="0"/>
      </c:catAx>
      <c:valAx>
        <c:axId val="-2113994440"/>
        <c:scaling/>
        <c:delete val="0"/>
        <c:axPos val="b"/>
        <c:majorGridlines>
          <c:spPr>
            <a:ln w="6350">
              <a:solidFill>
                <a:srgbClr val="E5E7EB"/>
              </a:solidFill>
            </a:ln>
          </c:spPr>
        </c:majorGridlines>
        <c:numFmt formatCode="#,##0" sourceLinked="0"/>
        <c:majorTickMark val="out"/>
        <c:minorTickMark val="none"/>
        <c:tickLblPos val="nextTo"/>
        <c:spPr>
          <a:ln>
            <a:solidFill>
              <a:srgbClr val="9CA3AF"/>
            </a:solidFill>
          </a:ln>
        </c:spPr>
        <c:txPr>
          <a:bodyPr/>
          <a:lstStyle/>
          <a:p>
            <a:pPr>
              <a:defRPr sz="900">
                <a:latin typeface="Segoe UI"/>
              </a:defRPr>
            </a:pPr>
          </a:p>
        </c:txPr>
        <c:crossAx val="-2068027336"/>
        <c:crosses val="autoZero"/>
      </c:valAx>
    </c:plotArea>
    <c:dispBlanksAs val="gap"/>
  </c:chart>
  <c:txPr>
    <a:bodyPr/>
    <a:lstStyle/>
    <a:p>
      <a:pPr>
        <a:defRPr sz="1000">
          <a:latin typeface="Segoe UI"/>
        </a:defRPr>
      </a:pPr>
      <a:endParaRPr lang="en-U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chart>
    <c:title>
      <c:tx>
        <c:rich>
          <a:bodyPr/>
          <a:lstStyle/>
          <a:p>
            <a:r>
              <a:rPr sz="1250" b="1">
                <a:solidFill>
                  <a:srgbClr val="0F2A5C"/>
                </a:solidFill>
                <a:latin typeface="Segoe UI"/>
              </a:rPr>
              <a:t>المغادرات: داخلية مقابل دولية (نسبة مئوية)</a:t>
            </a:r>
          </a:p>
        </c:rich>
      </c:tx>
      <c:layout/>
      <c:overlay val="0"/>
    </c:title>
    <c:autoTitleDeleted val="0"/>
    <c:plotArea>
      <c:barChart>
        <c:barDir val="bar"/>
        <c:grouping val="stacked"/>
        <c:ser>
          <c:idx val="0"/>
          <c:order val="0"/>
          <c:tx>
            <c:strRef>
              <c:f>Sheet1!$B$1</c:f>
              <c:strCache>
                <c:ptCount val="1"/>
                <c:pt idx="0">
                  <c:v>مغادرات داخلية</c:v>
                </c:pt>
              </c:strCache>
            </c:strRef>
          </c:tx>
          <c:spPr>
            <a:solidFill>
              <a:srgbClr val="F59E0B"/>
            </a:solidFill>
            <a:ln>
              <a:noFill/>
            </a:ln>
          </c:spPr>
          <c:cat>
            <c:strRef>
              <c:f>Sheet1!$A$2:$A$4</c:f>
              <c:strCache>
                <c:ptCount val="3"/>
                <c:pt idx="0">
                  <c:v>اللاذقية</c:v>
                </c:pt>
                <c:pt idx="1">
                  <c:v>حلب</c:v>
                </c:pt>
                <c:pt idx="2">
                  <c:v>دمشق</c:v>
                </c:pt>
              </c:strCache>
            </c:strRef>
          </c:cat>
          <c:val>
            <c:numRef>
              <c:f>Sheet1!$B$2:$B$4</c:f>
              <c:numCache>
                <c:formatCode>General</c:formatCode>
                <c:ptCount val="3"/>
                <c:pt idx="0">
                  <c:v>0.8</c:v>
                </c:pt>
                <c:pt idx="1">
                  <c:v>2.8</c:v>
                </c:pt>
                <c:pt idx="2">
                  <c:v>0.0</c:v>
                </c:pt>
              </c:numCache>
            </c:numRef>
          </c:val>
        </c:ser>
        <c:ser>
          <c:idx val="1"/>
          <c:order val="1"/>
          <c:tx>
            <c:strRef>
              <c:f>Sheet1!$C$1</c:f>
              <c:strCache>
                <c:ptCount val="1"/>
                <c:pt idx="0">
                  <c:v>مغادرات دولية</c:v>
                </c:pt>
              </c:strCache>
            </c:strRef>
          </c:tx>
          <c:spPr>
            <a:solidFill>
              <a:srgbClr val="1E40AF"/>
            </a:solidFill>
            <a:ln>
              <a:noFill/>
            </a:ln>
          </c:spPr>
          <c:cat>
            <c:strRef>
              <c:f>Sheet1!$A$2:$A$4</c:f>
              <c:strCache>
                <c:ptCount val="3"/>
                <c:pt idx="0">
                  <c:v>اللاذقية</c:v>
                </c:pt>
                <c:pt idx="1">
                  <c:v>حلب</c:v>
                </c:pt>
                <c:pt idx="2">
                  <c:v>دمشق</c:v>
                </c:pt>
              </c:strCache>
            </c:strRef>
          </c:cat>
          <c:val>
            <c:numRef>
              <c:f>Sheet1!$C$2:$C$4</c:f>
              <c:numCache>
                <c:formatCode>General</c:formatCode>
                <c:ptCount val="3"/>
                <c:pt idx="0">
                  <c:v>99.2</c:v>
                </c:pt>
                <c:pt idx="1">
                  <c:v>97.2</c:v>
                </c:pt>
                <c:pt idx="2">
                  <c:v>100.0</c:v>
                </c:pt>
              </c:numCache>
            </c:numRef>
          </c:val>
        </c:ser>
        <c:overlap val="100"/>
        <c:axId val="-2068027336"/>
        <c:axId val="-2113994440"/>
      </c:barChart>
      <c:catAx>
        <c:axId val="-2068027336"/>
        <c:scaling>
          <c:orientation val="minMax"/>
        </c:scaling>
        <c:delete val="0"/>
        <c:axPos val="l"/>
        <c:majorTickMark val="out"/>
        <c:minorTickMark val="none"/>
        <c:tickLblPos val="nextTo"/>
        <c:txPr>
          <a:bodyPr/>
          <a:lstStyle/>
          <a:p>
            <a:pPr>
              <a:defRPr sz="950">
                <a:latin typeface="Segoe UI"/>
              </a:defRPr>
            </a:pPr>
          </a:p>
        </c:txPr>
        <c:crossAx val="-2113994440"/>
        <c:crosses val="autoZero"/>
        <c:auto val="1"/>
        <c:lblAlgn val="ctr"/>
        <c:lblOffset val="100"/>
        <c:noMultiLvlLbl val="0"/>
      </c:catAx>
      <c:valAx>
        <c:axId val="-2113994440"/>
        <c:scaling/>
        <c:delete val="0"/>
        <c:axPos val="b"/>
        <c:majorGridlines>
          <c:spPr>
            <a:ln w="6350">
              <a:solidFill>
                <a:srgbClr val="E5E7EB"/>
              </a:solidFill>
            </a:ln>
          </c:spPr>
        </c:majorGridlines>
        <c:numFmt formatCode="#,##0" sourceLinked="0"/>
        <c:majorTickMark val="out"/>
        <c:minorTickMark val="none"/>
        <c:tickLblPos val="nextTo"/>
        <c:spPr>
          <a:ln>
            <a:solidFill>
              <a:srgbClr val="9CA3AF"/>
            </a:solidFill>
          </a:ln>
        </c:spPr>
        <c:txPr>
          <a:bodyPr/>
          <a:lstStyle/>
          <a:p>
            <a:pPr>
              <a:defRPr sz="900">
                <a:latin typeface="Segoe UI"/>
              </a:defRPr>
            </a:pPr>
          </a:p>
        </c:txPr>
        <c:crossAx val="-2068027336"/>
        <c:crosses val="autoZero"/>
      </c:valAx>
    </c:plotArea>
    <c:legend>
      <c:legendPos val="b"/>
      <c:overlay val="0"/>
      <c:txPr>
        <a:bodyPr/>
        <a:lstStyle/>
        <a:p>
          <a:pPr>
            <a:defRPr sz="950">
              <a:latin typeface="Segoe UI"/>
            </a:defRPr>
          </a:pPr>
        </a:p>
      </c:txPr>
    </c:legend>
    <c:dispBlanksAs val="gap"/>
  </c:chart>
  <c:txPr>
    <a:bodyPr/>
    <a:lstStyle/>
    <a:p>
      <a:pPr>
        <a:defRPr sz="1000">
          <a:latin typeface="Segoe UI"/>
        </a:defRPr>
      </a:pPr>
      <a:endParaRPr lang="en-U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chart>
    <c:title>
      <c:tx>
        <c:rich>
          <a:bodyPr/>
          <a:lstStyle/>
          <a:p>
            <a:r>
              <a:rPr sz="1250" b="1">
                <a:solidFill>
                  <a:srgbClr val="0F2A5C"/>
                </a:solidFill>
                <a:latin typeface="Segoe UI"/>
              </a:rPr>
              <a:t>اتساع الشبكة والتنوّع التشغيلي</a:t>
            </a:r>
          </a:p>
        </c:rich>
      </c:tx>
      <c:layout/>
      <c:overlay val="0"/>
    </c:title>
    <c:autoTitleDeleted val="0"/>
    <c:plotArea>
      <c:barChart>
        <c:barDir val="col"/>
        <c:grouping val="clustered"/>
        <c:ser>
          <c:idx val="0"/>
          <c:order val="0"/>
          <c:tx>
            <c:strRef>
              <c:f>Sheet1!$B$1</c:f>
              <c:strCache>
                <c:ptCount val="1"/>
                <c:pt idx="0">
                  <c:v>عدد وجهات المغادرة</c:v>
                </c:pt>
              </c:strCache>
            </c:strRef>
          </c:tx>
          <c:spPr>
            <a:solidFill>
              <a:srgbClr val="0E7490"/>
            </a:solidFill>
            <a:ln>
              <a:noFill/>
            </a:ln>
          </c:spPr>
          <c:cat>
            <c:strRef>
              <c:f>Sheet1!$A$2:$A$4</c:f>
              <c:strCache>
                <c:ptCount val="3"/>
                <c:pt idx="0">
                  <c:v>دمشق</c:v>
                </c:pt>
                <c:pt idx="1">
                  <c:v>حلب</c:v>
                </c:pt>
                <c:pt idx="2">
                  <c:v>اللاذقية</c:v>
                </c:pt>
              </c:strCache>
            </c:strRef>
          </c:cat>
          <c:val>
            <c:numRef>
              <c:f>Sheet1!$B$2:$B$4</c:f>
              <c:numCache>
                <c:formatCode>General</c:formatCode>
                <c:ptCount val="3"/>
                <c:pt idx="0">
                  <c:v>79</c:v>
                </c:pt>
                <c:pt idx="1">
                  <c:v>24</c:v>
                </c:pt>
                <c:pt idx="2">
                  <c:v>4</c:v>
                </c:pt>
              </c:numCache>
            </c:numRef>
          </c:val>
        </c:ser>
        <c:ser>
          <c:idx val="1"/>
          <c:order val="1"/>
          <c:tx>
            <c:strRef>
              <c:f>Sheet1!$C$1</c:f>
              <c:strCache>
                <c:ptCount val="1"/>
                <c:pt idx="0">
                  <c:v>عدد الطائرات الفريدة</c:v>
                </c:pt>
              </c:strCache>
            </c:strRef>
          </c:tx>
          <c:spPr>
            <a:solidFill>
              <a:srgbClr val="334155"/>
            </a:solidFill>
            <a:ln>
              <a:noFill/>
            </a:ln>
          </c:spPr>
          <c:cat>
            <c:strRef>
              <c:f>Sheet1!$A$2:$A$4</c:f>
              <c:strCache>
                <c:ptCount val="3"/>
                <c:pt idx="0">
                  <c:v>دمشق</c:v>
                </c:pt>
                <c:pt idx="1">
                  <c:v>حلب</c:v>
                </c:pt>
                <c:pt idx="2">
                  <c:v>اللاذقية</c:v>
                </c:pt>
              </c:strCache>
            </c:strRef>
          </c:cat>
          <c:val>
            <c:numRef>
              <c:f>Sheet1!$C$2:$C$4</c:f>
              <c:numCache>
                <c:formatCode>General</c:formatCode>
                <c:ptCount val="3"/>
                <c:pt idx="0">
                  <c:v>546</c:v>
                </c:pt>
                <c:pt idx="1">
                  <c:v>216</c:v>
                </c:pt>
                <c:pt idx="2">
                  <c:v>33</c:v>
                </c:pt>
              </c:numCache>
            </c:numRef>
          </c:val>
        </c:ser>
        <c:dLbls>
          <c:numFmt formatCode="#,##0" sourceLinked="0"/>
          <c:txPr>
            <a:bodyPr/>
            <a:lstStyle/>
            <a:p>
              <a:pPr>
                <a:defRPr sz="900">
                  <a:solidFill>
                    <a:srgbClr val="374151"/>
                  </a:solidFill>
                  <a:latin typeface="Segoe UI"/>
                </a:defRPr>
              </a:pPr>
            </a:p>
          </c:txPr>
          <c:dLblPos val="outEnd"/>
          <c:showLegendKey val="0"/>
          <c:showVal val="1"/>
          <c:showCatName val="0"/>
          <c:showSerName val="0"/>
          <c:showPercent val="0"/>
          <c:showBubbleSize val="0"/>
          <c:showLeaderLines val="1"/>
        </c:dLbls>
        <c:axId val="-2068027336"/>
        <c:axId val="-2113994440"/>
      </c:barChart>
      <c:catAx>
        <c:axId val="-2068027336"/>
        <c:scaling>
          <c:orientation val="minMax"/>
        </c:scaling>
        <c:delete val="0"/>
        <c:axPos val="b"/>
        <c:majorTickMark val="out"/>
        <c:minorTickMark val="none"/>
        <c:tickLblPos val="nextTo"/>
        <c:txPr>
          <a:bodyPr/>
          <a:lstStyle/>
          <a:p>
            <a:pPr>
              <a:defRPr sz="950">
                <a:latin typeface="Segoe UI"/>
              </a:defRPr>
            </a:pPr>
          </a:p>
        </c:txPr>
        <c:crossAx val="-2113994440"/>
        <c:crosses val="autoZero"/>
        <c:auto val="1"/>
        <c:lblAlgn val="ctr"/>
        <c:lblOffset val="100"/>
        <c:noMultiLvlLbl val="0"/>
      </c:catAx>
      <c:valAx>
        <c:axId val="-2113994440"/>
        <c:scaling/>
        <c:delete val="0"/>
        <c:axPos val="l"/>
        <c:majorGridlines>
          <c:spPr>
            <a:ln w="6350">
              <a:solidFill>
                <a:srgbClr val="E5E7EB"/>
              </a:solidFill>
            </a:ln>
          </c:spPr>
        </c:majorGridlines>
        <c:numFmt formatCode="#,##0" sourceLinked="0"/>
        <c:majorTickMark val="out"/>
        <c:minorTickMark val="none"/>
        <c:tickLblPos val="nextTo"/>
        <c:spPr>
          <a:ln>
            <a:solidFill>
              <a:srgbClr val="9CA3AF"/>
            </a:solidFill>
          </a:ln>
        </c:spPr>
        <c:txPr>
          <a:bodyPr/>
          <a:lstStyle/>
          <a:p>
            <a:pPr>
              <a:defRPr sz="900">
                <a:latin typeface="Segoe UI"/>
              </a:defRPr>
            </a:pPr>
          </a:p>
        </c:txPr>
        <c:crossAx val="-2068027336"/>
        <c:crosses val="autoZero"/>
      </c:valAx>
    </c:plotArea>
    <c:legend>
      <c:legendPos val="b"/>
      <c:overlay val="0"/>
      <c:txPr>
        <a:bodyPr/>
        <a:lstStyle/>
        <a:p>
          <a:pPr>
            <a:defRPr sz="950">
              <a:latin typeface="Segoe UI"/>
            </a:defRPr>
          </a:pPr>
        </a:p>
      </c:txPr>
    </c:legend>
    <c:dispBlanksAs val="gap"/>
  </c:chart>
  <c:txPr>
    <a:bodyPr/>
    <a:lstStyle/>
    <a:p>
      <a:pPr>
        <a:defRPr sz="1000">
          <a:latin typeface="Segoe UI"/>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التقرير المقارن — حركة الطيران في مطارات سوريا الثلاثة</dc:title>
  <dc:subject/>
  <dc:creator>تحليل آلي من مستودع HoseenAlhlak/HoseenAlhlak</dc:creator>
  <cp:keywords/>
  <dc:description>generated by python-docx</dc:description>
  <cp:lastModifiedBy/>
  <cp:revision>1</cp:revision>
  <dcterms:created xsi:type="dcterms:W3CDTF">2013-12-23T23:15:00Z</dcterms:created>
  <dcterms:modified xsi:type="dcterms:W3CDTF">2013-12-23T23:15:00Z</dcterms:modified>
  <cp:category/>
  <dc:language>ar-SY</dc:language>
</cp:coreProperties>
</file>