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544"/>
        <w:gridCol w:w="5544"/>
      </w:tblGrid>
      <w:tr>
        <w:tc>
          <w:tcPr>
            <w:tcW w:type="dxa" w:w="734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rPr>
                <w:rFonts w:ascii="Arial" w:hAnsi="Arial"/>
                <w:b/>
                <w:color w:val="1A365D"/>
                <w:sz w:val="40"/>
              </w:rPr>
              <w:t>HOSEIN HAYATI</w:t>
            </w:r>
          </w:p>
          <w:p>
            <w:pPr>
              <w:spacing w:after="200"/>
              <w:jc w:val="left"/>
            </w:pPr>
            <w:r>
              <w:rPr>
                <w:rFonts w:ascii="Arial" w:hAnsi="Arial"/>
                <w:b/>
                <w:color w:val="718096"/>
                <w:sz w:val="20"/>
              </w:rPr>
              <w:t>Senior .NET Backend Engineer  |  Wallets, Ledgers &amp; Insurance Core Systems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SUMMARY</w:t>
            </w:r>
          </w:p>
          <w:p>
            <w:pPr>
              <w:spacing w:after="160" w:line="276" w:lineRule="auto"/>
              <w:jc w:val="left"/>
            </w:pPr>
            <w:r>
              <w:rPr>
                <w:rFonts w:ascii="Arial" w:hAnsi="Arial"/>
                <w:b w:val="0"/>
                <w:color w:val="2D3748"/>
                <w:sz w:val="19"/>
              </w:rPr>
              <w:t>I work on systems where mistakes are expensive. Seven years on wallets, ledgers and insurance platforms where a rounding error is a real person's real money. As the sole developer, I took a digital wallet from a half-finished codebase to production, where it processed 200+ billion Toman in roughly two years. I work with Clean Architecture, DDD and CQRS because in practice they keep the cost of change low.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EXPERIENCE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Senior Backend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Saman Insurance  |  Jul 2023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Sole owner of the company's digital wallet — 200+ billion Toman processed in ~2 years.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Ledger as the single source of truth — every balance a user sees is reconstructable from recorded transactions, not from a cached column.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Money as a value object (amount + currency + rules) instead of a bare decimal, so cross-currency and negative-amount errors fail loudly at the domain boundary.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Idempotency across payment-gateway callbacks and user retries — duplicate callbacks and double-clicks no longer create duplicate money.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Concurrency control on balance mutation, added after a race condition duplicated funds in early staging.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Automated nightly reconciliation, written after one manual mismatch investigation cost three days.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Structured logging with Serilog + ELK; transaction monitoring dashboard for the operations team.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Pattern-based detection for abnormal transaction bursts.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Two wallet types (credit and cash) with independent business rules; gateway deposits, referral credit, withdrawal, P2P transfer.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Payment-gateway integration built as a separate service with explicit failure paths.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Absorbed 10x growth in transaction volume via query tuning, Redis caching and background jobs.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Onboarded the six-engineer team that later took the system over, via a documentation sprint covering business rules, deployment and troubleshooting.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Gold Unit-Link — event-driven microservices (.NET 6, DDD).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Darmanat — ASP.NET MVC / ADO.NET: new features, custom metrics, Grafana dashboards.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Founder &amp; Sole Engineer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Pishgamit (self-employed)  |  Apr 2017 – Present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A technical media platform that I built during my student years and have kept alive ever since.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design, implementation, and deployment of a news/educational platform based on ASP.NET Core in a production environment with .NET 10.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Complete Monolithic architecture (MVC) with a comprehensive management dashboard (Blazor) for content management and reporting.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onto .NET 8 with AI-assisted development, then migrated to .NET 10; day-to-day operations run with Claude.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Nine years of maintenance taught me more about long-lived systems than any zero-to-one project.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.NET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MehrcomTech  |  Nov 2021 – Jul 2023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Built and debugged core banking modules with a DDD-layered structure, keeping business rules out of controllers and infrastructure.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EF Core for the write model, Dapper where read performance mattered — a deliberate split rather than one ORM everywhere.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Integrated external banking services via Flurl, with retry and failure handling around calls we did not control.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Full-Stack Web Developer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Saipa  |  Oct 2020 – Oct 2021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Rebuilt legacy Oracle Forms workflows as an ASP.NET Core + React application used by internal operations teams.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Delivered the full slice — API, data access, UI (Kendo UI) and reporting (Stimulsoft) — rather than a single layer.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SELECTED PROJECTS (AGENTIC CODING)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Mahshahr Adventure: bicycle-shop website (client project)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Online store, trip and camping sign-ups, repair requests with tracking. Built 100% with vibe coding (Claude Code, Cursor) on .NET 10.</w:t>
            </w:r>
          </w:p>
          <w:p>
            <w:pPr>
              <w:spacing w:before="160" w:after="40"/>
              <w:jc w:val="left"/>
            </w:pPr>
            <w:r>
              <w:rPr>
                <w:rFonts w:ascii="Arial" w:hAnsi="Arial"/>
                <w:b/>
                <w:color w:val="1A365D"/>
                <w:sz w:val="21"/>
              </w:rPr>
              <w:t>LifeBudget: web + Android budgeting app (personal project)</w:t>
            </w:r>
          </w:p>
          <w:p>
            <w:pPr>
              <w:spacing w:after="40"/>
              <w:ind w:left="200"/>
              <w:jc w:val="left"/>
            </w:pPr>
            <w:r>
              <w:rPr>
                <w:rFonts w:ascii="Arial" w:hAnsi="Arial"/>
                <w:b w:val="0"/>
                <w:color w:val="2D3748"/>
                <w:sz w:val="18"/>
              </w:rPr>
              <w:t>•  Logs spending from bank SMS and tracks instalment credit; no foreign dependencies. ASP.NET Core, Kotlin.</w:t>
            </w:r>
          </w:p>
        </w:tc>
        <w:tc>
          <w:tcPr>
            <w:tcW w:type="dxa" w:w="3456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/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CONTACT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Location: </w:t>
            </w:r>
            <w:r>
              <w:rPr>
                <w:color w:val="2D3748"/>
                <w:sz w:val="17"/>
              </w:rPr>
              <w:t>Tehran, Iran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Phone: </w:t>
            </w:r>
            <w:r>
              <w:rPr>
                <w:color w:val="2D3748"/>
                <w:sz w:val="17"/>
              </w:rPr>
              <w:t>+98 921 675 8318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Email: </w:t>
            </w:r>
            <w:r>
              <w:rPr>
                <w:color w:val="2D3748"/>
                <w:sz w:val="17"/>
              </w:rPr>
              <w:t>hoseinhayati.ir@gmail.com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Website: </w:t>
            </w:r>
            <w:r>
              <w:rPr>
                <w:color w:val="2D3748"/>
                <w:sz w:val="17"/>
              </w:rPr>
              <w:t>hoseinhayati.ir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LinkedIn: </w:t>
            </w:r>
            <w:r>
              <w:rPr>
                <w:color w:val="2D3748"/>
                <w:sz w:val="17"/>
              </w:rPr>
              <w:t>linkedin.com/in/hosein-hayati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GitHub: </w:t>
            </w:r>
            <w:r>
              <w:rPr>
                <w:color w:val="2D3748"/>
                <w:sz w:val="17"/>
              </w:rPr>
              <w:t>github.com/Hoseinhayati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TECHNICAL SKILLS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Languages &amp; Frameworks: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C#, .NET 10, ASP.NET Core, ASP.NET MVC, Blazor, React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Data: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SQL Server, T-SQL, EF Core, Dapper, MongoDB, Redis, Elasticsearch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Architecture: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Clean Architecture, DDD, CQRS, Event-Driven, Microservices, Design Patterns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Platform: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RabbitMQ, Docker, Serilog + ELK, Grafana, Git, Azure DevOps / TFS, IIS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AI-assisted development: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Claude Code, Cursor, GitHub Copilot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Domain: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Ledger design, reconciliation, idempotency, payment-gateway integration, insurance issuance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EDUCATION</w:t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1A365D"/>
                <w:sz w:val="18"/>
              </w:rPr>
              <w:t>B.Sc. in Software Engineering</w:t>
            </w:r>
          </w:p>
          <w:p>
            <w:pPr>
              <w:spacing w:after="80"/>
              <w:jc w:val="left"/>
            </w:pPr>
            <w:r>
              <w:rPr>
                <w:rFonts w:ascii="Arial" w:hAnsi="Arial"/>
                <w:b w:val="0"/>
                <w:color w:val="2D3748"/>
                <w:sz w:val="17"/>
              </w:rPr>
              <w:t>Islamic Azad University, Mahshahr</w:t>
              <w:br/>
              <w:t>2013 – 2017</w:t>
            </w:r>
          </w:p>
          <w:p>
            <w:pPr>
              <w:spacing w:before="240" w:after="80"/>
              <w:jc w:val="left"/>
              <w:pBdr>
                <w:bottom w:val="single" w:sz="6" w:space="2" w:color="1A365D"/>
              </w:pBdr>
            </w:pPr>
            <w:r>
              <w:rPr>
                <w:rFonts w:ascii="Arial" w:hAnsi="Arial"/>
                <w:b/>
                <w:color w:val="1A365D"/>
                <w:sz w:val="22"/>
              </w:rPr>
              <w:t>LANGUAGES</w:t>
            </w:r>
          </w:p>
          <w:p>
            <w:pPr>
              <w:spacing w:after="60"/>
              <w:jc w:val="left"/>
            </w:pPr>
            <w:r>
              <w:rPr>
                <w:rFonts w:ascii="Arial" w:hAnsi="Arial"/>
                <w:b/>
                <w:color w:val="1A365D"/>
                <w:sz w:val="17"/>
              </w:rPr>
              <w:t xml:space="preserve">Persian: </w:t>
            </w:r>
            <w:r>
              <w:rPr>
                <w:color w:val="2D3748"/>
              </w:rPr>
              <w:t>Native</w:t>
              <w:br/>
            </w:r>
            <w:r>
              <w:rPr>
                <w:b/>
                <w:color w:val="1A365D"/>
              </w:rPr>
              <w:t xml:space="preserve">English: </w:t>
            </w:r>
            <w:r>
              <w:rPr>
                <w:color w:val="2D3748"/>
              </w:rPr>
              <w:t>Intermediate (Technical reading and writing)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