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Healthcare Transparency MVP</w:t>
      </w:r>
    </w:p>
    <w:p>
      <w:pPr>
        <w:pStyle w:val="Subtitle"/>
      </w:pPr>
      <w:r>
        <w:t xml:space="preserve">Master Plan v2 - NYC Orthopedic Value Index</w:t>
      </w:r>
    </w:p>
    <w:p>
      <w:r>
        <w:t xml:space="preserve">Direct-to-Consumer Healthcare Transparency Marketplace</w:t>
      </w:r>
    </w:p>
    <w:p>
      <w:r>
        <w:t xml:space="preserve">Revision 2.0 - August 2026</w:t>
      </w:r>
    </w:p>
    <w:p/>
    <w:p>
      <w:pPr>
        <w:pStyle w:val="Heading1"/>
      </w:pPr>
      <w:r>
        <w:t xml:space="preserve">1. Executive Summary</w:t>
      </w:r>
    </w:p>
    <w:p>
      <w:r>
        <w:t xml:space="preserve">This document supersedes the original Master Project Plan. The strategic thesis is unchanged: consumer-directed healthcare has created real demand for a platform that makes clinical outcomes and financial liability legible in the same view, and public New York clinical data combined with federally mandated pricing files is enough to build one.</w:t>
      </w:r>
    </w:p>
    <w:p>
      <w:r>
        <w:t xml:space="preserve">What has changed is that the pipeline now exists. The SQL and Python described in the first plan have been audited against it, and thirty-two defects were found and corrected. Several were fatal - the original scoring query could not execute at all. Several more were worse than fatal, in that they produced confident, plausible, wrong numbers. Section 7 summarises them, because a portfolio project that cannot explain its own bug history is not demonstrating engineering judgement.</w:t>
      </w:r>
    </w:p>
    <w:p>
      <w:r>
        <w:t xml:space="preserve">This revision also commits to a specific, entirely free deployment path, so the work ends as a public URL rather than a folder of scripts.</w:t>
      </w:r>
    </w:p>
    <w:p/>
    <w:p>
      <w:pPr>
        <w:pStyle w:val="Heading2"/>
      </w:pPr>
      <w:r>
        <w:t xml:space="preserve">Scope (unchanged)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Procedure - </w:t>
      </w:r>
      <w:r>
        <w:t xml:space="preserve">elective total knee and hip replacement. APR-DRG 301 and 302 in the state clinical data; MS-DRG 470 in the federal pricing files.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Geography - </w:t>
      </w:r>
      <w:r>
        <w:t xml:space="preserve">the five boroughs of New York City, scored against a statewide clinical benchmark.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Output - </w:t>
      </w:r>
      <w:r>
        <w:t xml:space="preserve">a risk-adjusted Value Index per facility, published as an interactive web application and a geographic dashboard.</w:t>
      </w:r>
    </w:p>
    <w:p>
      <w:pPr>
        <w:pStyle w:val="Heading1"/>
      </w:pPr>
      <w:r>
        <w:t xml:space="preserve">2. Current Status</w:t>
      </w:r>
    </w:p>
    <w:p>
      <w:r>
        <w:t xml:space="preserve">Honest accounting of what exists as of this revision.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900"/>
        <w:gridCol w:w="1700"/>
        <w:gridCol w:w="4760"/>
      </w:tblGrid>
      <w:tr>
        <w:trPr>
          <w:tblHeader/>
        </w:trPr>
        <w:tc>
          <w:tcPr>
            <w:tcW w:w="29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W w:w="17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476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SQL pipeline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Built and verified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Six scripts. A synthetic-data smoke test asserts the arithmetic end to end.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Python ETL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Built, not yet run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Blocked only on installing a Python runtime. Treat the first execution as a debugging session.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Public web app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Built, not yet deployed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Streamlit. Reads a cloud database when present, a committed CSV snapshot otherwise.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Facility crosswalk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Automated, needs review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Exact and fuzzy matching implemented; the fuzzy tier requires human sign-off.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Tableau dashboard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Not started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Depends on a completed pipeline run.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Figma wireframes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Not started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Independent of the data work; can proceed in parallel.</w:t>
            </w:r>
          </w:p>
        </w:tc>
      </w:tr>
      <w:tr>
        <w:tc>
          <w:tcPr>
            <w:tcW w:w="2900" w:type="dxa"/>
            <w:vAlign w:val="center"/>
          </w:tcPr>
          <w:p>
            <w:pPr>
              <w:pStyle w:val="TableText"/>
            </w:pPr>
            <w:r>
              <w:t xml:space="preserve">Public deployment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Not started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Path defined in Section 8.</w:t>
            </w:r>
          </w:p>
        </w:tc>
      </w:tr>
    </w:tbl>
    <w:p/>
    <w:p>
      <w:r>
        <w:t xml:space="preserve">The critical-path blocker is a single missing dependency: this workstation has only the Microsoft Store placeholder for Python, not Python itself. Nothing in the ETL can run until that is resolved.</w:t>
      </w:r>
    </w:p>
    <w:p>
      <w:r>
        <w:br w:type="page"/>
      </w:r>
    </w:p>
    <w:p>
      <w:pPr>
        <w:pStyle w:val="Heading1"/>
      </w:pPr>
      <w:r>
        <w:t xml:space="preserve">3. Architecture and Tool Stack</w:t>
      </w:r>
    </w:p>
    <w:p>
      <w:r>
        <w:t xml:space="preserve">Every component is free at the tier this project requires. No credit card is needed at any point.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400"/>
        <w:gridCol w:w="2400"/>
        <w:gridCol w:w="1100"/>
        <w:gridCol w:w="3460"/>
      </w:tblGrid>
      <w:tr>
        <w:trPr>
          <w:tblHeader/>
        </w:trPr>
        <w:tc>
          <w:tcPr>
            <w:tcW w:w="24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tcW w:w="24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Service</w:t>
            </w:r>
          </w:p>
        </w:tc>
        <w:tc>
          <w:tcPr>
            <w:tcW w:w="11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Cost</w:t>
            </w:r>
          </w:p>
        </w:tc>
        <w:tc>
          <w:tcPr>
            <w:tcW w:w="346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ETL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Python 3.12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Free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</w:pPr>
            <w:r>
              <w:t xml:space="preserve">Socrata API ingestion; streaming MRF parser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Database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PostgreSQL 18 (local)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Free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</w:pPr>
            <w:r>
              <w:t xml:space="preserve">Staging, transformation, algorithm execution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Repository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GitHub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Free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</w:pPr>
            <w:r>
              <w:t xml:space="preserve">Public code, and the deployment trigger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Web application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Streamlit Community Cloud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Free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</w:pPr>
            <w:r>
              <w:t xml:space="preserve">The live consumer-facing URL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Geographic map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Tableau Public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Free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</w:pPr>
            <w:r>
              <w:t xml:space="preserve">ZCTA choropleth with shapefile joins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Cloud database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Neon (optional)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Free tier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</w:pPr>
            <w:r>
              <w:t xml:space="preserve">A live-data story instead of a snapshot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Product design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Figma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Free</w:t>
            </w:r>
          </w:p>
        </w:tc>
        <w:tc>
          <w:tcPr>
            <w:tcW w:w="3460" w:type="dxa"/>
            <w:vAlign w:val="center"/>
          </w:tcPr>
          <w:p>
            <w:pPr>
              <w:pStyle w:val="TableText"/>
            </w:pPr>
            <w:r>
              <w:t xml:space="preserve">Consumer UI wireframes</w:t>
            </w:r>
          </w:p>
        </w:tc>
      </w:tr>
    </w:tbl>
    <w:p/>
    <w:p>
      <w:pPr>
        <w:pStyle w:val="Heading2"/>
      </w:pPr>
      <w:r>
        <w:t xml:space="preserve">Two deliberate architectural choices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Snapshot before service. </w:t>
      </w:r>
      <w:r>
        <w:t xml:space="preserve">The scored output is a few dozen rows. The web app ships that as a committed CSV and treats a cloud database as an optional upgrade, so the public demo cannot break because a free-tier database was suspended for inactivity. Standing up a database server to serve fifty static rows is architecture theatre; the fallback path is the honest engineering answer, and the code demonstrates both.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Two surfaces, not one. </w:t>
      </w:r>
      <w:r>
        <w:t xml:space="preserve">Streamlit handles ranking, filtering and cost-versus-quality comparison. Tableau handles geography, because it joins shapefiles natively and Streamlit does not. Neither tool is asked to do the thing it is bad at.</w:t>
      </w:r>
    </w:p>
    <w:p>
      <w:pPr>
        <w:pStyle w:val="Heading1"/>
      </w:pPr>
      <w:r>
        <w:t xml:space="preserve">4. Data Integration Methodology</w:t>
      </w:r>
    </w:p>
    <w:p>
      <w:pPr>
        <w:pStyle w:val="Heading2"/>
      </w:pPr>
      <w:r>
        <w:t xml:space="preserve">4.1 Clinical outcomes - NY SPARCS</w:t>
      </w:r>
    </w:p>
    <w:p>
      <w:r>
        <w:t xml:space="preserve">New York mandates that every Article 28 facility report patient-level detail on discharge. The de-identified Public Use File is retrieved through the Socrata Open Data API on Health Data NY.</w:t>
      </w:r>
    </w:p>
    <w:p>
      <w:pPr>
        <w:pStyle w:val="ListParagraph"/>
        <w:numPr>
          <w:ilvl w:val="0"/>
          <w:numId w:val="1"/>
        </w:numPr>
      </w:pPr>
      <w:r>
        <w:t xml:space="preserve">Filtered server-side to APR-DRG 301 and 302, so the multi-million-row statewide file is never materialised locally.</w:t>
      </w:r>
    </w:p>
    <w:p>
      <w:pPr>
        <w:pStyle w:val="ListParagraph"/>
        <w:numPr>
          <w:ilvl w:val="0"/>
          <w:numId w:val="1"/>
        </w:numPr>
      </w:pPr>
      <w:r>
        <w:t xml:space="preserve">Paged with a stable identifier ordering. The original single request with a fixed limit silently truncated the cohort with no way to distinguish a complete pull from a clipped one.</w:t>
      </w:r>
    </w:p>
    <w:p>
      <w:pPr>
        <w:pStyle w:val="ListParagraph"/>
        <w:numPr>
          <w:ilvl w:val="0"/>
          <w:numId w:val="1"/>
        </w:numPr>
      </w:pPr>
      <w:r>
        <w:t xml:space="preserve">Two release years (2022 and 2024) are stacked by default. Higher per-facility volume stabilises the ratios for smaller hospitals.</w:t>
      </w:r>
    </w:p>
    <w:p>
      <w:pPr>
        <w:pStyle w:val="ListParagraph"/>
        <w:numPr>
          <w:ilvl w:val="0"/>
          <w:numId w:val="1"/>
        </w:numPr>
      </w:pPr>
      <w:r>
        <w:t xml:space="preserve">The Permanent Facility Identifier is extracted, because entity resolution depends on it and the original script never retrieved it.</w:t>
      </w:r>
    </w:p>
    <w:p>
      <w:r>
        <w:t xml:space="preserve">De-identification constrains what is possible, and the design accounts for it rather than working around it: dates are reduced to a discharge year, ZIP codes truncated to three digits and blanked for small-population prefixes, ages banded into categories, and any stay of 120 days or more collapsed to the literal string "120+".</w:t>
      </w:r>
    </w:p>
    <w:p>
      <w:pPr>
        <w:pStyle w:val="Heading2"/>
      </w:pPr>
      <w:r>
        <w:t xml:space="preserve">4.2 Financial data - CMS Hospital Price Transparency</w:t>
      </w:r>
    </w:p>
    <w:p>
      <w:r>
        <w:t xml:space="preserve">The 2024 OPPS Final Rule made programmatic pricing collection feasible for the first time by mandating both a standard file schema and a discovery mechanism: a cms-hpt.txt file at the root of each hospital domain that points a crawler at the machine-readable file.</w:t>
      </w:r>
    </w:p>
    <w:p>
      <w:pPr>
        <w:pStyle w:val="ListParagraph"/>
        <w:numPr>
          <w:ilvl w:val="0"/>
          <w:numId w:val="1"/>
        </w:numPr>
      </w:pPr>
      <w:r>
        <w:t xml:space="preserve">The discovery parser reads every repeating block in the file, not just the first. Multi-campus systems publish one block per operating certificate, so reading only the first discards most of the market.</w:t>
      </w:r>
    </w:p>
    <w:p>
      <w:pPr>
        <w:pStyle w:val="ListParagraph"/>
        <w:numPr>
          <w:ilvl w:val="0"/>
          <w:numId w:val="1"/>
        </w:numPr>
      </w:pPr>
      <w:r>
        <w:t xml:space="preserve">All three permitted formats are parsed - CSV tall, CSV wide, and JSON - and every one streams. A single MRF can exceed several gigabytes.</w:t>
      </w:r>
    </w:p>
    <w:p>
      <w:pPr>
        <w:pStyle w:val="ListParagraph"/>
        <w:numPr>
          <w:ilvl w:val="0"/>
          <w:numId w:val="1"/>
        </w:numPr>
      </w:pPr>
      <w:r>
        <w:t xml:space="preserve">The CMS CSV template places file metadata on the first two rows and the real column headers on the third. A parser that assumes row one silently reads the whole file as garbage.</w:t>
      </w:r>
    </w:p>
    <w:p>
      <w:pPr>
        <w:pStyle w:val="ListParagraph"/>
        <w:numPr>
          <w:ilvl w:val="0"/>
          <w:numId w:val="1"/>
        </w:numPr>
      </w:pPr>
      <w:r>
        <w:t xml:space="preserve">Independent audits put correct cms-hpt.txt deployment at roughly 30 to 60 percent of hospitals. Non-compliant facilities are handled through a manual URL column in the crawl list, sourced from the hospital price-transparency footer link.</w:t>
      </w:r>
    </w:p>
    <w:p>
      <w:pPr>
        <w:pStyle w:val="Heading2"/>
      </w:pPr>
      <w:r>
        <w:t xml:space="preserve">4.3 Entity resolution - the crosswalk</w:t>
      </w:r>
    </w:p>
    <w:p>
      <w:r>
        <w:t xml:space="preserve">State and federal filings rarely spell a hospital identically, so a direct string join loses most of the market. Resolution runs in three tiers: exact match on a normalised name, fuzzy match above a similarity threshold, and manual override. Fuzzy pairings below the auto-accept threshold are written with a review flag and exported to a CSV for human confirmation; once confirmed, they are never overwritten by a later automated rebuild.</w:t>
      </w:r>
    </w:p>
    <w:p>
      <w:r>
        <w:t xml:space="preserve">Uniqueness is enforced at the database level on both sides of the mapping. This is not defensive decoration - a duplicate name silently multiplies every facility row in the final join and corrupts the market median that the entire financial term is measured against.</w:t>
      </w:r>
    </w:p>
    <w:p>
      <w:r>
        <w:br w:type="page"/>
      </w:r>
    </w:p>
    <w:p>
      <w:pPr>
        <w:pStyle w:val="Heading1"/>
      </w:pPr>
      <w:r>
        <w:t xml:space="preserve">5. Database Architecture</w:t>
      </w:r>
    </w:p>
    <w:p>
      <w:r>
        <w:t xml:space="preserve">The PostgreSQL layer does all heavy lifting, in six idempotent stages. Every script can be re-run without error, which the original could not.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Stage</w:t>
            </w:r>
          </w:p>
        </w:tc>
        <w:tc>
          <w:tcPr>
            <w:tcW w:w="716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01 Staging schema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Tables, indexes, and a configuration table holding every tunable parameter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02 Transformations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Cohort construction, severity benchmarks, facility-level O/E ratios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03 Pricing and index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Price normalisation, market benchmark, master join, Value Index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04 Export views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Ranking, five-star ratings, the flat view Tableau consumes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05 QA checks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Twelve diagnostics to read before trusting any run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Text"/>
            </w:pPr>
            <w:r>
              <w:t xml:space="preserve">99 Smoke test</w:t>
            </w:r>
          </w:p>
        </w:tc>
        <w:tc>
          <w:tcPr>
            <w:tcW w:w="7160" w:type="dxa"/>
            <w:vAlign w:val="center"/>
          </w:tcPr>
          <w:p>
            <w:pPr>
              <w:pStyle w:val="TableText"/>
            </w:pPr>
            <w:r>
              <w:t xml:space="preserve">Full pipeline against synthetic data with hand-computed expected answers</w:t>
            </w:r>
          </w:p>
        </w:tc>
      </w:tr>
    </w:tbl>
    <w:p/>
    <w:p>
      <w:r>
        <w:t xml:space="preserve">All tunable parameters live in a configuration table rather than being hard-coded into queries, so the same scripts run unchanged from psql, from a GUI client, or from the Python runner. Adjustable without editing SQL: the elective-only filter, the benchmark reference population, the clinical metric, the minimum volume floor, the mortality-risk exclusion, and the length-of-stay censoring value.</w:t>
      </w:r>
    </w:p>
    <w:p>
      <w:pPr>
        <w:pStyle w:val="Heading1"/>
      </w:pPr>
      <w:r>
        <w:t xml:space="preserve">6. The Risk-Adjusted Algorithm</w:t>
      </w:r>
    </w:p>
    <w:p>
      <w:pPr>
        <w:pStyle w:val="Heading2"/>
      </w:pPr>
      <w:r>
        <w:t xml:space="preserve">6.1 Indirect standardization</w:t>
      </w:r>
    </w:p>
    <w:p>
      <w:r>
        <w:t xml:space="preserve">Ranking hospitals on raw averages punishes the ones that accept difficult cases. A regional referral centre treating medically fragile patients will always show longer stays than a boutique clinic operating exclusively on healthy candidates, and a marketplace that reports that as a quality difference is actively misleading.</w:t>
      </w:r>
    </w:p>
    <w:p>
      <w:r>
        <w:t xml:space="preserve">Each discharge is therefore compared against the average for its own APR severity tier, from 1 (Minor) to 4 (Extreme). Averaging those tier expectations across a facility produces its case-mix-weighted expected rate. Observed divided by expected gives the O/E ratio, where below 1.0 means better than expected.</w:t>
      </w:r>
    </w:p>
    <w:p>
      <w:r>
        <w:t xml:space="preserve">Benchmarks are stratified by severity tier and discharge year together, not severity alone. Average length of stay for joint replacement has fallen steadily as same-day discharge protocols spread, so a benchmark pooled across release years would flatter every facility in the later year and penalise every facility in the earlier one - a calendar artefact presented as a quality finding.</w:t>
      </w:r>
    </w:p>
    <w:p>
      <w:pPr>
        <w:pStyle w:val="Heading2"/>
      </w:pPr>
      <w:r>
        <w:t xml:space="preserve">6.2 The composite clinical term</w:t>
      </w:r>
    </w:p>
    <w:p>
      <w:r>
        <w:t xml:space="preserve">Clinical performance is the geometric mean of two O/E ratios: length of stay, and adverse discharge disposition. Geometric rather than arithmetic because both inputs are ratios centred on 1.0, so the mean must be scale-free - twice the expected length of stay against half the expected adverse rate should cancel to 1.0, which only the geometric mean delivers.</w:t>
      </w:r>
    </w:p>
    <w:p>
      <w:r>
        <w:t xml:space="preserve">Adverse disposition is defined by an explicit allow-list. Only discharge to self-care or to home with home-health support counts as a good outcome. This matters more than it sounds: the intuitive test of whether the disposition text contains the word "Home" classifies both "Skilled Nursing Home" and "Hospice - Home" as clinical successes.</w:t>
      </w:r>
    </w:p>
    <w:p>
      <w:pPr>
        <w:pStyle w:val="Heading2"/>
      </w:pPr>
      <w:r>
        <w:t xml:space="preserve">6.3 The Value Index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Value Index = (1 / clinical O/E)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      x (market median cost / facility cost)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      x ln(1 + volume)</w:t>
      </w:r>
    </w:p>
    <w:p/>
    <w:p>
      <w:pPr>
        <w:pStyle w:val="ListParagraph"/>
        <w:numPr>
          <w:ilvl w:val="0"/>
          <w:numId w:val="1"/>
        </w:numPr>
      </w:pPr>
      <w:r>
        <w:rPr>
          <w:b/>
        </w:rPr>
        <w:t xml:space="preserve">Clinical multiplier - </w:t>
      </w:r>
      <w:r>
        <w:t xml:space="preserve">the inverse of the risk-adjusted O/E. A facility performing at 0.8 of expectation scores 1.25; one at 1.5 scores 0.67.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Financial multiplier - </w:t>
      </w:r>
      <w:r>
        <w:t xml:space="preserve">the market median divided by the facility price. Below-median pricing lifts the index; outlier pricing degrades it sharply. The market median is taken across facility-level medians, one vote per hospital, so a system publishing forty payer contracts cannot outvote one publishing three.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Experience modifier - </w:t>
      </w:r>
      <w:r>
        <w:t xml:space="preserve">the natural log of one plus procedure volume. Logarithmic so established centres are rewarded without overwhelming cost and quality. The offset is not cosmetic: plain ln(volume) evaluates to zero at a volume of one and annihilates the entire product.</w:t>
      </w:r>
    </w:p>
    <w:p>
      <w:pPr>
        <w:pStyle w:val="Heading2"/>
      </w:pPr>
      <w:r>
        <w:t xml:space="preserve">6.4 Worked example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360"/>
        <w:gridCol w:w="1200"/>
        <w:gridCol w:w="1000"/>
        <w:gridCol w:w="1400"/>
        <w:gridCol w:w="1400"/>
        <w:gridCol w:w="2000"/>
      </w:tblGrid>
      <w:tr>
        <w:trPr>
          <w:tblHeader/>
        </w:trPr>
        <w:tc>
          <w:tcPr>
            <w:tcW w:w="236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Facility</w:t>
            </w:r>
          </w:p>
        </w:tc>
        <w:tc>
          <w:tcPr>
            <w:tcW w:w="12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Volume</w:t>
            </w:r>
          </w:p>
        </w:tc>
        <w:tc>
          <w:tcPr>
            <w:tcW w:w="10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O/E</w:t>
            </w:r>
          </w:p>
        </w:tc>
        <w:tc>
          <w:tcPr>
            <w:tcW w:w="14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Cost</w:t>
            </w:r>
          </w:p>
        </w:tc>
        <w:tc>
          <w:tcPr>
            <w:tcW w:w="14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Market median</w:t>
            </w:r>
          </w:p>
        </w:tc>
        <w:tc>
          <w:tcPr>
            <w:tcW w:w="20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Value Index</w:t>
            </w:r>
          </w:p>
        </w:tc>
      </w:tr>
      <w:tr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High-volume, efficient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420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0.87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$52,000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$68,000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9.08</w:t>
            </w:r>
          </w:p>
        </w:tc>
      </w:tr>
      <w:tr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Low-volume, expensive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95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1.12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$91,000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$68,000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3.04</w:t>
            </w:r>
          </w:p>
        </w:tc>
      </w:tr>
    </w:tbl>
    <w:p/>
    <w:p>
      <w:r>
        <w:t xml:space="preserve">The spread is intentional. A facility that is cheaper, faster than its case mix predicts, and more experienced should separate clearly from one that is none of those things.</w:t>
      </w:r>
    </w:p>
    <w:p>
      <w:r>
        <w:br w:type="page"/>
      </w:r>
    </w:p>
    <w:p>
      <w:pPr>
        <w:pStyle w:val="Heading1"/>
      </w:pPr>
      <w:r>
        <w:t xml:space="preserve">7. Engineering Corrections</w:t>
      </w:r>
    </w:p>
    <w:p>
      <w:r>
        <w:t xml:space="preserve">Thirty-two defects were identified in the original scripts. The full catalogue lives in the repository; the ones that materially changed the output are below. They are recorded deliberately - the ability to audit your own pipeline is the skill this project is meant to demonstrate.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w="32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Defect</w:t>
            </w:r>
          </w:p>
        </w:tc>
        <w:tc>
          <w:tcPr>
            <w:tcW w:w="14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Severity</w:t>
            </w:r>
          </w:p>
        </w:tc>
        <w:tc>
          <w:tcPr>
            <w:tcW w:w="476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Consequence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round() applied to a double-precision value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Fatal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No such function in PostgreSQL. The master scoring table could never be built.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Length-of-stay cast without a guard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Fatal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A single redacted "120+" or blank value aborts the entire query.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Risk of mortality typed as an integer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Fatal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The field is categorical text. Every insert fails.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Disposition matched on the substring "Home"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Silent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Skilled nursing and hospice discharges scored as clinical successes.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Pricing joined at the wrong grain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Silent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Facility rows multiplied per billing code, corrupting the market median.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Billing code matched as a substring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Silent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Unrelated codes, including a liver procedure, entered the joint-replacement price median.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Negotiated column selected by loose match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Silent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A negotiated percentage could be written into a dollar column as a $65 knee replacement.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DataFrame index misalignment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Silent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Description, payer and both price columns became null after the first chunk, while the script reported success.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Volume guard nullified single-case sites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Silent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Low-volume facilities scored null rather than low, and vanished from the ranking.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Crosswalk joined with INNER JOIN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Silent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Unmapped facilities disappeared with no record they had existed.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CMS header row assumed to be row one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Fatal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Whole pricing files skipped silently, reporting zero rows.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Database password hard-coded</w:t>
            </w:r>
          </w:p>
        </w:tc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Security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A committed credential in a repository the plan instructs you to make public.</w:t>
            </w:r>
          </w:p>
        </w:tc>
      </w:tr>
    </w:tbl>
    <w:p>
      <w:pPr>
        <w:pStyle w:val="Heading1"/>
      </w:pPr>
      <w:r>
        <w:t xml:space="preserve">8. Deployment Plan</w:t>
      </w:r>
    </w:p>
    <w:p>
      <w:r>
        <w:t xml:space="preserve">Sequenced so that each step is verifiable before the next depends on it.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700"/>
        <w:gridCol w:w="3000"/>
        <w:gridCol w:w="5660"/>
      </w:tblGrid>
      <w:tr>
        <w:trPr>
          <w:tblHeader/>
        </w:trPr>
        <w:tc>
          <w:tcPr>
            <w:tcW w:w="7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30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566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Gate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Install Python 3.12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 xml:space="preserve">python --version resolves to a real interpreter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Run the SQL smoke test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 xml:space="preserve">Prints ALL SMOKE TESTS PASSED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Execute the full pipeline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 xml:space="preserve">QA diagnostics reviewed; fan-out guard returns nothing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Review the facility crosswalk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 xml:space="preserve">Fuzzy matches confirmed or corrected by hand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Run the web app locally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 xml:space="preserve">Renders correctly against real data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Push to a public GitHub repository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 xml:space="preserve">Credentials confirmed absent from the commit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Deploy to Streamlit Community Cloud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 xml:space="preserve">Live URL loads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Publish the Tableau dashboard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 xml:space="preserve">Map renders with the ZCTA join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Link both from the README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 xml:space="preserve">A reader reaches the live product in one click</w:t>
            </w:r>
          </w:p>
        </w:tc>
      </w:tr>
    </w:tbl>
    <w:p/>
    <w:p>
      <w:r>
        <w:t xml:space="preserve">Two cautions worth stating in advance. Anything saved to Tableau Public is publicly visible by design - acceptable here because every input is already public data, but never point it at anything private. And if a credential is ever committed by accident, rotate it immediately; rewriting git history does not un-publish what has already been pushed.</w:t>
      </w:r>
    </w:p>
    <w:p>
      <w:pPr>
        <w:pStyle w:val="Heading1"/>
      </w:pPr>
      <w:r>
        <w:t xml:space="preserve">9. Revised Roadmap</w:t>
      </w:r>
    </w:p>
    <w:p>
      <w:r>
        <w:t xml:space="preserve">The original six-week plan assumed the pipeline had to be written from nothing. It exists, so the remaining work is execution, review, and publication.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w="17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Week</w:t>
            </w:r>
          </w:p>
        </w:tc>
        <w:tc>
          <w:tcPr>
            <w:tcW w:w="340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Objective</w:t>
            </w:r>
          </w:p>
        </w:tc>
        <w:tc>
          <w:tcPr>
            <w:tcW w:w="4260" w:type="dxa"/>
            <w:shd w:val="clear" w:color="auto" w:fill="0F766E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Deliverable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Week 1</w:t>
            </w:r>
          </w:p>
        </w:tc>
        <w:tc>
          <w:tcPr>
            <w:tcW w:w="3400" w:type="dxa"/>
            <w:vAlign w:val="center"/>
          </w:tcPr>
          <w:p>
            <w:pPr>
              <w:pStyle w:val="TableText"/>
            </w:pPr>
            <w:r>
              <w:t xml:space="preserve">Environment and first run</w:t>
            </w:r>
          </w:p>
        </w:tc>
        <w:tc>
          <w:tcPr>
            <w:tcW w:w="4260" w:type="dxa"/>
            <w:vAlign w:val="center"/>
          </w:tcPr>
          <w:p>
            <w:pPr>
              <w:pStyle w:val="TableText"/>
            </w:pPr>
            <w:r>
              <w:t xml:space="preserve">Python installed; smoke test passing; SPARCS and MRF data loaded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Week 2</w:t>
            </w:r>
          </w:p>
        </w:tc>
        <w:tc>
          <w:tcPr>
            <w:tcW w:w="3400" w:type="dxa"/>
            <w:vAlign w:val="center"/>
          </w:tcPr>
          <w:p>
            <w:pPr>
              <w:pStyle w:val="TableText"/>
            </w:pPr>
            <w:r>
              <w:t xml:space="preserve">Data quality and entity resolution</w:t>
            </w:r>
          </w:p>
        </w:tc>
        <w:tc>
          <w:tcPr>
            <w:tcW w:w="4260" w:type="dxa"/>
            <w:vAlign w:val="center"/>
          </w:tcPr>
          <w:p>
            <w:pPr>
              <w:pStyle w:val="TableText"/>
            </w:pPr>
            <w:r>
              <w:t xml:space="preserve">Crosswalk reviewed; QA diagnostics clean; scored table trusted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Week 3</w:t>
            </w:r>
          </w:p>
        </w:tc>
        <w:tc>
          <w:tcPr>
            <w:tcW w:w="3400" w:type="dxa"/>
            <w:vAlign w:val="center"/>
          </w:tcPr>
          <w:p>
            <w:pPr>
              <w:pStyle w:val="TableText"/>
            </w:pPr>
            <w:r>
              <w:t xml:space="preserve">Publication</w:t>
            </w:r>
          </w:p>
        </w:tc>
        <w:tc>
          <w:tcPr>
            <w:tcW w:w="4260" w:type="dxa"/>
            <w:vAlign w:val="center"/>
          </w:tcPr>
          <w:p>
            <w:pPr>
              <w:pStyle w:val="TableText"/>
            </w:pPr>
            <w:r>
              <w:t xml:space="preserve">Public repository; Streamlit app live; snapshot committed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Week 4</w:t>
            </w:r>
          </w:p>
        </w:tc>
        <w:tc>
          <w:tcPr>
            <w:tcW w:w="3400" w:type="dxa"/>
            <w:vAlign w:val="center"/>
          </w:tcPr>
          <w:p>
            <w:pPr>
              <w:pStyle w:val="TableText"/>
            </w:pPr>
            <w:r>
              <w:t xml:space="preserve">Geographic visualisation</w:t>
            </w:r>
          </w:p>
        </w:tc>
        <w:tc>
          <w:tcPr>
            <w:tcW w:w="4260" w:type="dxa"/>
            <w:vAlign w:val="center"/>
          </w:tcPr>
          <w:p>
            <w:pPr>
              <w:pStyle w:val="TableText"/>
            </w:pPr>
            <w:r>
              <w:t xml:space="preserve">Tableau Public dashboard with shapefile join and tooltips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Week 5</w:t>
            </w:r>
          </w:p>
        </w:tc>
        <w:tc>
          <w:tcPr>
            <w:tcW w:w="3400" w:type="dxa"/>
            <w:vAlign w:val="center"/>
          </w:tcPr>
          <w:p>
            <w:pPr>
              <w:pStyle w:val="TableText"/>
            </w:pPr>
            <w:r>
              <w:t xml:space="preserve">Product design</w:t>
            </w:r>
          </w:p>
        </w:tc>
        <w:tc>
          <w:tcPr>
            <w:tcW w:w="4260" w:type="dxa"/>
            <w:vAlign w:val="center"/>
          </w:tcPr>
          <w:p>
            <w:pPr>
              <w:pStyle w:val="TableText"/>
            </w:pPr>
            <w:r>
              <w:t xml:space="preserve">Figma wireframes translating the index into a five-star consumer interface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Week 6</w:t>
            </w:r>
          </w:p>
        </w:tc>
        <w:tc>
          <w:tcPr>
            <w:tcW w:w="3400" w:type="dxa"/>
            <w:vAlign w:val="center"/>
          </w:tcPr>
          <w:p>
            <w:pPr>
              <w:pStyle w:val="TableText"/>
            </w:pPr>
            <w:r>
              <w:t xml:space="preserve">Portfolio assembly</w:t>
            </w:r>
          </w:p>
        </w:tc>
        <w:tc>
          <w:tcPr>
            <w:tcW w:w="4260" w:type="dxa"/>
            <w:vAlign w:val="center"/>
          </w:tcPr>
          <w:p>
            <w:pPr>
              <w:pStyle w:val="TableText"/>
            </w:pPr>
            <w:r>
              <w:t xml:space="preserve">README with screenshots and live links; written methodology; resume entry</w:t>
            </w:r>
          </w:p>
        </w:tc>
      </w:tr>
    </w:tbl>
    <w:p>
      <w:pPr>
        <w:pStyle w:val="Heading1"/>
      </w:pPr>
      <w:r>
        <w:t xml:space="preserve">10. Known Limitations</w:t>
      </w:r>
    </w:p>
    <w:p>
      <w:r>
        <w:t xml:space="preserve">Stated plainly, because a portfolio project that overclaims is easier to dismantle in an interview than one that names its own boundaries.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Length of stay is a proxy, not an outcome. </w:t>
      </w:r>
      <w:r>
        <w:t xml:space="preserve">The SPARCS public file carries no readmission, revision or complication data. Length of stay and discharge disposition are the best available stand-ins, and both reflect discharge-planning culture as much as surgical quality.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Long stays are censored. </w:t>
      </w:r>
      <w:r>
        <w:t xml:space="preserve">Anything at or beyond 120 days is recorded identically, so observed length of stay is a floor for facilities with long-stay outliers.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Geography is coarse. </w:t>
      </w:r>
      <w:r>
        <w:t xml:space="preserve">Three-digit ZIP prefixes indicate patient catchment, not facility location, and are blanked entirely for small populations.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Price transparency compliance is partial. </w:t>
      </w:r>
      <w:r>
        <w:t xml:space="preserve">Market coverage is incomplete and unevenly distributed, which biases the market median toward whichever hospitals chose to comply.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Posted rates are not out-of-pocket cost. </w:t>
      </w:r>
      <w:r>
        <w:t xml:space="preserve">Deductibles, coinsurance and benefit design are absent. A genuine consumer product would need a benefits API to convert a negotiated rate into patient liability.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index weights are a judgement. </w:t>
      </w:r>
      <w:r>
        <w:t xml:space="preserve">The three terms are multiplied unweighted and the composite clinical term treats length of stay and discharge disposition as equally important. That is a defensible choice, not a validated finding.</w:t>
      </w:r>
    </w:p>
    <w:p>
      <w:pPr>
        <w:pStyle w:val="Heading1"/>
      </w:pPr>
      <w:r>
        <w:t xml:space="preserve">11. Success Criteria</w:t>
      </w:r>
    </w:p>
    <w:p>
      <w:r>
        <w:t xml:space="preserve">The project is complete when a reader who has never seen it can, in under two minutes:</w:t>
      </w:r>
    </w:p>
    <w:p>
      <w:pPr>
        <w:pStyle w:val="ListParagraph"/>
        <w:numPr>
          <w:ilvl w:val="0"/>
          <w:numId w:val="1"/>
        </w:numPr>
      </w:pPr>
      <w:r>
        <w:t xml:space="preserve">Open a live URL and compare NYC hospitals on cost and risk-adjusted quality for a knee replacement.</w:t>
      </w:r>
    </w:p>
    <w:p>
      <w:pPr>
        <w:pStyle w:val="ListParagraph"/>
        <w:numPr>
          <w:ilvl w:val="0"/>
          <w:numId w:val="1"/>
        </w:numPr>
      </w:pPr>
      <w:r>
        <w:t xml:space="preserve">See the geographic distribution of value across the five boroughs.</w:t>
      </w:r>
    </w:p>
    <w:p>
      <w:pPr>
        <w:pStyle w:val="ListParagraph"/>
        <w:numPr>
          <w:ilvl w:val="0"/>
          <w:numId w:val="1"/>
        </w:numPr>
      </w:pPr>
      <w:r>
        <w:t xml:space="preserve">Read the repository and understand how public clinical and pricing data became that ranking.</w:t>
      </w:r>
    </w:p>
    <w:p>
      <w:pPr>
        <w:pStyle w:val="ListParagraph"/>
        <w:numPr>
          <w:ilvl w:val="0"/>
          <w:numId w:val="1"/>
        </w:numPr>
      </w:pPr>
      <w:r>
        <w:t xml:space="preserve">Find a clear statement of what the data cannot support.</w:t>
      </w:r>
    </w:p>
    <w:p/>
    <w:p>
      <w:r>
        <w:t xml:space="preserve">The last of those matters as much as the first three. Demonstrating that you know where a model stops being trustworthy is the difference between an analyst and someone who produces charts.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1F2937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0"/>
    </w:pPr>
    <w:rPr>
      <w:b/>
      <w:color w:val="0F766E"/>
      <w:sz w:val="56"/>
      <w:szCs w:val="56"/>
    </w:rPr>
  </w:style>
  <w:style w:type="paragraph" w:styleId="Subtitle">
    <w:name w:val="Subtitle"/>
    <w:basedOn w:val="Normal"/>
    <w:qFormat/>
    <w:pPr>
      <w:spacing w:before="0" w:after="240"/>
    </w:pPr>
    <w:rPr>
      <w:color w:val="475569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4" w:color="0F766E"/>
      </w:pBdr>
      <w:spacing w:before="360" w:after="140"/>
      <w:outlineLvl w:val="0"/>
    </w:pPr>
    <w:rPr>
      <w:b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134E4A"/>
      <w:sz w:val="26"/>
      <w:szCs w:val="26"/>
    </w:rPr>
  </w:style>
  <w:style w:type="paragraph" w:styleId="ListParagraph">
    <w:name w:val="List Paragraph"/>
    <w:basedOn w:val="Normal"/>
    <w:qFormat/>
    <w:pPr>
      <w:spacing w:after="80"/>
      <w:ind w:left="360"/>
      <w:contextualSpacing/>
    </w:pPr>
  </w:style>
  <w:style w:type="paragraph" w:styleId="TableText">
    <w:name w:val="Table Text"/>
    <w:basedOn w:val="Normal"/>
    <w:pPr>
      <w:spacing w:before="40" w:after="40" w:line="240" w:lineRule="auto"/>
    </w:pPr>
    <w:rPr>
      <w:sz w:val="19"/>
      <w:szCs w:val="19"/>
    </w:rPr>
  </w:style>
  <w:style w:type="paragraph" w:styleId="Code">
    <w:name w:val="Code"/>
    <w:basedOn w:val="Normal"/>
    <w:pPr>
      <w:shd w:val="clear" w:color="auto" w:fill="F1F5F9"/>
      <w:spacing w:before="0" w:after="0" w:line="240" w:lineRule="auto"/>
      <w:ind w:left="360"/>
    </w:pPr>
    <w:rPr>
      <w:rFonts w:ascii="Consolas" w:hAnsi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