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doctitle"/>
        <w:bidi w:val="0"/>
        <w:spacing w:before="240" w:after="40"/>
        <w:jc w:val="start"/>
        <w:rPr/>
      </w:pPr>
      <w:r>
        <w:rPr/>
        <w:t>Healthcare Transparency MVP</w:t>
      </w:r>
    </w:p>
    <w:p>
      <w:pPr>
        <w:pStyle w:val="BodyTextsubtitle"/>
        <w:bidi w:val="0"/>
        <w:jc w:val="start"/>
        <w:rPr/>
      </w:pPr>
      <w:r>
        <w:rPr/>
        <w:t>Master Plan v3 — NYC Orthopedic Value Index</w:t>
      </w:r>
    </w:p>
    <w:p>
      <w:pPr>
        <w:pStyle w:val="BodyTextmeta"/>
        <w:bidi w:val="0"/>
        <w:jc w:val="start"/>
        <w:rPr/>
      </w:pPr>
      <w:r>
        <w:rPr/>
        <w:t>Direct-to-Consumer Healthcare Transparency Marketplace  |  Revision 3.0  |  August 2026</w:t>
      </w:r>
    </w:p>
    <w:p>
      <w:pPr>
        <w:pStyle w:val="Heading1"/>
        <w:bidi w:val="0"/>
        <w:jc w:val="start"/>
        <w:rPr/>
      </w:pPr>
      <w:r>
        <w:rPr/>
        <w:t>1. Executive Summary</w:t>
      </w:r>
    </w:p>
    <w:p>
      <w:pPr>
        <w:pStyle w:val="BodyText"/>
        <w:bidi w:val="0"/>
        <w:jc w:val="start"/>
        <w:rPr/>
      </w:pPr>
      <w:r>
        <w:rPr/>
        <w:t>This document supersedes Master Plan v1 and v2. The strategic thesis is unchanged: consumer-directed healthcare has created real demand for a platform that makes clinical outcomes and financial liability legible in the same view, and New York's public clinical data combined with federally mandated pricing files is enough to build one.</w:t>
      </w:r>
    </w:p>
    <w:p>
      <w:pPr>
        <w:pStyle w:val="BodyText"/>
        <w:bidi w:val="0"/>
        <w:jc w:val="start"/>
        <w:rPr/>
      </w:pPr>
      <w:r>
        <w:rPr/>
        <w:t xml:space="preserve">What has changed is that the pipeline has now been </w:t>
      </w:r>
      <w:r>
        <w:rPr>
          <w:rStyle w:val="Strong"/>
        </w:rPr>
        <w:t>executed against live data</w:t>
      </w:r>
      <w:r>
        <w:rPr/>
        <w:t>, and that execution invalidated a premise carried through every previous version of this plan.</w:t>
      </w:r>
    </w:p>
    <w:tbl>
      <w:tblPr>
        <w:tblW w:w="9360" w:type="dxa"/>
        <w:jc w:val="start"/>
        <w:tblInd w:w="-10" w:type="dxa"/>
        <w:tblLayout w:type="fixed"/>
        <w:tblCellMar>
          <w:top w:w="180" w:type="dxa"/>
          <w:start w:w="220" w:type="dxa"/>
          <w:bottom w:w="180" w:type="dxa"/>
          <w:end w:w="220" w:type="dxa"/>
        </w:tblCellMar>
      </w:tblPr>
      <w:tblGrid>
        <w:gridCol w:w="9360"/>
      </w:tblGrid>
      <w:tr>
        <w:trPr/>
        <w:tc>
          <w:tcPr>
            <w:tcW w:w="9360" w:type="dxa"/>
            <w:tcBorders>
              <w:top w:val="single" w:sz="8" w:space="0" w:color="B45309"/>
              <w:start w:val="single" w:sz="8" w:space="0" w:color="B45309"/>
              <w:bottom w:val="single" w:sz="8" w:space="0" w:color="B45309"/>
              <w:end w:val="single" w:sz="8" w:space="0" w:color="B45309"/>
            </w:tcBorders>
            <w:shd w:fill="FEF3C7" w:val="clear"/>
            <w:vAlign w:val="center"/>
          </w:tcPr>
          <w:p>
            <w:pPr>
              <w:pStyle w:val="TableContents"/>
              <w:bidi w:val="0"/>
              <w:ind w:hanging="0" w:start="0" w:end="0"/>
              <w:jc w:val="start"/>
              <w:rPr/>
            </w:pPr>
            <w:r>
              <w:rPr>
                <w:rStyle w:val="Strong"/>
                <w:sz w:val="22"/>
              </w:rPr>
              <w:t>The procedure codes in the original plan do not exist.</w:t>
            </w:r>
            <w:r>
              <w:rPr>
                <w:sz w:val="22"/>
              </w:rPr>
              <w:t xml:space="preserve"> Every prior version scoped the MVP to APR-DRG 301 (hip) and 302 (knee). Queried against both the 2022 and 2024 SPARCS releases, those codes return </w:t>
            </w:r>
            <w:r>
              <w:rPr>
                <w:rStyle w:val="Strong"/>
                <w:sz w:val="22"/>
              </w:rPr>
              <w:t>zero rows</w:t>
            </w:r>
            <w:r>
              <w:rPr>
                <w:sz w:val="22"/>
              </w:rPr>
              <w:t xml:space="preserve">. The correct codes are </w:t>
            </w:r>
            <w:r>
              <w:rPr>
                <w:rStyle w:val="Strong"/>
                <w:sz w:val="22"/>
              </w:rPr>
              <w:t>APR-DRG 324 (elective hip)</w:t>
            </w:r>
            <w:r>
              <w:rPr>
                <w:sz w:val="22"/>
              </w:rPr>
              <w:t xml:space="preserve"> and </w:t>
            </w:r>
            <w:r>
              <w:rPr>
                <w:rStyle w:val="Strong"/>
                <w:sz w:val="22"/>
              </w:rPr>
              <w:t>326 (elective knee)</w:t>
            </w:r>
            <w:r>
              <w:rPr>
                <w:sz w:val="22"/>
              </w:rPr>
              <w:t xml:space="preserve">. Had this gone undetected, the pipeline would have run cleanly end to end and produced an empty market. </w:t>
            </w:r>
          </w:p>
        </w:tc>
      </w:tr>
    </w:tbl>
    <w:p>
      <w:pPr>
        <w:pStyle w:val="BodyText"/>
        <w:bidi w:val="0"/>
        <w:jc w:val="start"/>
        <w:rPr/>
      </w:pPr>
      <w:r>
        <w:rPr/>
        <w:t>Forty defects have now been identified and corrected across the SQL and Python: eight of them found only by running the code against the real Health Data NY API and real hospital price files. Section 3 records them, because a portfolio project that cannot audit its own pipeline is not demonstrating the skill it claims to.</w:t>
      </w:r>
    </w:p>
    <w:p>
      <w:pPr>
        <w:pStyle w:val="Heading2"/>
        <w:bidi w:val="0"/>
        <w:jc w:val="start"/>
        <w:rPr/>
      </w:pPr>
      <w:r>
        <w:rPr/>
        <w:t>Scope</w:t>
      </w:r>
    </w:p>
    <w:p>
      <w:pPr>
        <w:pStyle w:val="BodyText"/>
        <w:numPr>
          <w:ilvl w:val="0"/>
          <w:numId w:val="1"/>
        </w:numPr>
        <w:tabs>
          <w:tab w:val="clear" w:pos="709"/>
          <w:tab w:val="left" w:pos="709" w:leader="none"/>
        </w:tabs>
        <w:bidi w:val="0"/>
        <w:spacing w:before="0" w:after="0"/>
        <w:ind w:hanging="283" w:start="709"/>
        <w:jc w:val="start"/>
        <w:rPr/>
      </w:pPr>
      <w:r>
        <w:rPr>
          <w:rStyle w:val="Strong"/>
        </w:rPr>
        <w:t>Procedure</w:t>
      </w:r>
      <w:r>
        <w:rPr/>
        <w:t xml:space="preserve"> — elective total hip and knee replacement. </w:t>
      </w:r>
      <w:r>
        <w:rPr>
          <w:rStyle w:val="Strong"/>
        </w:rPr>
        <w:t>APR-DRG 324 and 326</w:t>
      </w:r>
      <w:r>
        <w:rPr/>
        <w:t xml:space="preserve"> in the state clinical data; </w:t>
      </w:r>
      <w:r>
        <w:rPr>
          <w:rStyle w:val="Strong"/>
        </w:rPr>
        <w:t>MS-DRG 470</w:t>
      </w:r>
      <w:r>
        <w:rPr/>
        <w:t xml:space="preserve">, or APR-DRG 324/326, in the federal pricing files. </w:t>
      </w:r>
    </w:p>
    <w:p>
      <w:pPr>
        <w:pStyle w:val="BodyText"/>
        <w:numPr>
          <w:ilvl w:val="0"/>
          <w:numId w:val="1"/>
        </w:numPr>
        <w:tabs>
          <w:tab w:val="clear" w:pos="709"/>
          <w:tab w:val="left" w:pos="709" w:leader="none"/>
        </w:tabs>
        <w:bidi w:val="0"/>
        <w:spacing w:before="0" w:after="0"/>
        <w:ind w:hanging="283" w:start="709"/>
        <w:jc w:val="start"/>
        <w:rPr/>
      </w:pPr>
      <w:r>
        <w:rPr>
          <w:rStyle w:val="Strong"/>
        </w:rPr>
        <w:t>Geography</w:t>
      </w:r>
      <w:r>
        <w:rPr/>
        <w:t xml:space="preserve"> — the five boroughs of New York City, scored against a statewide clinical benchmark. </w:t>
      </w:r>
    </w:p>
    <w:p>
      <w:pPr>
        <w:pStyle w:val="BodyText"/>
        <w:numPr>
          <w:ilvl w:val="0"/>
          <w:numId w:val="1"/>
        </w:numPr>
        <w:tabs>
          <w:tab w:val="clear" w:pos="709"/>
          <w:tab w:val="left" w:pos="709" w:leader="none"/>
        </w:tabs>
        <w:bidi w:val="0"/>
        <w:ind w:hanging="283" w:start="709"/>
        <w:jc w:val="start"/>
        <w:rPr/>
      </w:pPr>
      <w:r>
        <w:rPr>
          <w:rStyle w:val="Strong"/>
        </w:rPr>
        <w:t>Output</w:t>
      </w:r>
      <w:r>
        <w:rPr/>
        <w:t xml:space="preserve"> — a risk-adjusted Value Index per facility, published as an interactive web application and a geographic dashboard. </w:t>
      </w:r>
    </w:p>
    <w:p>
      <w:pPr>
        <w:pStyle w:val="Heading1"/>
        <w:bidi w:val="0"/>
        <w:jc w:val="start"/>
        <w:rPr/>
      </w:pPr>
      <w:r>
        <w:rPr/>
        <w:t>2. Current Status</w:t>
      </w:r>
    </w:p>
    <w:p>
      <w:pPr>
        <w:pStyle w:val="BodyText"/>
        <w:bidi w:val="0"/>
        <w:jc w:val="start"/>
        <w:rPr/>
      </w:pPr>
      <w:r>
        <w:rPr/>
        <w:t>Honest accounting of what exists as of this revision.</w:t>
      </w:r>
    </w:p>
    <w:tbl>
      <w:tblPr>
        <w:tblW w:w="9360" w:type="dxa"/>
        <w:jc w:val="start"/>
        <w:tblInd w:w="0" w:type="dxa"/>
        <w:tblLayout w:type="fixed"/>
        <w:tblCellMar>
          <w:top w:w="28" w:type="dxa"/>
          <w:start w:w="28" w:type="dxa"/>
          <w:bottom w:w="28" w:type="dxa"/>
          <w:end w:w="28" w:type="dxa"/>
        </w:tblCellMar>
      </w:tblPr>
      <w:tblGrid>
        <w:gridCol w:w="1593"/>
        <w:gridCol w:w="1947"/>
        <w:gridCol w:w="5820"/>
      </w:tblGrid>
      <w:tr>
        <w:trPr/>
        <w:tc>
          <w:tcPr>
            <w:tcW w:w="1593" w:type="dxa"/>
            <w:tcBorders/>
            <w:vAlign w:val="center"/>
          </w:tcPr>
          <w:p>
            <w:pPr>
              <w:pStyle w:val="TableHeading"/>
              <w:bidi w:val="0"/>
              <w:ind w:hanging="0" w:start="0" w:end="0"/>
              <w:jc w:val="start"/>
              <w:rPr/>
            </w:pPr>
            <w:r>
              <w:rPr/>
              <w:t>Component</w:t>
            </w:r>
          </w:p>
        </w:tc>
        <w:tc>
          <w:tcPr>
            <w:tcW w:w="1947" w:type="dxa"/>
            <w:tcBorders/>
            <w:vAlign w:val="center"/>
          </w:tcPr>
          <w:p>
            <w:pPr>
              <w:pStyle w:val="TableHeading"/>
              <w:suppressLineNumbers/>
              <w:shd w:fill="0F766E" w:val="clear"/>
              <w:bidi w:val="0"/>
              <w:jc w:val="start"/>
              <w:rPr/>
            </w:pPr>
            <w:r>
              <w:rPr/>
              <w:t>Status</w:t>
            </w:r>
          </w:p>
        </w:tc>
        <w:tc>
          <w:tcPr>
            <w:tcW w:w="5820" w:type="dxa"/>
            <w:tcBorders/>
            <w:vAlign w:val="center"/>
          </w:tcPr>
          <w:p>
            <w:pPr>
              <w:pStyle w:val="TableHeading"/>
              <w:suppressLineNumbers/>
              <w:shd w:fill="0F766E" w:val="clear"/>
              <w:bidi w:val="0"/>
              <w:jc w:val="start"/>
              <w:rPr/>
            </w:pPr>
            <w:r>
              <w:rPr/>
              <w:t>Notes</w:t>
            </w:r>
          </w:p>
        </w:tc>
      </w:tr>
      <w:tr>
        <w:trPr/>
        <w:tc>
          <w:tcPr>
            <w:tcW w:w="1593" w:type="dxa"/>
            <w:tcBorders/>
            <w:vAlign w:val="center"/>
          </w:tcPr>
          <w:p>
            <w:pPr>
              <w:pStyle w:val="TableContents"/>
              <w:widowControl w:val="false"/>
              <w:suppressLineNumbers/>
              <w:bidi w:val="0"/>
              <w:jc w:val="start"/>
              <w:rPr/>
            </w:pPr>
            <w:r>
              <w:rPr/>
              <w:t>Python ETL</w:t>
            </w:r>
          </w:p>
        </w:tc>
        <w:tc>
          <w:tcPr>
            <w:tcW w:w="1947" w:type="dxa"/>
            <w:tcBorders/>
            <w:vAlign w:val="center"/>
          </w:tcPr>
          <w:p>
            <w:pPr>
              <w:pStyle w:val="TableContents"/>
              <w:widowControl w:val="false"/>
              <w:suppressLineNumbers/>
              <w:bidi w:val="0"/>
              <w:jc w:val="start"/>
              <w:rPr/>
            </w:pPr>
            <w:r>
              <w:rPr>
                <w:rStyle w:val="Strong"/>
              </w:rPr>
              <w:t>Verified against live data</w:t>
            </w:r>
          </w:p>
        </w:tc>
        <w:tc>
          <w:tcPr>
            <w:tcW w:w="5820" w:type="dxa"/>
            <w:tcBorders/>
            <w:vAlign w:val="center"/>
          </w:tcPr>
          <w:p>
            <w:pPr>
              <w:pStyle w:val="TableContents"/>
              <w:widowControl w:val="false"/>
              <w:suppressLineNumbers/>
              <w:bidi w:val="0"/>
              <w:jc w:val="start"/>
              <w:rPr/>
            </w:pPr>
            <w:r>
              <w:rPr/>
              <w:t>All modules import and compile. SPARCS API and CMS crawler both exercised end to end.</w:t>
            </w:r>
          </w:p>
        </w:tc>
      </w:tr>
      <w:tr>
        <w:trPr/>
        <w:tc>
          <w:tcPr>
            <w:tcW w:w="1593" w:type="dxa"/>
            <w:tcBorders/>
            <w:vAlign w:val="center"/>
          </w:tcPr>
          <w:p>
            <w:pPr>
              <w:pStyle w:val="TableContents"/>
              <w:widowControl w:val="false"/>
              <w:suppressLineNumbers/>
              <w:bidi w:val="0"/>
              <w:jc w:val="start"/>
              <w:rPr/>
            </w:pPr>
            <w:r>
              <w:rPr/>
              <w:t>CMS MRF crawler</w:t>
            </w:r>
          </w:p>
        </w:tc>
        <w:tc>
          <w:tcPr>
            <w:tcW w:w="1947" w:type="dxa"/>
            <w:tcBorders/>
            <w:vAlign w:val="center"/>
          </w:tcPr>
          <w:p>
            <w:pPr>
              <w:pStyle w:val="TableContents"/>
              <w:widowControl w:val="false"/>
              <w:suppressLineNumbers/>
              <w:bidi w:val="0"/>
              <w:jc w:val="start"/>
              <w:rPr/>
            </w:pPr>
            <w:r>
              <w:rPr>
                <w:rStyle w:val="Strong"/>
              </w:rPr>
              <w:t>Working</w:t>
            </w:r>
          </w:p>
        </w:tc>
        <w:tc>
          <w:tcPr>
            <w:tcW w:w="5820" w:type="dxa"/>
            <w:tcBorders/>
            <w:vAlign w:val="center"/>
          </w:tcPr>
          <w:p>
            <w:pPr>
              <w:pStyle w:val="TableContents"/>
              <w:widowControl w:val="false"/>
              <w:suppressLineNumbers/>
              <w:bidi w:val="0"/>
              <w:jc w:val="start"/>
              <w:rPr/>
            </w:pPr>
            <w:r>
              <w:rPr/>
              <w:t>14 of 18 target domains resolved; 70+ machine-readable file locations discovered.</w:t>
            </w:r>
          </w:p>
        </w:tc>
      </w:tr>
      <w:tr>
        <w:trPr/>
        <w:tc>
          <w:tcPr>
            <w:tcW w:w="1593" w:type="dxa"/>
            <w:tcBorders/>
            <w:vAlign w:val="center"/>
          </w:tcPr>
          <w:p>
            <w:pPr>
              <w:pStyle w:val="TableContents"/>
              <w:widowControl w:val="false"/>
              <w:suppressLineNumbers/>
              <w:bidi w:val="0"/>
              <w:jc w:val="start"/>
              <w:rPr/>
            </w:pPr>
            <w:r>
              <w:rPr/>
              <w:t>MRF parsers</w:t>
            </w:r>
          </w:p>
        </w:tc>
        <w:tc>
          <w:tcPr>
            <w:tcW w:w="1947" w:type="dxa"/>
            <w:tcBorders/>
            <w:vAlign w:val="center"/>
          </w:tcPr>
          <w:p>
            <w:pPr>
              <w:pStyle w:val="TableContents"/>
              <w:widowControl w:val="false"/>
              <w:suppressLineNumbers/>
              <w:bidi w:val="0"/>
              <w:jc w:val="start"/>
              <w:rPr/>
            </w:pPr>
            <w:r>
              <w:rPr>
                <w:rStyle w:val="Strong"/>
              </w:rPr>
              <w:t>Working</w:t>
            </w:r>
          </w:p>
        </w:tc>
        <w:tc>
          <w:tcPr>
            <w:tcW w:w="5820" w:type="dxa"/>
            <w:tcBorders/>
            <w:vAlign w:val="center"/>
          </w:tcPr>
          <w:p>
            <w:pPr>
              <w:pStyle w:val="TableContents"/>
              <w:widowControl w:val="false"/>
              <w:suppressLineNumbers/>
              <w:bidi w:val="0"/>
              <w:jc w:val="start"/>
              <w:rPr/>
            </w:pPr>
            <w:r>
              <w:rPr/>
              <w:t>JSON and CSV (tall and wide) all parse real files and return real prices.</w:t>
            </w:r>
          </w:p>
        </w:tc>
      </w:tr>
      <w:tr>
        <w:trPr/>
        <w:tc>
          <w:tcPr>
            <w:tcW w:w="1593" w:type="dxa"/>
            <w:tcBorders/>
            <w:vAlign w:val="center"/>
          </w:tcPr>
          <w:p>
            <w:pPr>
              <w:pStyle w:val="TableContents"/>
              <w:widowControl w:val="false"/>
              <w:suppressLineNumbers/>
              <w:bidi w:val="0"/>
              <w:jc w:val="start"/>
              <w:rPr/>
            </w:pPr>
            <w:r>
              <w:rPr/>
              <w:t>SQL pipeline</w:t>
            </w:r>
          </w:p>
        </w:tc>
        <w:tc>
          <w:tcPr>
            <w:tcW w:w="1947" w:type="dxa"/>
            <w:tcBorders/>
            <w:vAlign w:val="center"/>
          </w:tcPr>
          <w:p>
            <w:pPr>
              <w:pStyle w:val="TableContents"/>
              <w:widowControl w:val="false"/>
              <w:suppressLineNumbers/>
              <w:bidi w:val="0"/>
              <w:jc w:val="start"/>
              <w:rPr/>
            </w:pPr>
            <w:r>
              <w:rPr/>
              <w:t>Written, awaiting DB</w:t>
            </w:r>
          </w:p>
        </w:tc>
        <w:tc>
          <w:tcPr>
            <w:tcW w:w="5820" w:type="dxa"/>
            <w:tcBorders/>
            <w:vAlign w:val="center"/>
          </w:tcPr>
          <w:p>
            <w:pPr>
              <w:pStyle w:val="TableContents"/>
              <w:widowControl w:val="false"/>
              <w:suppressLineNumbers/>
              <w:bidi w:val="0"/>
              <w:jc w:val="start"/>
              <w:rPr/>
            </w:pPr>
            <w:r>
              <w:rPr/>
              <w:t>Six idempotent scripts plus a self-asserting smoke test. Blocked only on database credentials.</w:t>
            </w:r>
          </w:p>
        </w:tc>
      </w:tr>
      <w:tr>
        <w:trPr/>
        <w:tc>
          <w:tcPr>
            <w:tcW w:w="1593" w:type="dxa"/>
            <w:tcBorders/>
            <w:vAlign w:val="center"/>
          </w:tcPr>
          <w:p>
            <w:pPr>
              <w:pStyle w:val="TableContents"/>
              <w:widowControl w:val="false"/>
              <w:suppressLineNumbers/>
              <w:bidi w:val="0"/>
              <w:jc w:val="start"/>
              <w:rPr/>
            </w:pPr>
            <w:r>
              <w:rPr/>
              <w:t>Public web app</w:t>
            </w:r>
          </w:p>
        </w:tc>
        <w:tc>
          <w:tcPr>
            <w:tcW w:w="1947" w:type="dxa"/>
            <w:tcBorders/>
            <w:vAlign w:val="center"/>
          </w:tcPr>
          <w:p>
            <w:pPr>
              <w:pStyle w:val="TableContents"/>
              <w:widowControl w:val="false"/>
              <w:suppressLineNumbers/>
              <w:bidi w:val="0"/>
              <w:jc w:val="start"/>
              <w:rPr/>
            </w:pPr>
            <w:r>
              <w:rPr/>
              <w:t>Built, not deployed</w:t>
            </w:r>
          </w:p>
        </w:tc>
        <w:tc>
          <w:tcPr>
            <w:tcW w:w="5820" w:type="dxa"/>
            <w:tcBorders/>
            <w:vAlign w:val="center"/>
          </w:tcPr>
          <w:p>
            <w:pPr>
              <w:pStyle w:val="TableContents"/>
              <w:widowControl w:val="false"/>
              <w:suppressLineNumbers/>
              <w:bidi w:val="0"/>
              <w:jc w:val="start"/>
              <w:rPr/>
            </w:pPr>
            <w:r>
              <w:rPr/>
              <w:t>Streamlit. Reads a cloud database when present, a committed CSV snapshot otherwise.</w:t>
            </w:r>
          </w:p>
        </w:tc>
      </w:tr>
      <w:tr>
        <w:trPr/>
        <w:tc>
          <w:tcPr>
            <w:tcW w:w="1593" w:type="dxa"/>
            <w:tcBorders/>
            <w:vAlign w:val="center"/>
          </w:tcPr>
          <w:p>
            <w:pPr>
              <w:pStyle w:val="TableContents"/>
              <w:widowControl w:val="false"/>
              <w:suppressLineNumbers/>
              <w:bidi w:val="0"/>
              <w:jc w:val="start"/>
              <w:rPr/>
            </w:pPr>
            <w:r>
              <w:rPr/>
              <w:t>Facility crosswalk</w:t>
            </w:r>
          </w:p>
        </w:tc>
        <w:tc>
          <w:tcPr>
            <w:tcW w:w="1947" w:type="dxa"/>
            <w:tcBorders/>
            <w:vAlign w:val="center"/>
          </w:tcPr>
          <w:p>
            <w:pPr>
              <w:pStyle w:val="TableContents"/>
              <w:widowControl w:val="false"/>
              <w:suppressLineNumbers/>
              <w:bidi w:val="0"/>
              <w:jc w:val="start"/>
              <w:rPr/>
            </w:pPr>
            <w:r>
              <w:rPr/>
              <w:t>Automated, needs review</w:t>
            </w:r>
          </w:p>
        </w:tc>
        <w:tc>
          <w:tcPr>
            <w:tcW w:w="5820" w:type="dxa"/>
            <w:tcBorders/>
            <w:vAlign w:val="center"/>
          </w:tcPr>
          <w:p>
            <w:pPr>
              <w:pStyle w:val="TableContents"/>
              <w:widowControl w:val="false"/>
              <w:suppressLineNumbers/>
              <w:bidi w:val="0"/>
              <w:jc w:val="start"/>
              <w:rPr/>
            </w:pPr>
            <w:r>
              <w:rPr/>
              <w:t>Exact and fuzzy matching implemented; the fuzzy tier requires human sign-off.</w:t>
            </w:r>
          </w:p>
        </w:tc>
      </w:tr>
      <w:tr>
        <w:trPr/>
        <w:tc>
          <w:tcPr>
            <w:tcW w:w="1593" w:type="dxa"/>
            <w:tcBorders/>
            <w:vAlign w:val="center"/>
          </w:tcPr>
          <w:p>
            <w:pPr>
              <w:pStyle w:val="TableContents"/>
              <w:widowControl w:val="false"/>
              <w:suppressLineNumbers/>
              <w:bidi w:val="0"/>
              <w:jc w:val="start"/>
              <w:rPr/>
            </w:pPr>
            <w:r>
              <w:rPr/>
              <w:t>GitHub repository</w:t>
            </w:r>
          </w:p>
        </w:tc>
        <w:tc>
          <w:tcPr>
            <w:tcW w:w="1947" w:type="dxa"/>
            <w:tcBorders/>
            <w:vAlign w:val="center"/>
          </w:tcPr>
          <w:p>
            <w:pPr>
              <w:pStyle w:val="TableContents"/>
              <w:widowControl w:val="false"/>
              <w:suppressLineNumbers/>
              <w:bidi w:val="0"/>
              <w:jc w:val="start"/>
              <w:rPr/>
            </w:pPr>
            <w:r>
              <w:rPr>
                <w:rStyle w:val="Strong"/>
              </w:rPr>
              <w:t>Published</w:t>
            </w:r>
          </w:p>
        </w:tc>
        <w:tc>
          <w:tcPr>
            <w:tcW w:w="5820" w:type="dxa"/>
            <w:tcBorders/>
            <w:vAlign w:val="center"/>
          </w:tcPr>
          <w:p>
            <w:pPr>
              <w:pStyle w:val="TableContents"/>
              <w:widowControl w:val="false"/>
              <w:suppressLineNumbers/>
              <w:bidi w:val="0"/>
              <w:jc w:val="start"/>
              <w:rPr/>
            </w:pPr>
            <w:r>
              <w:rPr/>
              <w:t>Public. Credential scan clean: no secrets tracked, none in history.</w:t>
            </w:r>
          </w:p>
        </w:tc>
      </w:tr>
      <w:tr>
        <w:trPr/>
        <w:tc>
          <w:tcPr>
            <w:tcW w:w="1593" w:type="dxa"/>
            <w:tcBorders/>
            <w:vAlign w:val="center"/>
          </w:tcPr>
          <w:p>
            <w:pPr>
              <w:pStyle w:val="TableContents"/>
              <w:widowControl w:val="false"/>
              <w:suppressLineNumbers/>
              <w:bidi w:val="0"/>
              <w:jc w:val="start"/>
              <w:rPr/>
            </w:pPr>
            <w:r>
              <w:rPr/>
              <w:t>Tableau dashboard</w:t>
            </w:r>
          </w:p>
        </w:tc>
        <w:tc>
          <w:tcPr>
            <w:tcW w:w="1947" w:type="dxa"/>
            <w:tcBorders/>
            <w:vAlign w:val="center"/>
          </w:tcPr>
          <w:p>
            <w:pPr>
              <w:pStyle w:val="TableContents"/>
              <w:widowControl w:val="false"/>
              <w:suppressLineNumbers/>
              <w:bidi w:val="0"/>
              <w:jc w:val="start"/>
              <w:rPr/>
            </w:pPr>
            <w:r>
              <w:rPr/>
              <w:t>Not started</w:t>
            </w:r>
          </w:p>
        </w:tc>
        <w:tc>
          <w:tcPr>
            <w:tcW w:w="5820" w:type="dxa"/>
            <w:tcBorders/>
            <w:vAlign w:val="center"/>
          </w:tcPr>
          <w:p>
            <w:pPr>
              <w:pStyle w:val="TableContents"/>
              <w:widowControl w:val="false"/>
              <w:suppressLineNumbers/>
              <w:bidi w:val="0"/>
              <w:jc w:val="start"/>
              <w:rPr/>
            </w:pPr>
            <w:r>
              <w:rPr/>
              <w:t>Depends on a completed pipeline run.</w:t>
            </w:r>
          </w:p>
        </w:tc>
      </w:tr>
      <w:tr>
        <w:trPr/>
        <w:tc>
          <w:tcPr>
            <w:tcW w:w="1593" w:type="dxa"/>
            <w:tcBorders/>
            <w:vAlign w:val="center"/>
          </w:tcPr>
          <w:p>
            <w:pPr>
              <w:pStyle w:val="TableContents"/>
              <w:widowControl w:val="false"/>
              <w:suppressLineNumbers/>
              <w:bidi w:val="0"/>
              <w:jc w:val="start"/>
              <w:rPr/>
            </w:pPr>
            <w:r>
              <w:rPr/>
              <w:t>Figma wireframes</w:t>
            </w:r>
          </w:p>
        </w:tc>
        <w:tc>
          <w:tcPr>
            <w:tcW w:w="1947" w:type="dxa"/>
            <w:tcBorders/>
            <w:vAlign w:val="center"/>
          </w:tcPr>
          <w:p>
            <w:pPr>
              <w:pStyle w:val="TableContents"/>
              <w:widowControl w:val="false"/>
              <w:suppressLineNumbers/>
              <w:bidi w:val="0"/>
              <w:jc w:val="start"/>
              <w:rPr/>
            </w:pPr>
            <w:r>
              <w:rPr/>
              <w:t>Not started</w:t>
            </w:r>
          </w:p>
        </w:tc>
        <w:tc>
          <w:tcPr>
            <w:tcW w:w="5820" w:type="dxa"/>
            <w:tcBorders/>
            <w:vAlign w:val="center"/>
          </w:tcPr>
          <w:p>
            <w:pPr>
              <w:pStyle w:val="TableContents"/>
              <w:widowControl w:val="false"/>
              <w:suppressLineNumbers/>
              <w:bidi w:val="0"/>
              <w:jc w:val="start"/>
              <w:rPr/>
            </w:pPr>
            <w:r>
              <w:rPr/>
              <w:t>Independent of the data work; can proceed in parallel.</w:t>
            </w:r>
          </w:p>
        </w:tc>
      </w:tr>
    </w:tbl>
    <w:p>
      <w:pPr>
        <w:pStyle w:val="BodyText"/>
        <w:bidi w:val="0"/>
        <w:jc w:val="start"/>
        <w:rPr/>
      </w:pPr>
      <w:r>
        <w:rPr/>
        <w:t>The critical path now runs through a single item: the PostgreSQL password, without which no SQL stage can execute.</w:t>
      </w:r>
    </w:p>
    <w:p>
      <w:pPr>
        <w:pStyle w:val="Heading1newpage"/>
        <w:bidi w:val="0"/>
        <w:jc w:val="start"/>
        <w:rPr/>
      </w:pPr>
      <w:r>
        <w:rPr/>
        <w:t>3. Corrections to the Original Plan</w:t>
      </w:r>
    </w:p>
    <w:p>
      <w:pPr>
        <w:pStyle w:val="BodyText"/>
        <w:bidi w:val="0"/>
        <w:jc w:val="start"/>
        <w:rPr/>
      </w:pPr>
      <w:r>
        <w:rPr/>
        <w:t xml:space="preserve">Forty defects were identified. The full catalogue lives in the repository at </w:t>
      </w:r>
      <w:r>
        <w:rPr>
          <w:rStyle w:val="SourceText"/>
        </w:rPr>
        <w:t>docs/ERRATA.md</w:t>
      </w:r>
      <w:r>
        <w:rPr/>
        <w:t>. The ones that changed the design, rather than merely fixing a line of code, are below.</w:t>
      </w:r>
    </w:p>
    <w:p>
      <w:pPr>
        <w:pStyle w:val="Heading2"/>
        <w:bidi w:val="0"/>
        <w:jc w:val="start"/>
        <w:rPr/>
      </w:pPr>
      <w:r>
        <w:rPr/>
        <w:t>3.1 The procedure codes were wrong</w:t>
      </w:r>
    </w:p>
    <w:p>
      <w:pPr>
        <w:pStyle w:val="BodyText"/>
        <w:bidi w:val="0"/>
        <w:jc w:val="start"/>
        <w:rPr/>
      </w:pPr>
      <w:r>
        <w:rPr/>
        <w:t>APR-DRG 301 and 302 return nothing in SPARCS; 303 is a lumbar fusion. The APR-DRG v38 classification the data actually uses is:</w:t>
      </w:r>
    </w:p>
    <w:tbl>
      <w:tblPr>
        <w:tblW w:w="6717" w:type="dxa"/>
        <w:jc w:val="start"/>
        <w:tblInd w:w="0" w:type="dxa"/>
        <w:tblLayout w:type="fixed"/>
        <w:tblCellMar>
          <w:top w:w="28" w:type="dxa"/>
          <w:start w:w="28" w:type="dxa"/>
          <w:bottom w:w="28" w:type="dxa"/>
          <w:end w:w="28" w:type="dxa"/>
        </w:tblCellMar>
      </w:tblPr>
      <w:tblGrid>
        <w:gridCol w:w="584"/>
        <w:gridCol w:w="5130"/>
        <w:gridCol w:w="1003"/>
      </w:tblGrid>
      <w:tr>
        <w:trPr/>
        <w:tc>
          <w:tcPr>
            <w:tcW w:w="584" w:type="dxa"/>
            <w:tcBorders/>
            <w:vAlign w:val="center"/>
          </w:tcPr>
          <w:p>
            <w:pPr>
              <w:pStyle w:val="TableHeading"/>
              <w:bidi w:val="0"/>
              <w:ind w:hanging="0" w:start="0" w:end="0"/>
              <w:jc w:val="start"/>
              <w:rPr/>
            </w:pPr>
            <w:r>
              <w:rPr/>
              <w:t>Code</w:t>
            </w:r>
          </w:p>
        </w:tc>
        <w:tc>
          <w:tcPr>
            <w:tcW w:w="5130" w:type="dxa"/>
            <w:tcBorders/>
            <w:vAlign w:val="center"/>
          </w:tcPr>
          <w:p>
            <w:pPr>
              <w:pStyle w:val="TableHeading"/>
              <w:bidi w:val="0"/>
              <w:ind w:hanging="0" w:start="0" w:end="0"/>
              <w:jc w:val="start"/>
              <w:rPr/>
            </w:pPr>
            <w:r>
              <w:rPr/>
              <w:t>Description</w:t>
            </w:r>
          </w:p>
        </w:tc>
        <w:tc>
          <w:tcPr>
            <w:tcW w:w="1003" w:type="dxa"/>
            <w:tcBorders/>
            <w:vAlign w:val="center"/>
          </w:tcPr>
          <w:p>
            <w:pPr>
              <w:pStyle w:val="TableHeading"/>
              <w:suppressLineNumbers/>
              <w:shd w:fill="0F766E" w:val="clear"/>
              <w:bidi w:val="0"/>
              <w:jc w:val="start"/>
              <w:rPr/>
            </w:pPr>
            <w:r>
              <w:rPr/>
              <w:t>In scope?</w:t>
            </w:r>
          </w:p>
        </w:tc>
      </w:tr>
      <w:tr>
        <w:trPr/>
        <w:tc>
          <w:tcPr>
            <w:tcW w:w="584" w:type="dxa"/>
            <w:tcBorders/>
            <w:vAlign w:val="center"/>
          </w:tcPr>
          <w:p>
            <w:pPr>
              <w:pStyle w:val="TableContents"/>
              <w:widowControl w:val="false"/>
              <w:suppressLineNumbers/>
              <w:bidi w:val="0"/>
              <w:jc w:val="start"/>
              <w:rPr/>
            </w:pPr>
            <w:r>
              <w:rPr/>
              <w:t>323</w:t>
            </w:r>
          </w:p>
        </w:tc>
        <w:tc>
          <w:tcPr>
            <w:tcW w:w="5130" w:type="dxa"/>
            <w:tcBorders/>
            <w:vAlign w:val="center"/>
          </w:tcPr>
          <w:p>
            <w:pPr>
              <w:pStyle w:val="TableContents"/>
              <w:widowControl w:val="false"/>
              <w:suppressLineNumbers/>
              <w:bidi w:val="0"/>
              <w:jc w:val="start"/>
              <w:rPr/>
            </w:pPr>
            <w:r>
              <w:rPr/>
              <w:t>NON-ELECTIVE OR COMPLEX HIP JOINT REPLACEMENT</w:t>
            </w:r>
          </w:p>
        </w:tc>
        <w:tc>
          <w:tcPr>
            <w:tcW w:w="1003" w:type="dxa"/>
            <w:tcBorders/>
            <w:vAlign w:val="center"/>
          </w:tcPr>
          <w:p>
            <w:pPr>
              <w:pStyle w:val="TableContents"/>
              <w:widowControl w:val="false"/>
              <w:suppressLineNumbers/>
              <w:bidi w:val="0"/>
              <w:jc w:val="start"/>
              <w:rPr/>
            </w:pPr>
            <w:r>
              <w:rPr/>
              <w:t>No</w:t>
            </w:r>
          </w:p>
        </w:tc>
      </w:tr>
      <w:tr>
        <w:trPr/>
        <w:tc>
          <w:tcPr>
            <w:tcW w:w="584" w:type="dxa"/>
            <w:tcBorders/>
            <w:vAlign w:val="center"/>
          </w:tcPr>
          <w:p>
            <w:pPr>
              <w:pStyle w:val="TableContents"/>
              <w:widowControl w:val="false"/>
              <w:suppressLineNumbers/>
              <w:bidi w:val="0"/>
              <w:jc w:val="start"/>
              <w:rPr/>
            </w:pPr>
            <w:r>
              <w:rPr>
                <w:rStyle w:val="Strong"/>
              </w:rPr>
              <w:t>324</w:t>
            </w:r>
          </w:p>
        </w:tc>
        <w:tc>
          <w:tcPr>
            <w:tcW w:w="5130" w:type="dxa"/>
            <w:tcBorders/>
            <w:vAlign w:val="center"/>
          </w:tcPr>
          <w:p>
            <w:pPr>
              <w:pStyle w:val="TableContents"/>
              <w:widowControl w:val="false"/>
              <w:suppressLineNumbers/>
              <w:bidi w:val="0"/>
              <w:jc w:val="start"/>
              <w:rPr/>
            </w:pPr>
            <w:r>
              <w:rPr>
                <w:rStyle w:val="Strong"/>
              </w:rPr>
              <w:t>ELECTIVE HIP JOINT REPLACEMENT</w:t>
            </w:r>
          </w:p>
        </w:tc>
        <w:tc>
          <w:tcPr>
            <w:tcW w:w="1003" w:type="dxa"/>
            <w:tcBorders/>
            <w:vAlign w:val="center"/>
          </w:tcPr>
          <w:p>
            <w:pPr>
              <w:pStyle w:val="TableContents"/>
              <w:widowControl w:val="false"/>
              <w:suppressLineNumbers/>
              <w:bidi w:val="0"/>
              <w:jc w:val="start"/>
              <w:rPr/>
            </w:pPr>
            <w:r>
              <w:rPr>
                <w:rStyle w:val="Strong"/>
              </w:rPr>
              <w:t>Yes</w:t>
            </w:r>
          </w:p>
        </w:tc>
      </w:tr>
      <w:tr>
        <w:trPr/>
        <w:tc>
          <w:tcPr>
            <w:tcW w:w="584" w:type="dxa"/>
            <w:tcBorders/>
            <w:vAlign w:val="center"/>
          </w:tcPr>
          <w:p>
            <w:pPr>
              <w:pStyle w:val="TableContents"/>
              <w:widowControl w:val="false"/>
              <w:suppressLineNumbers/>
              <w:bidi w:val="0"/>
              <w:jc w:val="start"/>
              <w:rPr/>
            </w:pPr>
            <w:r>
              <w:rPr/>
              <w:t>325</w:t>
            </w:r>
          </w:p>
        </w:tc>
        <w:tc>
          <w:tcPr>
            <w:tcW w:w="5130" w:type="dxa"/>
            <w:tcBorders/>
            <w:vAlign w:val="center"/>
          </w:tcPr>
          <w:p>
            <w:pPr>
              <w:pStyle w:val="TableContents"/>
              <w:widowControl w:val="false"/>
              <w:suppressLineNumbers/>
              <w:bidi w:val="0"/>
              <w:jc w:val="start"/>
              <w:rPr/>
            </w:pPr>
            <w:r>
              <w:rPr/>
              <w:t>NON-ELECTIVE OR COMPLEX KNEE JOINT REPLACEMENT</w:t>
            </w:r>
          </w:p>
        </w:tc>
        <w:tc>
          <w:tcPr>
            <w:tcW w:w="1003" w:type="dxa"/>
            <w:tcBorders/>
            <w:vAlign w:val="center"/>
          </w:tcPr>
          <w:p>
            <w:pPr>
              <w:pStyle w:val="TableContents"/>
              <w:widowControl w:val="false"/>
              <w:suppressLineNumbers/>
              <w:bidi w:val="0"/>
              <w:jc w:val="start"/>
              <w:rPr/>
            </w:pPr>
            <w:r>
              <w:rPr/>
              <w:t>No</w:t>
            </w:r>
          </w:p>
        </w:tc>
      </w:tr>
      <w:tr>
        <w:trPr/>
        <w:tc>
          <w:tcPr>
            <w:tcW w:w="584" w:type="dxa"/>
            <w:tcBorders/>
            <w:vAlign w:val="center"/>
          </w:tcPr>
          <w:p>
            <w:pPr>
              <w:pStyle w:val="TableContents"/>
              <w:widowControl w:val="false"/>
              <w:suppressLineNumbers/>
              <w:bidi w:val="0"/>
              <w:jc w:val="start"/>
              <w:rPr/>
            </w:pPr>
            <w:r>
              <w:rPr>
                <w:rStyle w:val="Strong"/>
              </w:rPr>
              <w:t>326</w:t>
            </w:r>
          </w:p>
        </w:tc>
        <w:tc>
          <w:tcPr>
            <w:tcW w:w="5130" w:type="dxa"/>
            <w:tcBorders/>
            <w:vAlign w:val="center"/>
          </w:tcPr>
          <w:p>
            <w:pPr>
              <w:pStyle w:val="TableContents"/>
              <w:widowControl w:val="false"/>
              <w:suppressLineNumbers/>
              <w:bidi w:val="0"/>
              <w:jc w:val="start"/>
              <w:rPr/>
            </w:pPr>
            <w:r>
              <w:rPr>
                <w:rStyle w:val="Strong"/>
              </w:rPr>
              <w:t>ELECTIVE KNEE JOINT REPLACEMENT</w:t>
            </w:r>
          </w:p>
        </w:tc>
        <w:tc>
          <w:tcPr>
            <w:tcW w:w="1003" w:type="dxa"/>
            <w:tcBorders/>
            <w:vAlign w:val="center"/>
          </w:tcPr>
          <w:p>
            <w:pPr>
              <w:pStyle w:val="TableContents"/>
              <w:widowControl w:val="false"/>
              <w:suppressLineNumbers/>
              <w:bidi w:val="0"/>
              <w:jc w:val="start"/>
              <w:rPr/>
            </w:pPr>
            <w:r>
              <w:rPr>
                <w:rStyle w:val="Strong"/>
              </w:rPr>
              <w:t>Yes</w:t>
            </w:r>
          </w:p>
        </w:tc>
      </w:tr>
    </w:tbl>
    <w:p>
      <w:pPr>
        <w:pStyle w:val="BodyText"/>
        <w:bidi w:val="0"/>
        <w:jc w:val="start"/>
        <w:rPr/>
      </w:pPr>
      <w:r>
        <w:rPr/>
        <w:t>This is a genuine improvement on the original design as well as a correction: 324 and 326 carry the elective distinction in the code itself, so the cohort is defined by the classification system rather than inferred from an admission-type filter.</w:t>
      </w:r>
    </w:p>
    <w:p>
      <w:pPr>
        <w:pStyle w:val="Heading2"/>
        <w:bidi w:val="0"/>
        <w:jc w:val="start"/>
        <w:rPr/>
      </w:pPr>
      <w:r>
        <w:rPr/>
        <w:t>3.2 APR-DRG 470 is not MS-DRG 470</w:t>
      </w:r>
    </w:p>
    <w:p>
      <w:pPr>
        <w:pStyle w:val="BodyText"/>
        <w:bidi w:val="0"/>
        <w:jc w:val="start"/>
        <w:rPr/>
      </w:pPr>
      <w:r>
        <w:rPr/>
        <w:t xml:space="preserve">NYU Langone publishes every DRG line in its price file as </w:t>
      </w:r>
      <w:r>
        <w:rPr>
          <w:rStyle w:val="SourceText"/>
        </w:rPr>
        <w:t>APR470-1</w:t>
      </w:r>
      <w:r>
        <w:rPr/>
        <w:t xml:space="preserve"> through </w:t>
      </w:r>
      <w:r>
        <w:rPr>
          <w:rStyle w:val="SourceText"/>
        </w:rPr>
        <w:t>APR470-4</w:t>
      </w:r>
      <w:r>
        <w:rPr/>
        <w:t xml:space="preserve"> — the suffixes are APR severity subclasses — with a declared code type of merely </w:t>
      </w:r>
      <w:r>
        <w:rPr>
          <w:rStyle w:val="SourceText"/>
        </w:rPr>
        <w:t>DRG</w:t>
      </w:r>
      <w:r>
        <w:rPr/>
        <w:t>. Any matcher looking for "470" reads that as MS-DRG 470 and imports an entirely unrelated procedure's price into the joint-replacement median.</w:t>
      </w:r>
    </w:p>
    <w:p>
      <w:pPr>
        <w:pStyle w:val="BodyText"/>
        <w:bidi w:val="0"/>
        <w:jc w:val="start"/>
        <w:rPr/>
      </w:pPr>
      <w:r>
        <w:rPr/>
        <w:t xml:space="preserve">Billing codes are now resolved to a </w:t>
      </w:r>
      <w:r>
        <w:rPr>
          <w:rStyle w:val="Emphasis"/>
        </w:rPr>
        <w:t>(system, number)</w:t>
      </w:r>
      <w:r>
        <w:rPr/>
        <w:t xml:space="preserve"> pair. The two DRG systems are never pooled, and APR-DRG 324/326 is accepted as a legitimate alternative source of pricing, because it maps to exactly the cohort the clinical side already uses.</w:t>
      </w:r>
    </w:p>
    <w:p>
      <w:pPr>
        <w:pStyle w:val="Heading2"/>
        <w:bidi w:val="0"/>
        <w:jc w:val="start"/>
        <w:rPr/>
      </w:pPr>
      <w:r>
        <w:rPr/>
        <w:t>3.3 Facility identity is not the facility name</w:t>
      </w:r>
    </w:p>
    <w:p>
      <w:pPr>
        <w:pStyle w:val="BodyText"/>
        <w:bidi w:val="0"/>
        <w:jc w:val="start"/>
        <w:rPr/>
      </w:pPr>
      <w:r>
        <w:rPr/>
        <w:t xml:space="preserve">Every facility name changed case between the 2022 and 2024 releases, and some changed form entirely — </w:t>
      </w:r>
      <w:r>
        <w:rPr>
          <w:rStyle w:val="SourceText"/>
        </w:rPr>
        <w:t>New York - Presbyterian/Queens</w:t>
      </w:r>
      <w:r>
        <w:rPr/>
        <w:t xml:space="preserve"> became </w:t>
      </w:r>
      <w:r>
        <w:rPr>
          <w:rStyle w:val="SourceText"/>
        </w:rPr>
        <w:t>NEWYORK-PRESBYTERIAN/QUEENS</w:t>
      </w:r>
      <w:r>
        <w:rPr/>
        <w:t>. Grouping on the name splits one hospital into two half-volume rows, computing both O/E ratios against the wrong denominators and halving the experience modifier.</w:t>
      </w:r>
    </w:p>
    <w:p>
      <w:pPr>
        <w:pStyle w:val="BodyText"/>
        <w:bidi w:val="0"/>
        <w:jc w:val="start"/>
        <w:rPr/>
      </w:pPr>
      <w:r>
        <w:rPr/>
        <w:t>The Permanent Facility Identifier was verified 100 percent populated in both releases, with all 45 of the 2022 facilities present in 2024. Facility metrics, the crosswalk and the master join are now keyed on the PFI, with the display name taken from the most recent year. This is what the original plan recommended; the original code never retrieved the column.</w:t>
      </w:r>
    </w:p>
    <w:p>
      <w:pPr>
        <w:pStyle w:val="Heading2"/>
        <w:bidi w:val="0"/>
        <w:jc w:val="start"/>
        <w:rPr/>
      </w:pPr>
      <w:r>
        <w:rPr/>
        <w:t>3.4 The borough is spelled differently each year</w:t>
      </w:r>
    </w:p>
    <w:p>
      <w:pPr>
        <w:pStyle w:val="BodyText"/>
        <w:bidi w:val="0"/>
        <w:jc w:val="start"/>
        <w:rPr/>
      </w:pPr>
      <w:r>
        <w:rPr>
          <w:rStyle w:val="SourceText"/>
        </w:rPr>
        <w:t>hospital_county</w:t>
      </w:r>
      <w:r>
        <w:rPr/>
        <w:t xml:space="preserve"> is </w:t>
      </w:r>
      <w:r>
        <w:rPr>
          <w:rStyle w:val="SourceText"/>
        </w:rPr>
        <w:t>Manhattan</w:t>
      </w:r>
      <w:r>
        <w:rPr/>
        <w:t xml:space="preserve"> in the 2022 release and </w:t>
      </w:r>
      <w:r>
        <w:rPr>
          <w:rStyle w:val="SourceText"/>
        </w:rPr>
        <w:t>New York</w:t>
      </w:r>
      <w:r>
        <w:rPr/>
        <w:t xml:space="preserve"> in 2024. A single-spelling county list silently drops an entire borough from one year. The filter now accepts both, and additionally matches the service-area column — which is </w:t>
      </w:r>
      <w:r>
        <w:rPr>
          <w:rStyle w:val="SourceText"/>
        </w:rPr>
        <w:t>New York City</w:t>
      </w:r>
      <w:r>
        <w:rPr/>
        <w:t xml:space="preserve"> in both years, but is named </w:t>
      </w:r>
      <w:r>
        <w:rPr>
          <w:rStyle w:val="SourceText"/>
        </w:rPr>
        <w:t>hospital_service_area</w:t>
      </w:r>
      <w:r>
        <w:rPr/>
        <w:t xml:space="preserve"> in 2022 and </w:t>
      </w:r>
      <w:r>
        <w:rPr>
          <w:rStyle w:val="SourceText"/>
        </w:rPr>
        <w:t>health_service_area</w:t>
      </w:r>
      <w:r>
        <w:rPr/>
        <w:t xml:space="preserve"> in 2024.</w:t>
      </w:r>
    </w:p>
    <w:p>
      <w:pPr>
        <w:pStyle w:val="Heading2"/>
        <w:bidi w:val="0"/>
        <w:jc w:val="start"/>
        <w:rPr/>
      </w:pPr>
      <w:r>
        <w:rPr/>
        <w:t>3.5 Defects that would have produced confident, wrong numbers</w:t>
      </w:r>
    </w:p>
    <w:tbl>
      <w:tblPr>
        <w:tblW w:w="9360" w:type="dxa"/>
        <w:jc w:val="start"/>
        <w:tblInd w:w="0" w:type="dxa"/>
        <w:tblLayout w:type="fixed"/>
        <w:tblCellMar>
          <w:top w:w="28" w:type="dxa"/>
          <w:start w:w="28" w:type="dxa"/>
          <w:bottom w:w="28" w:type="dxa"/>
          <w:end w:w="28" w:type="dxa"/>
        </w:tblCellMar>
      </w:tblPr>
      <w:tblGrid>
        <w:gridCol w:w="2966"/>
        <w:gridCol w:w="6394"/>
      </w:tblGrid>
      <w:tr>
        <w:trPr/>
        <w:tc>
          <w:tcPr>
            <w:tcW w:w="2966" w:type="dxa"/>
            <w:tcBorders/>
            <w:vAlign w:val="center"/>
          </w:tcPr>
          <w:p>
            <w:pPr>
              <w:pStyle w:val="TableHeading"/>
              <w:bidi w:val="0"/>
              <w:ind w:hanging="0" w:start="0" w:end="0"/>
              <w:jc w:val="start"/>
              <w:rPr/>
            </w:pPr>
            <w:r>
              <w:rPr/>
              <w:t>Defect</w:t>
            </w:r>
          </w:p>
        </w:tc>
        <w:tc>
          <w:tcPr>
            <w:tcW w:w="6394" w:type="dxa"/>
            <w:tcBorders/>
            <w:vAlign w:val="center"/>
          </w:tcPr>
          <w:p>
            <w:pPr>
              <w:pStyle w:val="TableHeading"/>
              <w:suppressLineNumbers/>
              <w:shd w:fill="0F766E" w:val="clear"/>
              <w:bidi w:val="0"/>
              <w:jc w:val="start"/>
              <w:rPr/>
            </w:pPr>
            <w:r>
              <w:rPr/>
              <w:t>Consequence had it shipped</w:t>
            </w:r>
          </w:p>
        </w:tc>
      </w:tr>
      <w:tr>
        <w:trPr/>
        <w:tc>
          <w:tcPr>
            <w:tcW w:w="2966" w:type="dxa"/>
            <w:tcBorders/>
            <w:vAlign w:val="center"/>
          </w:tcPr>
          <w:p>
            <w:pPr>
              <w:pStyle w:val="TableContents"/>
              <w:widowControl w:val="false"/>
              <w:suppressLineNumbers/>
              <w:bidi w:val="0"/>
              <w:jc w:val="start"/>
              <w:rPr/>
            </w:pPr>
            <w:r>
              <w:rPr/>
              <w:t>Disposition matched on the substring "Home"</w:t>
            </w:r>
          </w:p>
        </w:tc>
        <w:tc>
          <w:tcPr>
            <w:tcW w:w="6394" w:type="dxa"/>
            <w:tcBorders/>
            <w:vAlign w:val="center"/>
          </w:tcPr>
          <w:p>
            <w:pPr>
              <w:pStyle w:val="TableContents"/>
              <w:widowControl w:val="false"/>
              <w:suppressLineNumbers/>
              <w:bidi w:val="0"/>
              <w:jc w:val="start"/>
              <w:rPr/>
            </w:pPr>
            <w:r>
              <w:rPr/>
              <w:t>Skilled nursing and hospice discharges scored as clinical successes.</w:t>
            </w:r>
          </w:p>
        </w:tc>
      </w:tr>
      <w:tr>
        <w:trPr/>
        <w:tc>
          <w:tcPr>
            <w:tcW w:w="2966" w:type="dxa"/>
            <w:tcBorders/>
            <w:vAlign w:val="center"/>
          </w:tcPr>
          <w:p>
            <w:pPr>
              <w:pStyle w:val="TableContents"/>
              <w:widowControl w:val="false"/>
              <w:suppressLineNumbers/>
              <w:bidi w:val="0"/>
              <w:jc w:val="start"/>
              <w:rPr/>
            </w:pPr>
            <w:r>
              <w:rPr/>
              <w:t>Pricing joined at the wrong grain</w:t>
            </w:r>
          </w:p>
        </w:tc>
        <w:tc>
          <w:tcPr>
            <w:tcW w:w="6394" w:type="dxa"/>
            <w:tcBorders/>
            <w:vAlign w:val="center"/>
          </w:tcPr>
          <w:p>
            <w:pPr>
              <w:pStyle w:val="TableContents"/>
              <w:widowControl w:val="false"/>
              <w:suppressLineNumbers/>
              <w:bidi w:val="0"/>
              <w:jc w:val="start"/>
              <w:rPr/>
            </w:pPr>
            <w:r>
              <w:rPr/>
              <w:t>Facility rows multiplied per billing code, corrupting the market median.</w:t>
            </w:r>
          </w:p>
        </w:tc>
      </w:tr>
      <w:tr>
        <w:trPr/>
        <w:tc>
          <w:tcPr>
            <w:tcW w:w="2966" w:type="dxa"/>
            <w:tcBorders/>
            <w:vAlign w:val="center"/>
          </w:tcPr>
          <w:p>
            <w:pPr>
              <w:pStyle w:val="TableContents"/>
              <w:widowControl w:val="false"/>
              <w:suppressLineNumbers/>
              <w:bidi w:val="0"/>
              <w:jc w:val="start"/>
              <w:rPr/>
            </w:pPr>
            <w:r>
              <w:rPr/>
              <w:t>Billing code matched as a substring</w:t>
            </w:r>
          </w:p>
        </w:tc>
        <w:tc>
          <w:tcPr>
            <w:tcW w:w="6394" w:type="dxa"/>
            <w:tcBorders/>
            <w:vAlign w:val="center"/>
          </w:tcPr>
          <w:p>
            <w:pPr>
              <w:pStyle w:val="TableContents"/>
              <w:widowControl w:val="false"/>
              <w:suppressLineNumbers/>
              <w:bidi w:val="0"/>
              <w:jc w:val="start"/>
              <w:rPr/>
            </w:pPr>
            <w:r>
              <w:rPr/>
              <w:t>Unrelated codes, including a liver procedure, entered the price median.</w:t>
            </w:r>
          </w:p>
        </w:tc>
      </w:tr>
      <w:tr>
        <w:trPr/>
        <w:tc>
          <w:tcPr>
            <w:tcW w:w="2966" w:type="dxa"/>
            <w:tcBorders/>
            <w:vAlign w:val="center"/>
          </w:tcPr>
          <w:p>
            <w:pPr>
              <w:pStyle w:val="TableContents"/>
              <w:widowControl w:val="false"/>
              <w:suppressLineNumbers/>
              <w:bidi w:val="0"/>
              <w:jc w:val="start"/>
              <w:rPr/>
            </w:pPr>
            <w:r>
              <w:rPr/>
              <w:t>Negotiated column selected by loose match</w:t>
            </w:r>
          </w:p>
        </w:tc>
        <w:tc>
          <w:tcPr>
            <w:tcW w:w="6394" w:type="dxa"/>
            <w:tcBorders/>
            <w:vAlign w:val="center"/>
          </w:tcPr>
          <w:p>
            <w:pPr>
              <w:pStyle w:val="TableContents"/>
              <w:widowControl w:val="false"/>
              <w:suppressLineNumbers/>
              <w:bidi w:val="0"/>
              <w:jc w:val="start"/>
              <w:rPr/>
            </w:pPr>
            <w:r>
              <w:rPr/>
              <w:t xml:space="preserve">A negotiated </w:t>
            </w:r>
            <w:r>
              <w:rPr>
                <w:rStyle w:val="Emphasis"/>
              </w:rPr>
              <w:t>percentage</w:t>
            </w:r>
            <w:r>
              <w:rPr/>
              <w:t xml:space="preserve"> written into a dollar column as a $65 knee replacement.</w:t>
            </w:r>
          </w:p>
        </w:tc>
      </w:tr>
      <w:tr>
        <w:trPr/>
        <w:tc>
          <w:tcPr>
            <w:tcW w:w="2966" w:type="dxa"/>
            <w:tcBorders/>
            <w:vAlign w:val="center"/>
          </w:tcPr>
          <w:p>
            <w:pPr>
              <w:pStyle w:val="TableContents"/>
              <w:widowControl w:val="false"/>
              <w:suppressLineNumbers/>
              <w:bidi w:val="0"/>
              <w:jc w:val="start"/>
              <w:rPr/>
            </w:pPr>
            <w:r>
              <w:rPr/>
              <w:t>Pandas index misalignment</w:t>
            </w:r>
          </w:p>
        </w:tc>
        <w:tc>
          <w:tcPr>
            <w:tcW w:w="6394" w:type="dxa"/>
            <w:tcBorders/>
            <w:vAlign w:val="center"/>
          </w:tcPr>
          <w:p>
            <w:pPr>
              <w:pStyle w:val="TableContents"/>
              <w:widowControl w:val="false"/>
              <w:suppressLineNumbers/>
              <w:bidi w:val="0"/>
              <w:jc w:val="start"/>
              <w:rPr/>
            </w:pPr>
            <w:r>
              <w:rPr/>
              <w:t>Description, payer and both price columns silently null after the first chunk, while the script reported success.</w:t>
            </w:r>
          </w:p>
        </w:tc>
      </w:tr>
      <w:tr>
        <w:trPr/>
        <w:tc>
          <w:tcPr>
            <w:tcW w:w="2966" w:type="dxa"/>
            <w:tcBorders/>
            <w:vAlign w:val="center"/>
          </w:tcPr>
          <w:p>
            <w:pPr>
              <w:pStyle w:val="TableContents"/>
              <w:widowControl w:val="false"/>
              <w:suppressLineNumbers/>
              <w:bidi w:val="0"/>
              <w:jc w:val="start"/>
              <w:rPr/>
            </w:pPr>
            <w:r>
              <w:rPr/>
              <w:t>Volume guard nullified single-case sites</w:t>
            </w:r>
          </w:p>
        </w:tc>
        <w:tc>
          <w:tcPr>
            <w:tcW w:w="6394" w:type="dxa"/>
            <w:tcBorders/>
            <w:vAlign w:val="center"/>
          </w:tcPr>
          <w:p>
            <w:pPr>
              <w:pStyle w:val="TableContents"/>
              <w:widowControl w:val="false"/>
              <w:suppressLineNumbers/>
              <w:bidi w:val="0"/>
              <w:jc w:val="start"/>
              <w:rPr/>
            </w:pPr>
            <w:r>
              <w:rPr/>
              <w:t>Low-volume facilities scored null rather than low, vanishing from the ranking.</w:t>
            </w:r>
          </w:p>
        </w:tc>
      </w:tr>
      <w:tr>
        <w:trPr/>
        <w:tc>
          <w:tcPr>
            <w:tcW w:w="2966" w:type="dxa"/>
            <w:tcBorders/>
            <w:vAlign w:val="center"/>
          </w:tcPr>
          <w:p>
            <w:pPr>
              <w:pStyle w:val="TableContents"/>
              <w:widowControl w:val="false"/>
              <w:suppressLineNumbers/>
              <w:bidi w:val="0"/>
              <w:jc w:val="start"/>
              <w:rPr/>
            </w:pPr>
            <w:r>
              <w:rPr/>
              <w:t>A validation that validated nothing</w:t>
            </w:r>
          </w:p>
        </w:tc>
        <w:tc>
          <w:tcPr>
            <w:tcW w:w="6394" w:type="dxa"/>
            <w:tcBorders/>
            <w:vAlign w:val="center"/>
          </w:tcPr>
          <w:p>
            <w:pPr>
              <w:pStyle w:val="TableContents"/>
              <w:widowControl w:val="false"/>
              <w:suppressLineNumbers/>
              <w:bidi w:val="0"/>
              <w:jc w:val="start"/>
              <w:rPr/>
            </w:pPr>
            <w:r>
              <w:rPr/>
              <w:t>The DRG filter probe accepted a query that matched zero rows, which is precisely how the wrong codes survived.</w:t>
            </w:r>
          </w:p>
        </w:tc>
      </w:tr>
    </w:tbl>
    <w:p>
      <w:pPr>
        <w:pStyle w:val="BodyText"/>
        <w:bidi w:val="0"/>
        <w:jc w:val="start"/>
        <w:rPr/>
      </w:pPr>
      <w:r>
        <w:rPr/>
        <w:t xml:space="preserve">Four further defects were fatal rather than silent: </w:t>
      </w:r>
      <w:r>
        <w:rPr>
          <w:rStyle w:val="SourceText"/>
        </w:rPr>
        <w:t>round()</w:t>
      </w:r>
      <w:r>
        <w:rPr/>
        <w:t xml:space="preserve"> applied to a double-precision value (no such function in PostgreSQL, so the scoring table could never be built), an unguarded length-of-stay cast, a categorical field typed as an integer, and the assumption that a CMS CSV header sits on row one when the template puts it on row three.</w:t>
      </w:r>
    </w:p>
    <w:p>
      <w:pPr>
        <w:pStyle w:val="Heading1newpage"/>
        <w:bidi w:val="0"/>
        <w:jc w:val="start"/>
        <w:rPr/>
      </w:pPr>
      <w:r>
        <w:rPr/>
        <w:t>4. What the Live Data Actually Looks Like</w:t>
      </w:r>
    </w:p>
    <w:p>
      <w:pPr>
        <w:pStyle w:val="BodyText"/>
        <w:bidi w:val="0"/>
        <w:jc w:val="start"/>
        <w:rPr/>
      </w:pPr>
      <w:r>
        <w:rPr/>
        <w:t>Every figure below was measured, not estimated.</w:t>
      </w:r>
    </w:p>
    <w:p>
      <w:pPr>
        <w:pStyle w:val="Heading2"/>
        <w:bidi w:val="0"/>
        <w:jc w:val="start"/>
        <w:rPr/>
      </w:pPr>
      <w:r>
        <w:rPr/>
        <w:t>4.1 Clinical cohort</w:t>
      </w:r>
    </w:p>
    <w:tbl>
      <w:tblPr>
        <w:tblW w:w="5485" w:type="dxa"/>
        <w:jc w:val="start"/>
        <w:tblInd w:w="0" w:type="dxa"/>
        <w:tblLayout w:type="fixed"/>
        <w:tblCellMar>
          <w:top w:w="28" w:type="dxa"/>
          <w:start w:w="28" w:type="dxa"/>
          <w:bottom w:w="28" w:type="dxa"/>
          <w:end w:w="28" w:type="dxa"/>
        </w:tblCellMar>
      </w:tblPr>
      <w:tblGrid>
        <w:gridCol w:w="4000"/>
        <w:gridCol w:w="720"/>
        <w:gridCol w:w="765"/>
      </w:tblGrid>
      <w:tr>
        <w:trPr/>
        <w:tc>
          <w:tcPr>
            <w:tcW w:w="4000" w:type="dxa"/>
            <w:tcBorders/>
            <w:vAlign w:val="center"/>
          </w:tcPr>
          <w:p>
            <w:pPr>
              <w:pStyle w:val="TableHeading"/>
              <w:bidi w:val="0"/>
              <w:ind w:hanging="0" w:start="0" w:end="0"/>
              <w:jc w:val="start"/>
              <w:rPr/>
            </w:pPr>
            <w:r>
              <w:rPr/>
              <w:t>Measure</w:t>
            </w:r>
          </w:p>
        </w:tc>
        <w:tc>
          <w:tcPr>
            <w:tcW w:w="720" w:type="dxa"/>
            <w:tcBorders/>
            <w:vAlign w:val="center"/>
          </w:tcPr>
          <w:p>
            <w:pPr>
              <w:pStyle w:val="TableHeading"/>
              <w:bidi w:val="0"/>
              <w:ind w:hanging="0" w:start="0" w:end="0"/>
              <w:jc w:val="start"/>
              <w:rPr/>
            </w:pPr>
            <w:r>
              <w:rPr/>
              <w:t>2022</w:t>
            </w:r>
          </w:p>
        </w:tc>
        <w:tc>
          <w:tcPr>
            <w:tcW w:w="765" w:type="dxa"/>
            <w:tcBorders/>
            <w:vAlign w:val="center"/>
          </w:tcPr>
          <w:p>
            <w:pPr>
              <w:pStyle w:val="TableHeading"/>
              <w:suppressLineNumbers/>
              <w:shd w:fill="0F766E" w:val="clear"/>
              <w:bidi w:val="0"/>
              <w:jc w:val="start"/>
              <w:rPr/>
            </w:pPr>
            <w:r>
              <w:rPr/>
              <w:t>2024</w:t>
            </w:r>
          </w:p>
        </w:tc>
      </w:tr>
      <w:tr>
        <w:trPr/>
        <w:tc>
          <w:tcPr>
            <w:tcW w:w="4000" w:type="dxa"/>
            <w:tcBorders/>
            <w:vAlign w:val="center"/>
          </w:tcPr>
          <w:p>
            <w:pPr>
              <w:pStyle w:val="TableContents"/>
              <w:widowControl w:val="false"/>
              <w:suppressLineNumbers/>
              <w:bidi w:val="0"/>
              <w:jc w:val="start"/>
              <w:rPr/>
            </w:pPr>
            <w:r>
              <w:rPr/>
              <w:t>Statewide elective hip + knee replacements</w:t>
            </w:r>
          </w:p>
        </w:tc>
        <w:tc>
          <w:tcPr>
            <w:tcW w:w="720" w:type="dxa"/>
            <w:tcBorders/>
            <w:vAlign w:val="center"/>
          </w:tcPr>
          <w:p>
            <w:pPr>
              <w:pStyle w:val="TableContents"/>
              <w:widowControl w:val="false"/>
              <w:suppressLineNumbers/>
              <w:bidi w:val="0"/>
              <w:jc w:val="start"/>
              <w:rPr/>
            </w:pPr>
            <w:r>
              <w:rPr/>
              <w:t>30,067</w:t>
            </w:r>
          </w:p>
        </w:tc>
        <w:tc>
          <w:tcPr>
            <w:tcW w:w="765" w:type="dxa"/>
            <w:tcBorders/>
            <w:vAlign w:val="center"/>
          </w:tcPr>
          <w:p>
            <w:pPr>
              <w:pStyle w:val="TableContents"/>
              <w:widowControl w:val="false"/>
              <w:suppressLineNumbers/>
              <w:bidi w:val="0"/>
              <w:jc w:val="start"/>
              <w:rPr/>
            </w:pPr>
            <w:r>
              <w:rPr/>
              <w:t>26,980</w:t>
            </w:r>
          </w:p>
        </w:tc>
      </w:tr>
      <w:tr>
        <w:trPr/>
        <w:tc>
          <w:tcPr>
            <w:tcW w:w="4000" w:type="dxa"/>
            <w:tcBorders/>
            <w:vAlign w:val="center"/>
          </w:tcPr>
          <w:p>
            <w:pPr>
              <w:pStyle w:val="TableContents"/>
              <w:widowControl w:val="false"/>
              <w:suppressLineNumbers/>
              <w:bidi w:val="0"/>
              <w:jc w:val="start"/>
              <w:rPr/>
            </w:pPr>
            <w:r>
              <w:rPr/>
              <w:t>NYC five-borough discharges</w:t>
            </w:r>
          </w:p>
        </w:tc>
        <w:tc>
          <w:tcPr>
            <w:tcW w:w="720" w:type="dxa"/>
            <w:tcBorders/>
            <w:vAlign w:val="center"/>
          </w:tcPr>
          <w:p>
            <w:pPr>
              <w:pStyle w:val="TableContents"/>
              <w:widowControl w:val="false"/>
              <w:suppressLineNumbers/>
              <w:bidi w:val="0"/>
              <w:jc w:val="start"/>
              <w:rPr/>
            </w:pPr>
            <w:r>
              <w:rPr>
                <w:rStyle w:val="Strong"/>
              </w:rPr>
              <w:t>16,679</w:t>
            </w:r>
          </w:p>
        </w:tc>
        <w:tc>
          <w:tcPr>
            <w:tcW w:w="765" w:type="dxa"/>
            <w:tcBorders/>
            <w:vAlign w:val="center"/>
          </w:tcPr>
          <w:p>
            <w:pPr>
              <w:pStyle w:val="TableContents"/>
              <w:widowControl w:val="false"/>
              <w:suppressLineNumbers/>
              <w:bidi w:val="0"/>
              <w:jc w:val="start"/>
              <w:rPr/>
            </w:pPr>
            <w:r>
              <w:rPr>
                <w:rStyle w:val="Strong"/>
              </w:rPr>
              <w:t>14,661</w:t>
            </w:r>
          </w:p>
        </w:tc>
      </w:tr>
      <w:tr>
        <w:trPr/>
        <w:tc>
          <w:tcPr>
            <w:tcW w:w="4000" w:type="dxa"/>
            <w:tcBorders/>
            <w:vAlign w:val="center"/>
          </w:tcPr>
          <w:p>
            <w:pPr>
              <w:pStyle w:val="TableContents"/>
              <w:widowControl w:val="false"/>
              <w:suppressLineNumbers/>
              <w:bidi w:val="0"/>
              <w:jc w:val="start"/>
              <w:rPr/>
            </w:pPr>
            <w:r>
              <w:rPr/>
              <w:t>NYC facilities performing the procedure</w:t>
            </w:r>
          </w:p>
        </w:tc>
        <w:tc>
          <w:tcPr>
            <w:tcW w:w="720" w:type="dxa"/>
            <w:tcBorders/>
            <w:vAlign w:val="center"/>
          </w:tcPr>
          <w:p>
            <w:pPr>
              <w:pStyle w:val="TableContents"/>
              <w:widowControl w:val="false"/>
              <w:suppressLineNumbers/>
              <w:bidi w:val="0"/>
              <w:jc w:val="start"/>
              <w:rPr/>
            </w:pPr>
            <w:r>
              <w:rPr/>
              <w:t>45</w:t>
            </w:r>
          </w:p>
        </w:tc>
        <w:tc>
          <w:tcPr>
            <w:tcW w:w="765" w:type="dxa"/>
            <w:tcBorders/>
            <w:vAlign w:val="center"/>
          </w:tcPr>
          <w:p>
            <w:pPr>
              <w:pStyle w:val="TableContents"/>
              <w:widowControl w:val="false"/>
              <w:suppressLineNumbers/>
              <w:bidi w:val="0"/>
              <w:jc w:val="start"/>
              <w:rPr/>
            </w:pPr>
            <w:r>
              <w:rPr/>
              <w:t>47</w:t>
            </w:r>
          </w:p>
        </w:tc>
      </w:tr>
      <w:tr>
        <w:trPr/>
        <w:tc>
          <w:tcPr>
            <w:tcW w:w="4000" w:type="dxa"/>
            <w:tcBorders/>
            <w:vAlign w:val="center"/>
          </w:tcPr>
          <w:p>
            <w:pPr>
              <w:pStyle w:val="TableContents"/>
              <w:widowControl w:val="false"/>
              <w:suppressLineNumbers/>
              <w:bidi w:val="0"/>
              <w:jc w:val="start"/>
              <w:rPr/>
            </w:pPr>
            <w:r>
              <w:rPr/>
              <w:t>Facilities clearing the volume floor of 10</w:t>
            </w:r>
          </w:p>
        </w:tc>
        <w:tc>
          <w:tcPr>
            <w:tcW w:w="720" w:type="dxa"/>
            <w:tcBorders/>
            <w:vAlign w:val="center"/>
          </w:tcPr>
          <w:p>
            <w:pPr>
              <w:pStyle w:val="TableContents"/>
              <w:widowControl w:val="false"/>
              <w:suppressLineNumbers/>
              <w:bidi w:val="0"/>
              <w:jc w:val="start"/>
              <w:rPr/>
            </w:pPr>
            <w:r>
              <w:rPr/>
              <w:t>40</w:t>
            </w:r>
          </w:p>
        </w:tc>
        <w:tc>
          <w:tcPr>
            <w:tcW w:w="765" w:type="dxa"/>
            <w:tcBorders/>
            <w:vAlign w:val="center"/>
          </w:tcPr>
          <w:p>
            <w:pPr>
              <w:pStyle w:val="TableContents"/>
              <w:widowControl w:val="false"/>
              <w:suppressLineNumbers/>
              <w:bidi w:val="0"/>
              <w:jc w:val="start"/>
              <w:rPr/>
            </w:pPr>
            <w:r>
              <w:rPr/>
              <w:t>41</w:t>
            </w:r>
          </w:p>
        </w:tc>
      </w:tr>
      <w:tr>
        <w:trPr/>
        <w:tc>
          <w:tcPr>
            <w:tcW w:w="4000" w:type="dxa"/>
            <w:tcBorders/>
            <w:vAlign w:val="center"/>
          </w:tcPr>
          <w:p>
            <w:pPr>
              <w:pStyle w:val="TableContents"/>
              <w:widowControl w:val="false"/>
              <w:suppressLineNumbers/>
              <w:bidi w:val="0"/>
              <w:jc w:val="start"/>
              <w:rPr/>
            </w:pPr>
            <w:r>
              <w:rPr/>
              <w:t xml:space="preserve">Coded </w:t>
            </w:r>
            <w:r>
              <w:rPr>
                <w:rStyle w:val="SourceText"/>
              </w:rPr>
              <w:t>type_of_admission = Elective</w:t>
            </w:r>
          </w:p>
        </w:tc>
        <w:tc>
          <w:tcPr>
            <w:tcW w:w="720" w:type="dxa"/>
            <w:tcBorders/>
            <w:vAlign w:val="center"/>
          </w:tcPr>
          <w:p>
            <w:pPr>
              <w:pStyle w:val="TableContents"/>
              <w:widowControl w:val="false"/>
              <w:suppressLineNumbers/>
              <w:bidi w:val="0"/>
              <w:jc w:val="start"/>
              <w:rPr/>
            </w:pPr>
            <w:r>
              <w:rPr/>
              <w:t>93.5%</w:t>
            </w:r>
          </w:p>
        </w:tc>
        <w:tc>
          <w:tcPr>
            <w:tcW w:w="765" w:type="dxa"/>
            <w:tcBorders/>
            <w:vAlign w:val="center"/>
          </w:tcPr>
          <w:p>
            <w:pPr>
              <w:pStyle w:val="TableContents"/>
              <w:widowControl w:val="false"/>
              <w:suppressLineNumbers/>
              <w:bidi w:val="0"/>
              <w:jc w:val="start"/>
              <w:rPr/>
            </w:pPr>
            <w:r>
              <w:rPr/>
              <w:t>85.3%</w:t>
            </w:r>
          </w:p>
        </w:tc>
      </w:tr>
    </w:tbl>
    <w:p>
      <w:pPr>
        <w:pStyle w:val="BodyText"/>
        <w:bidi w:val="0"/>
        <w:jc w:val="start"/>
        <w:rPr/>
      </w:pPr>
      <w:r>
        <w:rPr/>
        <w:t>Severity distribution is heavily weighted to the least complex tier — roughly 19,700 of 30,067 statewide discharges at severity 1 in 2022, and only 99 at severity 4 — which is exactly what an elective cohort should look like, and confirms the scope is behaving as intended.</w:t>
      </w:r>
    </w:p>
    <w:p>
      <w:pPr>
        <w:pStyle w:val="Heading2"/>
        <w:bidi w:val="0"/>
        <w:jc w:val="start"/>
        <w:rPr/>
      </w:pPr>
      <w:r>
        <w:rPr/>
        <w:t>4.2 The market is concentrated</w:t>
      </w:r>
    </w:p>
    <w:p>
      <w:pPr>
        <w:pStyle w:val="BodyText"/>
        <w:bidi w:val="0"/>
        <w:jc w:val="start"/>
        <w:rPr/>
      </w:pPr>
      <w:r>
        <w:rPr/>
        <w:t>Top NYC facilities by elective joint replacement volume (2022):</w:t>
      </w:r>
    </w:p>
    <w:tbl>
      <w:tblPr>
        <w:tblW w:w="4885" w:type="dxa"/>
        <w:jc w:val="start"/>
        <w:tblInd w:w="0" w:type="dxa"/>
        <w:tblLayout w:type="fixed"/>
        <w:tblCellMar>
          <w:top w:w="28" w:type="dxa"/>
          <w:start w:w="28" w:type="dxa"/>
          <w:bottom w:w="28" w:type="dxa"/>
          <w:end w:w="28" w:type="dxa"/>
        </w:tblCellMar>
      </w:tblPr>
      <w:tblGrid>
        <w:gridCol w:w="3754"/>
        <w:gridCol w:w="1131"/>
      </w:tblGrid>
      <w:tr>
        <w:trPr/>
        <w:tc>
          <w:tcPr>
            <w:tcW w:w="3754" w:type="dxa"/>
            <w:tcBorders/>
            <w:vAlign w:val="center"/>
          </w:tcPr>
          <w:p>
            <w:pPr>
              <w:pStyle w:val="TableHeading"/>
              <w:bidi w:val="0"/>
              <w:ind w:hanging="0" w:start="0" w:end="0"/>
              <w:jc w:val="start"/>
              <w:rPr/>
            </w:pPr>
            <w:r>
              <w:rPr/>
              <w:t>Facility</w:t>
            </w:r>
          </w:p>
        </w:tc>
        <w:tc>
          <w:tcPr>
            <w:tcW w:w="1131" w:type="dxa"/>
            <w:tcBorders/>
            <w:vAlign w:val="center"/>
          </w:tcPr>
          <w:p>
            <w:pPr>
              <w:pStyle w:val="TableHeading"/>
              <w:suppressLineNumbers/>
              <w:shd w:fill="0F766E" w:val="clear"/>
              <w:bidi w:val="0"/>
              <w:jc w:val="start"/>
              <w:rPr/>
            </w:pPr>
            <w:r>
              <w:rPr/>
              <w:t>Discharges</w:t>
            </w:r>
          </w:p>
        </w:tc>
      </w:tr>
      <w:tr>
        <w:trPr/>
        <w:tc>
          <w:tcPr>
            <w:tcW w:w="3754" w:type="dxa"/>
            <w:tcBorders/>
            <w:vAlign w:val="center"/>
          </w:tcPr>
          <w:p>
            <w:pPr>
              <w:pStyle w:val="TableContents"/>
              <w:widowControl w:val="false"/>
              <w:suppressLineNumbers/>
              <w:bidi w:val="0"/>
              <w:jc w:val="start"/>
              <w:rPr/>
            </w:pPr>
            <w:r>
              <w:rPr/>
              <w:t>Hospital for Special Surgery</w:t>
            </w:r>
          </w:p>
        </w:tc>
        <w:tc>
          <w:tcPr>
            <w:tcW w:w="1131" w:type="dxa"/>
            <w:tcBorders/>
            <w:vAlign w:val="center"/>
          </w:tcPr>
          <w:p>
            <w:pPr>
              <w:pStyle w:val="TableContents"/>
              <w:widowControl w:val="false"/>
              <w:suppressLineNumbers/>
              <w:bidi w:val="0"/>
              <w:jc w:val="start"/>
              <w:rPr/>
            </w:pPr>
            <w:r>
              <w:rPr/>
              <w:t>6,155</w:t>
            </w:r>
          </w:p>
        </w:tc>
      </w:tr>
      <w:tr>
        <w:trPr/>
        <w:tc>
          <w:tcPr>
            <w:tcW w:w="3754" w:type="dxa"/>
            <w:tcBorders/>
            <w:vAlign w:val="center"/>
          </w:tcPr>
          <w:p>
            <w:pPr>
              <w:pStyle w:val="TableContents"/>
              <w:widowControl w:val="false"/>
              <w:suppressLineNumbers/>
              <w:bidi w:val="0"/>
              <w:jc w:val="start"/>
              <w:rPr/>
            </w:pPr>
            <w:r>
              <w:rPr/>
              <w:t>NYU Langone Orthopedic Hospital</w:t>
            </w:r>
          </w:p>
        </w:tc>
        <w:tc>
          <w:tcPr>
            <w:tcW w:w="1131" w:type="dxa"/>
            <w:tcBorders/>
            <w:vAlign w:val="center"/>
          </w:tcPr>
          <w:p>
            <w:pPr>
              <w:pStyle w:val="TableContents"/>
              <w:widowControl w:val="false"/>
              <w:suppressLineNumbers/>
              <w:bidi w:val="0"/>
              <w:jc w:val="start"/>
              <w:rPr/>
            </w:pPr>
            <w:r>
              <w:rPr/>
              <w:t>1,930</w:t>
            </w:r>
          </w:p>
        </w:tc>
      </w:tr>
      <w:tr>
        <w:trPr/>
        <w:tc>
          <w:tcPr>
            <w:tcW w:w="3754" w:type="dxa"/>
            <w:tcBorders/>
            <w:vAlign w:val="center"/>
          </w:tcPr>
          <w:p>
            <w:pPr>
              <w:pStyle w:val="TableContents"/>
              <w:widowControl w:val="false"/>
              <w:suppressLineNumbers/>
              <w:bidi w:val="0"/>
              <w:jc w:val="start"/>
              <w:rPr/>
            </w:pPr>
            <w:r>
              <w:rPr/>
              <w:t>Montefiore Medical Center — Wakefield</w:t>
            </w:r>
          </w:p>
        </w:tc>
        <w:tc>
          <w:tcPr>
            <w:tcW w:w="1131" w:type="dxa"/>
            <w:tcBorders/>
            <w:vAlign w:val="center"/>
          </w:tcPr>
          <w:p>
            <w:pPr>
              <w:pStyle w:val="TableContents"/>
              <w:widowControl w:val="false"/>
              <w:suppressLineNumbers/>
              <w:bidi w:val="0"/>
              <w:jc w:val="start"/>
              <w:rPr/>
            </w:pPr>
            <w:r>
              <w:rPr/>
              <w:t>1,720</w:t>
            </w:r>
          </w:p>
        </w:tc>
      </w:tr>
      <w:tr>
        <w:trPr/>
        <w:tc>
          <w:tcPr>
            <w:tcW w:w="3754" w:type="dxa"/>
            <w:tcBorders/>
            <w:vAlign w:val="center"/>
          </w:tcPr>
          <w:p>
            <w:pPr>
              <w:pStyle w:val="TableContents"/>
              <w:widowControl w:val="false"/>
              <w:suppressLineNumbers/>
              <w:bidi w:val="0"/>
              <w:jc w:val="start"/>
              <w:rPr/>
            </w:pPr>
            <w:r>
              <w:rPr/>
              <w:t>NewYork-Presbyterian / Queens</w:t>
            </w:r>
          </w:p>
        </w:tc>
        <w:tc>
          <w:tcPr>
            <w:tcW w:w="1131" w:type="dxa"/>
            <w:tcBorders/>
            <w:vAlign w:val="center"/>
          </w:tcPr>
          <w:p>
            <w:pPr>
              <w:pStyle w:val="TableContents"/>
              <w:widowControl w:val="false"/>
              <w:suppressLineNumbers/>
              <w:bidi w:val="0"/>
              <w:jc w:val="start"/>
              <w:rPr/>
            </w:pPr>
            <w:r>
              <w:rPr/>
              <w:t>937</w:t>
            </w:r>
          </w:p>
        </w:tc>
      </w:tr>
      <w:tr>
        <w:trPr/>
        <w:tc>
          <w:tcPr>
            <w:tcW w:w="3754" w:type="dxa"/>
            <w:tcBorders/>
            <w:vAlign w:val="center"/>
          </w:tcPr>
          <w:p>
            <w:pPr>
              <w:pStyle w:val="TableContents"/>
              <w:widowControl w:val="false"/>
              <w:suppressLineNumbers/>
              <w:bidi w:val="0"/>
              <w:jc w:val="start"/>
              <w:rPr/>
            </w:pPr>
            <w:r>
              <w:rPr/>
              <w:t>Mount Sinai West</w:t>
            </w:r>
          </w:p>
        </w:tc>
        <w:tc>
          <w:tcPr>
            <w:tcW w:w="1131" w:type="dxa"/>
            <w:tcBorders/>
            <w:vAlign w:val="center"/>
          </w:tcPr>
          <w:p>
            <w:pPr>
              <w:pStyle w:val="TableContents"/>
              <w:widowControl w:val="false"/>
              <w:suppressLineNumbers/>
              <w:bidi w:val="0"/>
              <w:jc w:val="start"/>
              <w:rPr/>
            </w:pPr>
            <w:r>
              <w:rPr/>
              <w:t>642</w:t>
            </w:r>
          </w:p>
        </w:tc>
      </w:tr>
      <w:tr>
        <w:trPr/>
        <w:tc>
          <w:tcPr>
            <w:tcW w:w="3754" w:type="dxa"/>
            <w:tcBorders/>
            <w:vAlign w:val="center"/>
          </w:tcPr>
          <w:p>
            <w:pPr>
              <w:pStyle w:val="TableContents"/>
              <w:widowControl w:val="false"/>
              <w:suppressLineNumbers/>
              <w:bidi w:val="0"/>
              <w:jc w:val="start"/>
              <w:rPr/>
            </w:pPr>
            <w:r>
              <w:rPr/>
              <w:t>Lenox Hill Hospital</w:t>
            </w:r>
          </w:p>
        </w:tc>
        <w:tc>
          <w:tcPr>
            <w:tcW w:w="1131" w:type="dxa"/>
            <w:tcBorders/>
            <w:vAlign w:val="center"/>
          </w:tcPr>
          <w:p>
            <w:pPr>
              <w:pStyle w:val="TableContents"/>
              <w:widowControl w:val="false"/>
              <w:suppressLineNumbers/>
              <w:bidi w:val="0"/>
              <w:jc w:val="start"/>
              <w:rPr/>
            </w:pPr>
            <w:r>
              <w:rPr/>
              <w:t>614</w:t>
            </w:r>
          </w:p>
        </w:tc>
      </w:tr>
    </w:tbl>
    <w:p>
      <w:pPr>
        <w:pStyle w:val="BodyText"/>
        <w:bidi w:val="0"/>
        <w:jc w:val="start"/>
        <w:rPr/>
      </w:pPr>
      <w:r>
        <w:rPr/>
        <w:t>Hospital for Special Surgery alone accounts for roughly 37 percent of the five-borough market. Any analysis that lost HSS to a name-matching failure would be describing a different city.</w:t>
      </w:r>
    </w:p>
    <w:p>
      <w:pPr>
        <w:pStyle w:val="Heading2"/>
        <w:bidi w:val="0"/>
        <w:jc w:val="start"/>
        <w:rPr/>
      </w:pPr>
      <w:r>
        <w:rPr/>
        <w:t>4.3 Price transparency compliance</w:t>
      </w:r>
    </w:p>
    <w:p>
      <w:pPr>
        <w:pStyle w:val="BodyText"/>
        <w:bidi w:val="0"/>
        <w:jc w:val="start"/>
        <w:rPr/>
      </w:pPr>
      <w:r>
        <w:rPr/>
        <w:t xml:space="preserve">Of 18 target health systems, 14 resolved through the </w:t>
      </w:r>
      <w:r>
        <w:rPr>
          <w:rStyle w:val="SourceText"/>
        </w:rPr>
        <w:t>cms-hpt.txt</w:t>
      </w:r>
      <w:r>
        <w:rPr/>
        <w:t xml:space="preserve"> protocol, yielding more than 70 individual machine-readable file locations. Multi-campus systems dominate that count: Northwell publishes 24 locations, Hospital for Special Surgery 13, NewYork-Presbyterian and Mount Sinai 9 each.</w:t>
      </w:r>
    </w:p>
    <w:p>
      <w:pPr>
        <w:pStyle w:val="BodyText"/>
        <w:bidi w:val="0"/>
        <w:jc w:val="start"/>
        <w:rPr/>
      </w:pPr>
      <w:r>
        <w:rPr/>
        <w:t>The four failures are all external, and all instructive about real-world compliance:</w:t>
      </w:r>
    </w:p>
    <w:tbl>
      <w:tblPr>
        <w:tblW w:w="5159" w:type="dxa"/>
        <w:jc w:val="start"/>
        <w:tblInd w:w="0" w:type="dxa"/>
        <w:tblLayout w:type="fixed"/>
        <w:tblCellMar>
          <w:top w:w="28" w:type="dxa"/>
          <w:start w:w="28" w:type="dxa"/>
          <w:bottom w:w="28" w:type="dxa"/>
          <w:end w:w="28" w:type="dxa"/>
        </w:tblCellMar>
      </w:tblPr>
      <w:tblGrid>
        <w:gridCol w:w="2156"/>
        <w:gridCol w:w="3003"/>
      </w:tblGrid>
      <w:tr>
        <w:trPr/>
        <w:tc>
          <w:tcPr>
            <w:tcW w:w="2156" w:type="dxa"/>
            <w:tcBorders/>
            <w:vAlign w:val="center"/>
          </w:tcPr>
          <w:p>
            <w:pPr>
              <w:pStyle w:val="TableHeading"/>
              <w:bidi w:val="0"/>
              <w:ind w:hanging="0" w:start="0" w:end="0"/>
              <w:jc w:val="start"/>
              <w:rPr/>
            </w:pPr>
            <w:r>
              <w:rPr/>
              <w:t>System</w:t>
            </w:r>
          </w:p>
        </w:tc>
        <w:tc>
          <w:tcPr>
            <w:tcW w:w="3003" w:type="dxa"/>
            <w:tcBorders/>
            <w:vAlign w:val="center"/>
          </w:tcPr>
          <w:p>
            <w:pPr>
              <w:pStyle w:val="TableHeading"/>
              <w:suppressLineNumbers/>
              <w:shd w:fill="0F766E" w:val="clear"/>
              <w:bidi w:val="0"/>
              <w:jc w:val="start"/>
              <w:rPr/>
            </w:pPr>
            <w:r>
              <w:rPr/>
              <w:t>Reason</w:t>
            </w:r>
          </w:p>
        </w:tc>
      </w:tr>
      <w:tr>
        <w:trPr/>
        <w:tc>
          <w:tcPr>
            <w:tcW w:w="2156" w:type="dxa"/>
            <w:tcBorders/>
            <w:vAlign w:val="center"/>
          </w:tcPr>
          <w:p>
            <w:pPr>
              <w:pStyle w:val="TableContents"/>
              <w:widowControl w:val="false"/>
              <w:suppressLineNumbers/>
              <w:bidi w:val="0"/>
              <w:jc w:val="start"/>
              <w:rPr/>
            </w:pPr>
            <w:r>
              <w:rPr/>
              <w:t>Montefiore</w:t>
            </w:r>
          </w:p>
        </w:tc>
        <w:tc>
          <w:tcPr>
            <w:tcW w:w="3003" w:type="dxa"/>
            <w:tcBorders/>
            <w:vAlign w:val="center"/>
          </w:tcPr>
          <w:p>
            <w:pPr>
              <w:pStyle w:val="TableContents"/>
              <w:widowControl w:val="false"/>
              <w:suppressLineNumbers/>
              <w:bidi w:val="0"/>
              <w:jc w:val="start"/>
              <w:rPr/>
            </w:pPr>
            <w:r>
              <w:rPr/>
              <w:t>Expired TLS certificate</w:t>
            </w:r>
          </w:p>
        </w:tc>
      </w:tr>
      <w:tr>
        <w:trPr/>
        <w:tc>
          <w:tcPr>
            <w:tcW w:w="2156" w:type="dxa"/>
            <w:tcBorders/>
            <w:vAlign w:val="center"/>
          </w:tcPr>
          <w:p>
            <w:pPr>
              <w:pStyle w:val="TableContents"/>
              <w:widowControl w:val="false"/>
              <w:suppressLineNumbers/>
              <w:bidi w:val="0"/>
              <w:jc w:val="start"/>
              <w:rPr/>
            </w:pPr>
            <w:r>
              <w:rPr/>
              <w:t>SUNY Downstate</w:t>
            </w:r>
          </w:p>
        </w:tc>
        <w:tc>
          <w:tcPr>
            <w:tcW w:w="3003" w:type="dxa"/>
            <w:tcBorders/>
            <w:vAlign w:val="center"/>
          </w:tcPr>
          <w:p>
            <w:pPr>
              <w:pStyle w:val="TableContents"/>
              <w:widowControl w:val="false"/>
              <w:suppressLineNumbers/>
              <w:bidi w:val="0"/>
              <w:jc w:val="start"/>
              <w:rPr/>
            </w:pPr>
            <w:r>
              <w:rPr/>
              <w:t>Certificate hostname mismatch</w:t>
            </w:r>
          </w:p>
        </w:tc>
      </w:tr>
      <w:tr>
        <w:trPr/>
        <w:tc>
          <w:tcPr>
            <w:tcW w:w="2156" w:type="dxa"/>
            <w:tcBorders/>
            <w:vAlign w:val="center"/>
          </w:tcPr>
          <w:p>
            <w:pPr>
              <w:pStyle w:val="TableContents"/>
              <w:widowControl w:val="false"/>
              <w:suppressLineNumbers/>
              <w:bidi w:val="0"/>
              <w:jc w:val="start"/>
              <w:rPr/>
            </w:pPr>
            <w:r>
              <w:rPr/>
              <w:t>NYC Health + Hospitals</w:t>
            </w:r>
          </w:p>
        </w:tc>
        <w:tc>
          <w:tcPr>
            <w:tcW w:w="3003" w:type="dxa"/>
            <w:tcBorders/>
            <w:vAlign w:val="center"/>
          </w:tcPr>
          <w:p>
            <w:pPr>
              <w:pStyle w:val="TableContents"/>
              <w:widowControl w:val="false"/>
              <w:suppressLineNumbers/>
              <w:bidi w:val="0"/>
              <w:jc w:val="start"/>
              <w:rPr/>
            </w:pPr>
            <w:r>
              <w:rPr/>
              <w:t>IP-based bot blocking (403)</w:t>
            </w:r>
          </w:p>
        </w:tc>
      </w:tr>
      <w:tr>
        <w:trPr/>
        <w:tc>
          <w:tcPr>
            <w:tcW w:w="2156" w:type="dxa"/>
            <w:tcBorders/>
            <w:vAlign w:val="center"/>
          </w:tcPr>
          <w:p>
            <w:pPr>
              <w:pStyle w:val="TableContents"/>
              <w:widowControl w:val="false"/>
              <w:suppressLineNumbers/>
              <w:bidi w:val="0"/>
              <w:jc w:val="start"/>
              <w:rPr/>
            </w:pPr>
            <w:r>
              <w:rPr/>
              <w:t>Wyckoff Heights</w:t>
            </w:r>
          </w:p>
        </w:tc>
        <w:tc>
          <w:tcPr>
            <w:tcW w:w="3003" w:type="dxa"/>
            <w:tcBorders/>
            <w:vAlign w:val="center"/>
          </w:tcPr>
          <w:p>
            <w:pPr>
              <w:pStyle w:val="TableContents"/>
              <w:widowControl w:val="false"/>
              <w:suppressLineNumbers/>
              <w:bidi w:val="0"/>
              <w:jc w:val="start"/>
              <w:rPr/>
            </w:pPr>
            <w:r>
              <w:rPr/>
              <w:t xml:space="preserve">No </w:t>
            </w:r>
            <w:r>
              <w:rPr>
                <w:rStyle w:val="SourceText"/>
              </w:rPr>
              <w:t>cms-hpt.txt</w:t>
            </w:r>
            <w:r>
              <w:rPr/>
              <w:t xml:space="preserve"> deployed (404)</w:t>
            </w:r>
          </w:p>
        </w:tc>
      </w:tr>
    </w:tbl>
    <w:p>
      <w:pPr>
        <w:pStyle w:val="BodyText"/>
        <w:bidi w:val="0"/>
        <w:jc w:val="start"/>
        <w:rPr/>
      </w:pPr>
      <w:r>
        <w:rPr/>
        <w:t>Confirmed price extractions include Hospital for Special Surgery (90 DRG-470 lines; discounted cash $79,243.50, negotiated rates $69,635–$76,712) and Maimonides Medical Center (60 lines; negotiated $46,413.19). That spread — a 1.7x difference between two hospitals in the same city for the same procedure — is the market inefficiency this project exists to expose.</w:t>
      </w:r>
    </w:p>
    <w:p>
      <w:pPr>
        <w:pStyle w:val="Heading1newpage"/>
        <w:bidi w:val="0"/>
        <w:jc w:val="start"/>
        <w:rPr/>
      </w:pPr>
      <w:r>
        <w:rPr/>
        <w:t>5. Architecture and Tool Stack</w:t>
      </w:r>
    </w:p>
    <w:p>
      <w:pPr>
        <w:pStyle w:val="BodyText"/>
        <w:bidi w:val="0"/>
        <w:jc w:val="start"/>
        <w:rPr/>
      </w:pPr>
      <w:r>
        <w:rPr/>
        <w:t>Every component is free at the tier this project requires. No credit card is needed at any point.</w:t>
      </w:r>
    </w:p>
    <w:tbl>
      <w:tblPr>
        <w:tblW w:w="9178" w:type="dxa"/>
        <w:jc w:val="start"/>
        <w:tblInd w:w="0" w:type="dxa"/>
        <w:tblLayout w:type="fixed"/>
        <w:tblCellMar>
          <w:top w:w="28" w:type="dxa"/>
          <w:start w:w="28" w:type="dxa"/>
          <w:bottom w:w="28" w:type="dxa"/>
          <w:end w:w="28" w:type="dxa"/>
        </w:tblCellMar>
      </w:tblPr>
      <w:tblGrid>
        <w:gridCol w:w="1590"/>
        <w:gridCol w:w="2573"/>
        <w:gridCol w:w="859"/>
        <w:gridCol w:w="4156"/>
      </w:tblGrid>
      <w:tr>
        <w:trPr/>
        <w:tc>
          <w:tcPr>
            <w:tcW w:w="1590" w:type="dxa"/>
            <w:tcBorders/>
            <w:vAlign w:val="center"/>
          </w:tcPr>
          <w:p>
            <w:pPr>
              <w:pStyle w:val="TableHeading"/>
              <w:bidi w:val="0"/>
              <w:ind w:hanging="0" w:start="0" w:end="0"/>
              <w:jc w:val="start"/>
              <w:rPr/>
            </w:pPr>
            <w:r>
              <w:rPr/>
              <w:t>Layer</w:t>
            </w:r>
          </w:p>
        </w:tc>
        <w:tc>
          <w:tcPr>
            <w:tcW w:w="2573" w:type="dxa"/>
            <w:tcBorders/>
            <w:vAlign w:val="center"/>
          </w:tcPr>
          <w:p>
            <w:pPr>
              <w:pStyle w:val="TableHeading"/>
              <w:bidi w:val="0"/>
              <w:ind w:hanging="0" w:start="0" w:end="0"/>
              <w:jc w:val="start"/>
              <w:rPr/>
            </w:pPr>
            <w:r>
              <w:rPr/>
              <w:t>Service</w:t>
            </w:r>
          </w:p>
        </w:tc>
        <w:tc>
          <w:tcPr>
            <w:tcW w:w="859" w:type="dxa"/>
            <w:tcBorders/>
            <w:vAlign w:val="center"/>
          </w:tcPr>
          <w:p>
            <w:pPr>
              <w:pStyle w:val="TableHeading"/>
              <w:suppressLineNumbers/>
              <w:shd w:fill="0F766E" w:val="clear"/>
              <w:bidi w:val="0"/>
              <w:jc w:val="start"/>
              <w:rPr/>
            </w:pPr>
            <w:r>
              <w:rPr/>
              <w:t>Cost</w:t>
            </w:r>
          </w:p>
        </w:tc>
        <w:tc>
          <w:tcPr>
            <w:tcW w:w="4156" w:type="dxa"/>
            <w:tcBorders/>
            <w:vAlign w:val="center"/>
          </w:tcPr>
          <w:p>
            <w:pPr>
              <w:pStyle w:val="TableHeading"/>
              <w:suppressLineNumbers/>
              <w:shd w:fill="0F766E" w:val="clear"/>
              <w:bidi w:val="0"/>
              <w:jc w:val="start"/>
              <w:rPr/>
            </w:pPr>
            <w:r>
              <w:rPr/>
              <w:t>Role</w:t>
            </w:r>
          </w:p>
        </w:tc>
      </w:tr>
      <w:tr>
        <w:trPr/>
        <w:tc>
          <w:tcPr>
            <w:tcW w:w="1590" w:type="dxa"/>
            <w:tcBorders/>
            <w:vAlign w:val="center"/>
          </w:tcPr>
          <w:p>
            <w:pPr>
              <w:pStyle w:val="TableContents"/>
              <w:widowControl w:val="false"/>
              <w:suppressLineNumbers/>
              <w:bidi w:val="0"/>
              <w:jc w:val="start"/>
              <w:rPr/>
            </w:pPr>
            <w:r>
              <w:rPr/>
              <w:t>ETL</w:t>
            </w:r>
          </w:p>
        </w:tc>
        <w:tc>
          <w:tcPr>
            <w:tcW w:w="2573" w:type="dxa"/>
            <w:tcBorders/>
            <w:vAlign w:val="center"/>
          </w:tcPr>
          <w:p>
            <w:pPr>
              <w:pStyle w:val="TableContents"/>
              <w:widowControl w:val="false"/>
              <w:suppressLineNumbers/>
              <w:bidi w:val="0"/>
              <w:jc w:val="start"/>
              <w:rPr/>
            </w:pPr>
            <w:r>
              <w:rPr/>
              <w:t>Python 3.14</w:t>
            </w:r>
          </w:p>
        </w:tc>
        <w:tc>
          <w:tcPr>
            <w:tcW w:w="859" w:type="dxa"/>
            <w:tcBorders/>
            <w:vAlign w:val="center"/>
          </w:tcPr>
          <w:p>
            <w:pPr>
              <w:pStyle w:val="TableContents"/>
              <w:widowControl w:val="false"/>
              <w:suppressLineNumbers/>
              <w:bidi w:val="0"/>
              <w:jc w:val="start"/>
              <w:rPr/>
            </w:pPr>
            <w:r>
              <w:rPr/>
              <w:t>Free</w:t>
            </w:r>
          </w:p>
        </w:tc>
        <w:tc>
          <w:tcPr>
            <w:tcW w:w="4156" w:type="dxa"/>
            <w:tcBorders/>
            <w:vAlign w:val="center"/>
          </w:tcPr>
          <w:p>
            <w:pPr>
              <w:pStyle w:val="TableContents"/>
              <w:widowControl w:val="false"/>
              <w:suppressLineNumbers/>
              <w:bidi w:val="0"/>
              <w:jc w:val="start"/>
              <w:rPr/>
            </w:pPr>
            <w:r>
              <w:rPr/>
              <w:t>Socrata API ingestion; streaming MRF parser</w:t>
            </w:r>
          </w:p>
        </w:tc>
      </w:tr>
      <w:tr>
        <w:trPr/>
        <w:tc>
          <w:tcPr>
            <w:tcW w:w="1590" w:type="dxa"/>
            <w:tcBorders/>
            <w:vAlign w:val="center"/>
          </w:tcPr>
          <w:p>
            <w:pPr>
              <w:pStyle w:val="TableContents"/>
              <w:widowControl w:val="false"/>
              <w:suppressLineNumbers/>
              <w:bidi w:val="0"/>
              <w:jc w:val="start"/>
              <w:rPr/>
            </w:pPr>
            <w:r>
              <w:rPr/>
              <w:t>Database</w:t>
            </w:r>
          </w:p>
        </w:tc>
        <w:tc>
          <w:tcPr>
            <w:tcW w:w="2573" w:type="dxa"/>
            <w:tcBorders/>
            <w:vAlign w:val="center"/>
          </w:tcPr>
          <w:p>
            <w:pPr>
              <w:pStyle w:val="TableContents"/>
              <w:widowControl w:val="false"/>
              <w:suppressLineNumbers/>
              <w:bidi w:val="0"/>
              <w:jc w:val="start"/>
              <w:rPr/>
            </w:pPr>
            <w:r>
              <w:rPr/>
              <w:t>PostgreSQL 18 (local)</w:t>
            </w:r>
          </w:p>
        </w:tc>
        <w:tc>
          <w:tcPr>
            <w:tcW w:w="859" w:type="dxa"/>
            <w:tcBorders/>
            <w:vAlign w:val="center"/>
          </w:tcPr>
          <w:p>
            <w:pPr>
              <w:pStyle w:val="TableContents"/>
              <w:widowControl w:val="false"/>
              <w:suppressLineNumbers/>
              <w:bidi w:val="0"/>
              <w:jc w:val="start"/>
              <w:rPr/>
            </w:pPr>
            <w:r>
              <w:rPr/>
              <w:t>Free</w:t>
            </w:r>
          </w:p>
        </w:tc>
        <w:tc>
          <w:tcPr>
            <w:tcW w:w="4156" w:type="dxa"/>
            <w:tcBorders/>
            <w:vAlign w:val="center"/>
          </w:tcPr>
          <w:p>
            <w:pPr>
              <w:pStyle w:val="TableContents"/>
              <w:widowControl w:val="false"/>
              <w:suppressLineNumbers/>
              <w:bidi w:val="0"/>
              <w:jc w:val="start"/>
              <w:rPr/>
            </w:pPr>
            <w:r>
              <w:rPr/>
              <w:t>Staging, transformation, algorithm execution</w:t>
            </w:r>
          </w:p>
        </w:tc>
      </w:tr>
      <w:tr>
        <w:trPr/>
        <w:tc>
          <w:tcPr>
            <w:tcW w:w="1590" w:type="dxa"/>
            <w:tcBorders/>
            <w:vAlign w:val="center"/>
          </w:tcPr>
          <w:p>
            <w:pPr>
              <w:pStyle w:val="TableContents"/>
              <w:widowControl w:val="false"/>
              <w:suppressLineNumbers/>
              <w:bidi w:val="0"/>
              <w:jc w:val="start"/>
              <w:rPr/>
            </w:pPr>
            <w:r>
              <w:rPr/>
              <w:t>Repository</w:t>
            </w:r>
          </w:p>
        </w:tc>
        <w:tc>
          <w:tcPr>
            <w:tcW w:w="2573" w:type="dxa"/>
            <w:tcBorders/>
            <w:vAlign w:val="center"/>
          </w:tcPr>
          <w:p>
            <w:pPr>
              <w:pStyle w:val="TableContents"/>
              <w:widowControl w:val="false"/>
              <w:suppressLineNumbers/>
              <w:bidi w:val="0"/>
              <w:jc w:val="start"/>
              <w:rPr/>
            </w:pPr>
            <w:r>
              <w:rPr/>
              <w:t>GitHub</w:t>
            </w:r>
          </w:p>
        </w:tc>
        <w:tc>
          <w:tcPr>
            <w:tcW w:w="859" w:type="dxa"/>
            <w:tcBorders/>
            <w:vAlign w:val="center"/>
          </w:tcPr>
          <w:p>
            <w:pPr>
              <w:pStyle w:val="TableContents"/>
              <w:widowControl w:val="false"/>
              <w:suppressLineNumbers/>
              <w:bidi w:val="0"/>
              <w:jc w:val="start"/>
              <w:rPr/>
            </w:pPr>
            <w:r>
              <w:rPr/>
              <w:t>Free</w:t>
            </w:r>
          </w:p>
        </w:tc>
        <w:tc>
          <w:tcPr>
            <w:tcW w:w="4156" w:type="dxa"/>
            <w:tcBorders/>
            <w:vAlign w:val="center"/>
          </w:tcPr>
          <w:p>
            <w:pPr>
              <w:pStyle w:val="TableContents"/>
              <w:widowControl w:val="false"/>
              <w:suppressLineNumbers/>
              <w:bidi w:val="0"/>
              <w:jc w:val="start"/>
              <w:rPr/>
            </w:pPr>
            <w:r>
              <w:rPr/>
              <w:t>Public code, and the deployment trigger</w:t>
            </w:r>
          </w:p>
        </w:tc>
      </w:tr>
      <w:tr>
        <w:trPr/>
        <w:tc>
          <w:tcPr>
            <w:tcW w:w="1590" w:type="dxa"/>
            <w:tcBorders/>
            <w:vAlign w:val="center"/>
          </w:tcPr>
          <w:p>
            <w:pPr>
              <w:pStyle w:val="TableContents"/>
              <w:widowControl w:val="false"/>
              <w:suppressLineNumbers/>
              <w:bidi w:val="0"/>
              <w:jc w:val="start"/>
              <w:rPr/>
            </w:pPr>
            <w:r>
              <w:rPr/>
              <w:t>Web application</w:t>
            </w:r>
          </w:p>
        </w:tc>
        <w:tc>
          <w:tcPr>
            <w:tcW w:w="2573" w:type="dxa"/>
            <w:tcBorders/>
            <w:vAlign w:val="center"/>
          </w:tcPr>
          <w:p>
            <w:pPr>
              <w:pStyle w:val="TableContents"/>
              <w:widowControl w:val="false"/>
              <w:suppressLineNumbers/>
              <w:bidi w:val="0"/>
              <w:jc w:val="start"/>
              <w:rPr/>
            </w:pPr>
            <w:r>
              <w:rPr/>
              <w:t>Streamlit Community Cloud</w:t>
            </w:r>
          </w:p>
        </w:tc>
        <w:tc>
          <w:tcPr>
            <w:tcW w:w="859" w:type="dxa"/>
            <w:tcBorders/>
            <w:vAlign w:val="center"/>
          </w:tcPr>
          <w:p>
            <w:pPr>
              <w:pStyle w:val="TableContents"/>
              <w:widowControl w:val="false"/>
              <w:suppressLineNumbers/>
              <w:bidi w:val="0"/>
              <w:jc w:val="start"/>
              <w:rPr/>
            </w:pPr>
            <w:r>
              <w:rPr/>
              <w:t>Free</w:t>
            </w:r>
          </w:p>
        </w:tc>
        <w:tc>
          <w:tcPr>
            <w:tcW w:w="4156" w:type="dxa"/>
            <w:tcBorders/>
            <w:vAlign w:val="center"/>
          </w:tcPr>
          <w:p>
            <w:pPr>
              <w:pStyle w:val="TableContents"/>
              <w:widowControl w:val="false"/>
              <w:suppressLineNumbers/>
              <w:bidi w:val="0"/>
              <w:jc w:val="start"/>
              <w:rPr/>
            </w:pPr>
            <w:r>
              <w:rPr/>
              <w:t>The live consumer-facing URL</w:t>
            </w:r>
          </w:p>
        </w:tc>
      </w:tr>
      <w:tr>
        <w:trPr/>
        <w:tc>
          <w:tcPr>
            <w:tcW w:w="1590" w:type="dxa"/>
            <w:tcBorders/>
            <w:vAlign w:val="center"/>
          </w:tcPr>
          <w:p>
            <w:pPr>
              <w:pStyle w:val="TableContents"/>
              <w:widowControl w:val="false"/>
              <w:suppressLineNumbers/>
              <w:bidi w:val="0"/>
              <w:jc w:val="start"/>
              <w:rPr/>
            </w:pPr>
            <w:r>
              <w:rPr/>
              <w:t>Geographic map</w:t>
            </w:r>
          </w:p>
        </w:tc>
        <w:tc>
          <w:tcPr>
            <w:tcW w:w="2573" w:type="dxa"/>
            <w:tcBorders/>
            <w:vAlign w:val="center"/>
          </w:tcPr>
          <w:p>
            <w:pPr>
              <w:pStyle w:val="TableContents"/>
              <w:widowControl w:val="false"/>
              <w:suppressLineNumbers/>
              <w:bidi w:val="0"/>
              <w:jc w:val="start"/>
              <w:rPr/>
            </w:pPr>
            <w:r>
              <w:rPr/>
              <w:t>Tableau Public</w:t>
            </w:r>
          </w:p>
        </w:tc>
        <w:tc>
          <w:tcPr>
            <w:tcW w:w="859" w:type="dxa"/>
            <w:tcBorders/>
            <w:vAlign w:val="center"/>
          </w:tcPr>
          <w:p>
            <w:pPr>
              <w:pStyle w:val="TableContents"/>
              <w:widowControl w:val="false"/>
              <w:suppressLineNumbers/>
              <w:bidi w:val="0"/>
              <w:jc w:val="start"/>
              <w:rPr/>
            </w:pPr>
            <w:r>
              <w:rPr/>
              <w:t>Free</w:t>
            </w:r>
          </w:p>
        </w:tc>
        <w:tc>
          <w:tcPr>
            <w:tcW w:w="4156" w:type="dxa"/>
            <w:tcBorders/>
            <w:vAlign w:val="center"/>
          </w:tcPr>
          <w:p>
            <w:pPr>
              <w:pStyle w:val="TableContents"/>
              <w:widowControl w:val="false"/>
              <w:suppressLineNumbers/>
              <w:bidi w:val="0"/>
              <w:jc w:val="start"/>
              <w:rPr/>
            </w:pPr>
            <w:r>
              <w:rPr/>
              <w:t>ZCTA choropleth with shapefile joins</w:t>
            </w:r>
          </w:p>
        </w:tc>
      </w:tr>
      <w:tr>
        <w:trPr/>
        <w:tc>
          <w:tcPr>
            <w:tcW w:w="1590" w:type="dxa"/>
            <w:tcBorders/>
            <w:vAlign w:val="center"/>
          </w:tcPr>
          <w:p>
            <w:pPr>
              <w:pStyle w:val="TableContents"/>
              <w:widowControl w:val="false"/>
              <w:suppressLineNumbers/>
              <w:bidi w:val="0"/>
              <w:jc w:val="start"/>
              <w:rPr/>
            </w:pPr>
            <w:r>
              <w:rPr/>
              <w:t>Cloud database</w:t>
            </w:r>
          </w:p>
        </w:tc>
        <w:tc>
          <w:tcPr>
            <w:tcW w:w="2573" w:type="dxa"/>
            <w:tcBorders/>
            <w:vAlign w:val="center"/>
          </w:tcPr>
          <w:p>
            <w:pPr>
              <w:pStyle w:val="TableContents"/>
              <w:widowControl w:val="false"/>
              <w:suppressLineNumbers/>
              <w:bidi w:val="0"/>
              <w:jc w:val="start"/>
              <w:rPr/>
            </w:pPr>
            <w:r>
              <w:rPr/>
              <w:t>Neon (optional)</w:t>
            </w:r>
          </w:p>
        </w:tc>
        <w:tc>
          <w:tcPr>
            <w:tcW w:w="859" w:type="dxa"/>
            <w:tcBorders/>
            <w:vAlign w:val="center"/>
          </w:tcPr>
          <w:p>
            <w:pPr>
              <w:pStyle w:val="TableContents"/>
              <w:widowControl w:val="false"/>
              <w:suppressLineNumbers/>
              <w:bidi w:val="0"/>
              <w:jc w:val="start"/>
              <w:rPr/>
            </w:pPr>
            <w:r>
              <w:rPr/>
              <w:t>Free tier</w:t>
            </w:r>
          </w:p>
        </w:tc>
        <w:tc>
          <w:tcPr>
            <w:tcW w:w="4156" w:type="dxa"/>
            <w:tcBorders/>
            <w:vAlign w:val="center"/>
          </w:tcPr>
          <w:p>
            <w:pPr>
              <w:pStyle w:val="TableContents"/>
              <w:widowControl w:val="false"/>
              <w:suppressLineNumbers/>
              <w:bidi w:val="0"/>
              <w:jc w:val="start"/>
              <w:rPr/>
            </w:pPr>
            <w:r>
              <w:rPr/>
              <w:t>A live-data story instead of a snapshot</w:t>
            </w:r>
          </w:p>
        </w:tc>
      </w:tr>
      <w:tr>
        <w:trPr/>
        <w:tc>
          <w:tcPr>
            <w:tcW w:w="1590" w:type="dxa"/>
            <w:tcBorders/>
            <w:vAlign w:val="center"/>
          </w:tcPr>
          <w:p>
            <w:pPr>
              <w:pStyle w:val="TableContents"/>
              <w:widowControl w:val="false"/>
              <w:suppressLineNumbers/>
              <w:bidi w:val="0"/>
              <w:jc w:val="start"/>
              <w:rPr/>
            </w:pPr>
            <w:r>
              <w:rPr/>
              <w:t>Product design</w:t>
            </w:r>
          </w:p>
        </w:tc>
        <w:tc>
          <w:tcPr>
            <w:tcW w:w="2573" w:type="dxa"/>
            <w:tcBorders/>
            <w:vAlign w:val="center"/>
          </w:tcPr>
          <w:p>
            <w:pPr>
              <w:pStyle w:val="TableContents"/>
              <w:widowControl w:val="false"/>
              <w:suppressLineNumbers/>
              <w:bidi w:val="0"/>
              <w:jc w:val="start"/>
              <w:rPr/>
            </w:pPr>
            <w:r>
              <w:rPr/>
              <w:t>Figma</w:t>
            </w:r>
          </w:p>
        </w:tc>
        <w:tc>
          <w:tcPr>
            <w:tcW w:w="859" w:type="dxa"/>
            <w:tcBorders/>
            <w:vAlign w:val="center"/>
          </w:tcPr>
          <w:p>
            <w:pPr>
              <w:pStyle w:val="TableContents"/>
              <w:widowControl w:val="false"/>
              <w:suppressLineNumbers/>
              <w:bidi w:val="0"/>
              <w:jc w:val="start"/>
              <w:rPr/>
            </w:pPr>
            <w:r>
              <w:rPr/>
              <w:t>Free</w:t>
            </w:r>
          </w:p>
        </w:tc>
        <w:tc>
          <w:tcPr>
            <w:tcW w:w="4156" w:type="dxa"/>
            <w:tcBorders/>
            <w:vAlign w:val="center"/>
          </w:tcPr>
          <w:p>
            <w:pPr>
              <w:pStyle w:val="TableContents"/>
              <w:widowControl w:val="false"/>
              <w:suppressLineNumbers/>
              <w:bidi w:val="0"/>
              <w:jc w:val="start"/>
              <w:rPr/>
            </w:pPr>
            <w:r>
              <w:rPr/>
              <w:t>Consumer UI wireframes</w:t>
            </w:r>
          </w:p>
        </w:tc>
      </w:tr>
    </w:tbl>
    <w:p>
      <w:pPr>
        <w:pStyle w:val="Heading2"/>
        <w:bidi w:val="0"/>
        <w:jc w:val="start"/>
        <w:rPr/>
      </w:pPr>
      <w:r>
        <w:rPr/>
        <w:t>Two deliberate architectural choices</w:t>
      </w:r>
    </w:p>
    <w:p>
      <w:pPr>
        <w:pStyle w:val="BodyText"/>
        <w:bidi w:val="0"/>
        <w:jc w:val="start"/>
        <w:rPr/>
      </w:pPr>
      <w:r>
        <w:rPr>
          <w:rStyle w:val="Strong"/>
        </w:rPr>
        <w:t>Snapshot before service.</w:t>
      </w:r>
      <w:r>
        <w:rPr/>
        <w:t xml:space="preserve"> The scored output is a few dozen rows. The web app ships that as a committed CSV and treats a cloud database as an optional upgrade, so the public demo cannot break because a free-tier database was suspended for inactivity. Standing up a database server to serve fifty static rows is architecture theatre; the fallback path is the honest answer, and the code demonstrates both.</w:t>
      </w:r>
    </w:p>
    <w:p>
      <w:pPr>
        <w:pStyle w:val="BodyText"/>
        <w:bidi w:val="0"/>
        <w:jc w:val="start"/>
        <w:rPr/>
      </w:pPr>
      <w:r>
        <w:rPr>
          <w:rStyle w:val="Strong"/>
        </w:rPr>
        <w:t>Two surfaces, not one.</w:t>
      </w:r>
      <w:r>
        <w:rPr/>
        <w:t xml:space="preserve"> Streamlit handles ranking, filtering and cost-versus-quality comparison. Tableau handles geography, because it joins shapefiles natively and Streamlit does not. Neither tool is asked to do the thing it is bad at.</w:t>
      </w:r>
    </w:p>
    <w:p>
      <w:pPr>
        <w:pStyle w:val="Heading1"/>
        <w:bidi w:val="0"/>
        <w:jc w:val="start"/>
        <w:rPr/>
      </w:pPr>
      <w:r>
        <w:rPr/>
        <w:t>6. Data Integration Methodology</w:t>
      </w:r>
    </w:p>
    <w:p>
      <w:pPr>
        <w:pStyle w:val="Heading2"/>
        <w:bidi w:val="0"/>
        <w:jc w:val="start"/>
        <w:rPr/>
      </w:pPr>
      <w:r>
        <w:rPr/>
        <w:t>6.1 Clinical outcomes — NY SPARCS</w:t>
      </w:r>
    </w:p>
    <w:p>
      <w:pPr>
        <w:pStyle w:val="BodyText"/>
        <w:bidi w:val="0"/>
        <w:jc w:val="start"/>
        <w:rPr/>
      </w:pPr>
      <w:r>
        <w:rPr/>
        <w:t>New York mandates that every Article 28 facility report patient-level detail on discharge. The de-identified Public Use File is retrieved through the Socrata Open Data API on Health Data NY.</w:t>
      </w:r>
    </w:p>
    <w:p>
      <w:pPr>
        <w:pStyle w:val="BodyText"/>
        <w:numPr>
          <w:ilvl w:val="0"/>
          <w:numId w:val="2"/>
        </w:numPr>
        <w:tabs>
          <w:tab w:val="clear" w:pos="709"/>
          <w:tab w:val="left" w:pos="709" w:leader="none"/>
        </w:tabs>
        <w:bidi w:val="0"/>
        <w:spacing w:before="0" w:after="0"/>
        <w:ind w:hanging="283" w:start="709"/>
        <w:jc w:val="start"/>
        <w:rPr/>
      </w:pPr>
      <w:r>
        <w:rPr/>
        <w:t xml:space="preserve">Filtered server-side to APR-DRG 324 and 326, so the multi-million-row statewide file is never materialised locally. </w:t>
      </w:r>
    </w:p>
    <w:p>
      <w:pPr>
        <w:pStyle w:val="BodyText"/>
        <w:numPr>
          <w:ilvl w:val="0"/>
          <w:numId w:val="2"/>
        </w:numPr>
        <w:tabs>
          <w:tab w:val="clear" w:pos="709"/>
          <w:tab w:val="left" w:pos="709" w:leader="none"/>
        </w:tabs>
        <w:bidi w:val="0"/>
        <w:spacing w:before="0" w:after="0"/>
        <w:ind w:hanging="283" w:start="709"/>
        <w:jc w:val="start"/>
        <w:rPr/>
      </w:pPr>
      <w:r>
        <w:rPr/>
        <w:t xml:space="preserve">Paged with a stable identifier ordering. A single request with a fixed limit silently truncates the cohort with no way to distinguish a complete pull from a clipped one. </w:t>
      </w:r>
    </w:p>
    <w:p>
      <w:pPr>
        <w:pStyle w:val="BodyText"/>
        <w:numPr>
          <w:ilvl w:val="0"/>
          <w:numId w:val="2"/>
        </w:numPr>
        <w:tabs>
          <w:tab w:val="clear" w:pos="709"/>
          <w:tab w:val="left" w:pos="709" w:leader="none"/>
        </w:tabs>
        <w:bidi w:val="0"/>
        <w:spacing w:before="0" w:after="0"/>
        <w:ind w:hanging="283" w:start="709"/>
        <w:jc w:val="start"/>
        <w:rPr/>
      </w:pPr>
      <w:r>
        <w:rPr/>
        <w:t xml:space="preserve">Two release years are stacked by default, raising per-facility volume and stabilising the ratios for smaller hospitals. </w:t>
      </w:r>
    </w:p>
    <w:p>
      <w:pPr>
        <w:pStyle w:val="BodyText"/>
        <w:numPr>
          <w:ilvl w:val="0"/>
          <w:numId w:val="2"/>
        </w:numPr>
        <w:tabs>
          <w:tab w:val="clear" w:pos="709"/>
          <w:tab w:val="left" w:pos="709" w:leader="none"/>
        </w:tabs>
        <w:bidi w:val="0"/>
        <w:ind w:hanging="283" w:start="709"/>
        <w:jc w:val="start"/>
        <w:rPr/>
      </w:pPr>
      <w:r>
        <w:rPr/>
        <w:t xml:space="preserve">The Permanent Facility Identifier and operating certificate number are both extracted, because entity resolution depends on them. </w:t>
      </w:r>
    </w:p>
    <w:p>
      <w:pPr>
        <w:pStyle w:val="BodyText"/>
        <w:bidi w:val="0"/>
        <w:jc w:val="start"/>
        <w:rPr/>
      </w:pPr>
      <w:r>
        <w:rPr/>
        <w:t xml:space="preserve">De-identification constrains what is possible, and the design accounts for it rather than working around it: dates reduced to a discharge year, ZIP codes truncated to three digits and blanked for small-population prefixes, ages banded into categories, and any stay of 120 days or more collapsed to the literal string </w:t>
      </w:r>
      <w:r>
        <w:rPr>
          <w:rStyle w:val="SourceText"/>
        </w:rPr>
        <w:t>120+</w:t>
      </w:r>
      <w:r>
        <w:rPr/>
        <w:t>.</w:t>
      </w:r>
    </w:p>
    <w:p>
      <w:pPr>
        <w:pStyle w:val="Heading2"/>
        <w:bidi w:val="0"/>
        <w:jc w:val="start"/>
        <w:rPr/>
      </w:pPr>
      <w:r>
        <w:rPr/>
        <w:t>6.2 Financial data — CMS Hospital Price Transparency</w:t>
      </w:r>
    </w:p>
    <w:p>
      <w:pPr>
        <w:pStyle w:val="BodyText"/>
        <w:bidi w:val="0"/>
        <w:jc w:val="start"/>
        <w:rPr/>
      </w:pPr>
      <w:r>
        <w:rPr/>
        <w:t xml:space="preserve">The 2024 OPPS Final Rule made programmatic pricing collection feasible by mandating both a standard file schema and a discovery mechanism: a </w:t>
      </w:r>
      <w:r>
        <w:rPr>
          <w:rStyle w:val="SourceText"/>
        </w:rPr>
        <w:t>cms-hpt.txt</w:t>
      </w:r>
      <w:r>
        <w:rPr/>
        <w:t xml:space="preserve"> file at the root of each hospital domain pointing a crawler at the machine-readable file.</w:t>
      </w:r>
    </w:p>
    <w:p>
      <w:pPr>
        <w:pStyle w:val="BodyText"/>
        <w:numPr>
          <w:ilvl w:val="0"/>
          <w:numId w:val="3"/>
        </w:numPr>
        <w:tabs>
          <w:tab w:val="clear" w:pos="709"/>
          <w:tab w:val="left" w:pos="709" w:leader="none"/>
        </w:tabs>
        <w:bidi w:val="0"/>
        <w:spacing w:before="0" w:after="0"/>
        <w:ind w:hanging="283" w:start="709"/>
        <w:jc w:val="start"/>
        <w:rPr/>
      </w:pPr>
      <w:r>
        <w:rPr/>
        <w:t xml:space="preserve">The discovery parser reads </w:t>
      </w:r>
      <w:r>
        <w:rPr>
          <w:rStyle w:val="Emphasis"/>
        </w:rPr>
        <w:t>every</w:t>
      </w:r>
      <w:r>
        <w:rPr/>
        <w:t xml:space="preserve"> repeating block, not just the first. Multi-campus systems publish one block per operating certificate, so reading only the first discards most of the market — 1 location instead of 24, in Northwell's case. </w:t>
      </w:r>
    </w:p>
    <w:p>
      <w:pPr>
        <w:pStyle w:val="BodyText"/>
        <w:numPr>
          <w:ilvl w:val="0"/>
          <w:numId w:val="3"/>
        </w:numPr>
        <w:tabs>
          <w:tab w:val="clear" w:pos="709"/>
          <w:tab w:val="left" w:pos="709" w:leader="none"/>
        </w:tabs>
        <w:bidi w:val="0"/>
        <w:spacing w:before="0" w:after="0"/>
        <w:ind w:hanging="283" w:start="709"/>
        <w:jc w:val="start"/>
        <w:rPr/>
      </w:pPr>
      <w:r>
        <w:rPr/>
        <w:t xml:space="preserve">All three permitted formats are parsed — CSV tall, CSV wide, and JSON — and every one streams. </w:t>
      </w:r>
    </w:p>
    <w:p>
      <w:pPr>
        <w:pStyle w:val="BodyText"/>
        <w:numPr>
          <w:ilvl w:val="0"/>
          <w:numId w:val="3"/>
        </w:numPr>
        <w:tabs>
          <w:tab w:val="clear" w:pos="709"/>
          <w:tab w:val="left" w:pos="709" w:leader="none"/>
        </w:tabs>
        <w:bidi w:val="0"/>
        <w:spacing w:before="0" w:after="0"/>
        <w:ind w:hanging="283" w:start="709"/>
        <w:jc w:val="start"/>
        <w:rPr/>
      </w:pPr>
      <w:r>
        <w:rPr/>
        <w:t xml:space="preserve">Format is decided by sniffing the first byte, not the file extension. Maimonides serves JSON from a </w:t>
      </w:r>
      <w:r>
        <w:rPr>
          <w:rStyle w:val="SourceText"/>
        </w:rPr>
        <w:t>download.aspx</w:t>
      </w:r>
      <w:r>
        <w:rPr/>
        <w:t xml:space="preserve"> endpoint as </w:t>
      </w:r>
      <w:r>
        <w:rPr>
          <w:rStyle w:val="SourceText"/>
        </w:rPr>
        <w:t>application/octet-stream</w:t>
      </w:r>
      <w:r>
        <w:rPr/>
        <w:t xml:space="preserve">. </w:t>
      </w:r>
    </w:p>
    <w:p>
      <w:pPr>
        <w:pStyle w:val="BodyText"/>
        <w:numPr>
          <w:ilvl w:val="0"/>
          <w:numId w:val="3"/>
        </w:numPr>
        <w:tabs>
          <w:tab w:val="clear" w:pos="709"/>
          <w:tab w:val="left" w:pos="709" w:leader="none"/>
        </w:tabs>
        <w:bidi w:val="0"/>
        <w:spacing w:before="0" w:after="0"/>
        <w:ind w:hanging="283" w:start="709"/>
        <w:jc w:val="start"/>
        <w:rPr/>
      </w:pPr>
      <w:r>
        <w:rPr/>
        <w:t xml:space="preserve">The CMS CSV template places file metadata on the first two rows and real column headers on the third. </w:t>
      </w:r>
    </w:p>
    <w:p>
      <w:pPr>
        <w:pStyle w:val="BodyText"/>
        <w:numPr>
          <w:ilvl w:val="0"/>
          <w:numId w:val="3"/>
        </w:numPr>
        <w:tabs>
          <w:tab w:val="clear" w:pos="709"/>
          <w:tab w:val="left" w:pos="709" w:leader="none"/>
        </w:tabs>
        <w:bidi w:val="0"/>
        <w:spacing w:before="0" w:after="0"/>
        <w:ind w:hanging="283" w:start="709"/>
        <w:jc w:val="start"/>
        <w:rPr/>
      </w:pPr>
      <w:r>
        <w:rPr/>
        <w:t xml:space="preserve">A 403 triggers one retry with a browser user-agent; hosts that reject both need a manual URL. </w:t>
      </w:r>
    </w:p>
    <w:p>
      <w:pPr>
        <w:pStyle w:val="BodyText"/>
        <w:numPr>
          <w:ilvl w:val="0"/>
          <w:numId w:val="3"/>
        </w:numPr>
        <w:tabs>
          <w:tab w:val="clear" w:pos="709"/>
          <w:tab w:val="left" w:pos="709" w:leader="none"/>
        </w:tabs>
        <w:bidi w:val="0"/>
        <w:ind w:hanging="283" w:start="709"/>
        <w:jc w:val="start"/>
        <w:rPr/>
      </w:pPr>
      <w:r>
        <w:rPr/>
        <w:t xml:space="preserve">A courtesy delay separates requests. The protocol invites automated collection; that is not licence to hammer a hospital's web server. </w:t>
      </w:r>
    </w:p>
    <w:p>
      <w:pPr>
        <w:pStyle w:val="Heading2"/>
        <w:bidi w:val="0"/>
        <w:jc w:val="start"/>
        <w:rPr/>
      </w:pPr>
      <w:r>
        <w:rPr/>
        <w:t>6.3 Entity resolution — the crosswalk</w:t>
      </w:r>
    </w:p>
    <w:p>
      <w:pPr>
        <w:pStyle w:val="BodyText"/>
        <w:bidi w:val="0"/>
        <w:jc w:val="start"/>
        <w:rPr/>
      </w:pPr>
      <w:r>
        <w:rPr/>
        <w:t>State and federal filings rarely spell a hospital identically, so a direct string join loses most of the market. Resolution runs in three tiers: exact match on a normalised name, fuzzy match above a similarity threshold, and manual override. Pairings below the auto-accept threshold are written with a review flag and exported for human confirmation; once confirmed, they are never overwritten by a later automated rebuild.</w:t>
      </w:r>
    </w:p>
    <w:p>
      <w:pPr>
        <w:pStyle w:val="BodyText"/>
        <w:bidi w:val="0"/>
        <w:jc w:val="start"/>
        <w:rPr/>
      </w:pPr>
      <w:r>
        <w:rPr/>
        <w:t>Uniqueness is enforced at the database level. This is not defensive decoration — two facilities mapped to one CMS name silently fan out the master join and corrupt the market median that the entire financial term is measured against.</w:t>
      </w:r>
    </w:p>
    <w:p>
      <w:pPr>
        <w:pStyle w:val="Heading1newpage"/>
        <w:bidi w:val="0"/>
        <w:jc w:val="start"/>
        <w:rPr/>
      </w:pPr>
      <w:r>
        <w:rPr/>
        <w:t>7. The Risk-Adjusted Algorithm</w:t>
      </w:r>
    </w:p>
    <w:p>
      <w:pPr>
        <w:pStyle w:val="Heading2"/>
        <w:bidi w:val="0"/>
        <w:jc w:val="start"/>
        <w:rPr/>
      </w:pPr>
      <w:r>
        <w:rPr/>
        <w:t>7.1 Indirect standardization</w:t>
      </w:r>
    </w:p>
    <w:p>
      <w:pPr>
        <w:pStyle w:val="BodyText"/>
        <w:bidi w:val="0"/>
        <w:jc w:val="start"/>
        <w:rPr/>
      </w:pPr>
      <w:r>
        <w:rPr/>
        <w:t>Ranking hospitals on raw averages punishes the ones that accept difficult cases. A regional referral centre treating medically fragile patients will always show longer stays than a boutique clinic operating exclusively on healthy candidates, and a marketplace reporting that as a quality difference is actively misleading.</w:t>
      </w:r>
    </w:p>
    <w:p>
      <w:pPr>
        <w:pStyle w:val="BodyText"/>
        <w:bidi w:val="0"/>
        <w:jc w:val="start"/>
        <w:rPr/>
      </w:pPr>
      <w:r>
        <w:rPr/>
        <w:t>Each discharge is therefore compared against the average for its own APR severity tier, from 1 (Minor) to 4 (Extreme). Averaging those tier expectations across a facility produces its case-mix-weighted expected rate. Observed divided by expected gives the O/E ratio, where below 1.0 means better than expected.</w:t>
      </w:r>
    </w:p>
    <w:p>
      <w:pPr>
        <w:pStyle w:val="BodyText"/>
        <w:bidi w:val="0"/>
        <w:jc w:val="start"/>
        <w:rPr/>
      </w:pPr>
      <w:r>
        <w:rPr/>
        <w:t xml:space="preserve">Benchmarks are stratified by severity tier </w:t>
      </w:r>
      <w:r>
        <w:rPr>
          <w:rStyle w:val="Emphasis"/>
        </w:rPr>
        <w:t>and discharge year</w:t>
      </w:r>
      <w:r>
        <w:rPr/>
        <w:t xml:space="preserve"> together. Average length of stay for joint replacement has fallen steadily as same-day discharge protocols spread, so a benchmark pooled across release years would flatter every facility in the later year and penalise every facility in the earlier one — a calendar artefact presented as a quality finding.</w:t>
      </w:r>
    </w:p>
    <w:p>
      <w:pPr>
        <w:pStyle w:val="Heading2"/>
        <w:bidi w:val="0"/>
        <w:jc w:val="start"/>
        <w:rPr/>
      </w:pPr>
      <w:r>
        <w:rPr/>
        <w:t>7.2 The composite clinical term</w:t>
      </w:r>
    </w:p>
    <w:p>
      <w:pPr>
        <w:pStyle w:val="BodyText"/>
        <w:bidi w:val="0"/>
        <w:jc w:val="start"/>
        <w:rPr/>
      </w:pPr>
      <w:r>
        <w:rPr/>
        <w:t>Clinical performance is the geometric mean of two O/E ratios: length of stay, and adverse discharge disposition. Geometric rather than arithmetic because both inputs are ratios centred on 1.0, so the mean must be scale-free — twice the expected length of stay against half the expected adverse rate should cancel to 1.0, which only the geometric mean delivers.</w:t>
      </w:r>
    </w:p>
    <w:p>
      <w:pPr>
        <w:pStyle w:val="BodyText"/>
        <w:bidi w:val="0"/>
        <w:jc w:val="start"/>
        <w:rPr/>
      </w:pPr>
      <w:r>
        <w:rPr/>
        <w:t xml:space="preserve">Adverse disposition is defined by an explicit allow-list: only discharge to self-care, or to home with home-health support, counts as a good outcome. This matters more than it sounds. The intuitive test of whether the disposition text contains the word "Home" classifies both </w:t>
      </w:r>
      <w:r>
        <w:rPr>
          <w:rStyle w:val="SourceText"/>
        </w:rPr>
        <w:t>Skilled Nursing Home</w:t>
      </w:r>
      <w:r>
        <w:rPr/>
        <w:t xml:space="preserve"> and </w:t>
      </w:r>
      <w:r>
        <w:rPr>
          <w:rStyle w:val="SourceText"/>
        </w:rPr>
        <w:t>Hospice - Home</w:t>
      </w:r>
      <w:r>
        <w:rPr/>
        <w:t xml:space="preserve"> as clinical successes.</w:t>
      </w:r>
    </w:p>
    <w:p>
      <w:pPr>
        <w:pStyle w:val="Heading2"/>
        <w:bidi w:val="0"/>
        <w:jc w:val="start"/>
        <w:rPr/>
      </w:pPr>
      <w:r>
        <w:rPr/>
        <w:t>7.3 The Value Index</w:t>
      </w:r>
    </w:p>
    <w:p>
      <w:pPr>
        <w:pStyle w:val="PreformattedText"/>
        <w:bidi w:val="0"/>
        <w:jc w:val="start"/>
        <w:rPr/>
      </w:pPr>
      <w:r>
        <w:rPr/>
        <w:t>Value Index = (1 / clinical O/E)</w:t>
      </w:r>
    </w:p>
    <w:p>
      <w:pPr>
        <w:pStyle w:val="PreformattedText"/>
        <w:bidi w:val="0"/>
        <w:jc w:val="start"/>
        <w:rPr/>
      </w:pPr>
      <w:r>
        <w:rPr/>
        <w:t xml:space="preserve">            </w:t>
      </w:r>
      <w:r>
        <w:rPr/>
        <w:t>x (market median cost / facility cost)</w:t>
      </w:r>
    </w:p>
    <w:p>
      <w:pPr>
        <w:pStyle w:val="PreformattedText"/>
        <w:bidi w:val="0"/>
        <w:jc w:val="start"/>
        <w:rPr/>
      </w:pPr>
      <w:r>
        <w:rPr/>
        <w:t xml:space="preserve">            </w:t>
      </w:r>
      <w:r>
        <w:rPr/>
        <w:t>x ln(1 + volume)</w:t>
      </w:r>
    </w:p>
    <w:p>
      <w:pPr>
        <w:pStyle w:val="BodyText"/>
        <w:numPr>
          <w:ilvl w:val="0"/>
          <w:numId w:val="4"/>
        </w:numPr>
        <w:tabs>
          <w:tab w:val="clear" w:pos="709"/>
          <w:tab w:val="left" w:pos="709" w:leader="none"/>
        </w:tabs>
        <w:bidi w:val="0"/>
        <w:spacing w:before="0" w:after="0"/>
        <w:ind w:hanging="283" w:start="709"/>
        <w:jc w:val="start"/>
        <w:rPr/>
      </w:pPr>
      <w:r>
        <w:rPr>
          <w:rStyle w:val="Strong"/>
        </w:rPr>
        <w:t>Clinical multiplier</w:t>
      </w:r>
      <w:r>
        <w:rPr/>
        <w:t xml:space="preserve"> — the inverse of the risk-adjusted O/E. A facility performing at 0.8 of expectation scores 1.25; one at 1.5 scores 0.67. </w:t>
      </w:r>
    </w:p>
    <w:p>
      <w:pPr>
        <w:pStyle w:val="BodyText"/>
        <w:numPr>
          <w:ilvl w:val="0"/>
          <w:numId w:val="4"/>
        </w:numPr>
        <w:tabs>
          <w:tab w:val="clear" w:pos="709"/>
          <w:tab w:val="left" w:pos="709" w:leader="none"/>
        </w:tabs>
        <w:bidi w:val="0"/>
        <w:spacing w:before="0" w:after="0"/>
        <w:ind w:hanging="283" w:start="709"/>
        <w:jc w:val="start"/>
        <w:rPr/>
      </w:pPr>
      <w:r>
        <w:rPr>
          <w:rStyle w:val="Strong"/>
        </w:rPr>
        <w:t>Financial multiplier</w:t>
      </w:r>
      <w:r>
        <w:rPr/>
        <w:t xml:space="preserve"> — the market median divided by the facility price. The market median is taken across facility-level medians, one vote per hospital, so a system publishing forty payer contracts cannot outvote one publishing three. </w:t>
      </w:r>
    </w:p>
    <w:p>
      <w:pPr>
        <w:pStyle w:val="BodyText"/>
        <w:numPr>
          <w:ilvl w:val="0"/>
          <w:numId w:val="4"/>
        </w:numPr>
        <w:tabs>
          <w:tab w:val="clear" w:pos="709"/>
          <w:tab w:val="left" w:pos="709" w:leader="none"/>
        </w:tabs>
        <w:bidi w:val="0"/>
        <w:ind w:hanging="283" w:start="709"/>
        <w:jc w:val="start"/>
        <w:rPr/>
      </w:pPr>
      <w:r>
        <w:rPr>
          <w:rStyle w:val="Strong"/>
        </w:rPr>
        <w:t>Experience modifier</w:t>
      </w:r>
      <w:r>
        <w:rPr/>
        <w:t xml:space="preserve"> — the natural log of one plus procedure volume. Logarithmic so established centres are rewarded without overwhelming cost and quality. The offset is not cosmetic: plain </w:t>
      </w:r>
      <w:r>
        <w:rPr>
          <w:rStyle w:val="SourceText"/>
        </w:rPr>
        <w:t>ln(volume)</w:t>
      </w:r>
      <w:r>
        <w:rPr/>
        <w:t xml:space="preserve"> evaluates to zero at a volume of one and annihilates the entire product. </w:t>
      </w:r>
    </w:p>
    <w:p>
      <w:pPr>
        <w:pStyle w:val="Heading2"/>
        <w:bidi w:val="0"/>
        <w:jc w:val="start"/>
        <w:rPr/>
      </w:pPr>
      <w:r>
        <w:rPr/>
        <w:t>7.4 Worked example</w:t>
      </w:r>
    </w:p>
    <w:tbl>
      <w:tblPr>
        <w:tblW w:w="7096" w:type="dxa"/>
        <w:jc w:val="start"/>
        <w:tblInd w:w="0" w:type="dxa"/>
        <w:tblLayout w:type="fixed"/>
        <w:tblCellMar>
          <w:top w:w="28" w:type="dxa"/>
          <w:start w:w="28" w:type="dxa"/>
          <w:bottom w:w="28" w:type="dxa"/>
          <w:end w:w="28" w:type="dxa"/>
        </w:tblCellMar>
      </w:tblPr>
      <w:tblGrid>
        <w:gridCol w:w="2214"/>
        <w:gridCol w:w="816"/>
        <w:gridCol w:w="496"/>
        <w:gridCol w:w="829"/>
        <w:gridCol w:w="1514"/>
        <w:gridCol w:w="1227"/>
      </w:tblGrid>
      <w:tr>
        <w:trPr/>
        <w:tc>
          <w:tcPr>
            <w:tcW w:w="2214" w:type="dxa"/>
            <w:tcBorders/>
            <w:vAlign w:val="center"/>
          </w:tcPr>
          <w:p>
            <w:pPr>
              <w:pStyle w:val="TableHeading"/>
              <w:bidi w:val="0"/>
              <w:ind w:hanging="0" w:start="0" w:end="0"/>
              <w:jc w:val="start"/>
              <w:rPr/>
            </w:pPr>
            <w:r>
              <w:rPr/>
              <w:t>Facility</w:t>
            </w:r>
          </w:p>
        </w:tc>
        <w:tc>
          <w:tcPr>
            <w:tcW w:w="816" w:type="dxa"/>
            <w:tcBorders/>
            <w:vAlign w:val="center"/>
          </w:tcPr>
          <w:p>
            <w:pPr>
              <w:pStyle w:val="TableHeading"/>
              <w:suppressLineNumbers/>
              <w:shd w:fill="0F766E" w:val="clear"/>
              <w:bidi w:val="0"/>
              <w:jc w:val="start"/>
              <w:rPr/>
            </w:pPr>
            <w:r>
              <w:rPr/>
              <w:t>Volume</w:t>
            </w:r>
          </w:p>
        </w:tc>
        <w:tc>
          <w:tcPr>
            <w:tcW w:w="496" w:type="dxa"/>
            <w:tcBorders/>
            <w:vAlign w:val="center"/>
          </w:tcPr>
          <w:p>
            <w:pPr>
              <w:pStyle w:val="TableHeading"/>
              <w:suppressLineNumbers/>
              <w:shd w:fill="0F766E" w:val="clear"/>
              <w:bidi w:val="0"/>
              <w:jc w:val="start"/>
              <w:rPr/>
            </w:pPr>
            <w:r>
              <w:rPr/>
              <w:t>O/E</w:t>
            </w:r>
          </w:p>
        </w:tc>
        <w:tc>
          <w:tcPr>
            <w:tcW w:w="829" w:type="dxa"/>
            <w:tcBorders/>
            <w:vAlign w:val="center"/>
          </w:tcPr>
          <w:p>
            <w:pPr>
              <w:pStyle w:val="TableHeading"/>
              <w:suppressLineNumbers/>
              <w:shd w:fill="0F766E" w:val="clear"/>
              <w:bidi w:val="0"/>
              <w:jc w:val="start"/>
              <w:rPr/>
            </w:pPr>
            <w:r>
              <w:rPr/>
              <w:t>Cost</w:t>
            </w:r>
          </w:p>
        </w:tc>
        <w:tc>
          <w:tcPr>
            <w:tcW w:w="1514" w:type="dxa"/>
            <w:tcBorders/>
            <w:vAlign w:val="center"/>
          </w:tcPr>
          <w:p>
            <w:pPr>
              <w:pStyle w:val="TableHeading"/>
              <w:suppressLineNumbers/>
              <w:shd w:fill="0F766E" w:val="clear"/>
              <w:bidi w:val="0"/>
              <w:jc w:val="start"/>
              <w:rPr/>
            </w:pPr>
            <w:r>
              <w:rPr/>
              <w:t>Market median</w:t>
            </w:r>
          </w:p>
        </w:tc>
        <w:tc>
          <w:tcPr>
            <w:tcW w:w="1227" w:type="dxa"/>
            <w:tcBorders/>
            <w:vAlign w:val="center"/>
          </w:tcPr>
          <w:p>
            <w:pPr>
              <w:pStyle w:val="TableHeading"/>
              <w:suppressLineNumbers/>
              <w:shd w:fill="0F766E" w:val="clear"/>
              <w:bidi w:val="0"/>
              <w:jc w:val="start"/>
              <w:rPr/>
            </w:pPr>
            <w:r>
              <w:rPr/>
              <w:t>Value Index</w:t>
            </w:r>
          </w:p>
        </w:tc>
      </w:tr>
      <w:tr>
        <w:trPr/>
        <w:tc>
          <w:tcPr>
            <w:tcW w:w="2214" w:type="dxa"/>
            <w:tcBorders/>
            <w:vAlign w:val="center"/>
          </w:tcPr>
          <w:p>
            <w:pPr>
              <w:pStyle w:val="TableContents"/>
              <w:widowControl w:val="false"/>
              <w:suppressLineNumbers/>
              <w:bidi w:val="0"/>
              <w:jc w:val="start"/>
              <w:rPr/>
            </w:pPr>
            <w:r>
              <w:rPr/>
              <w:t>High-volume, efficient</w:t>
            </w:r>
          </w:p>
        </w:tc>
        <w:tc>
          <w:tcPr>
            <w:tcW w:w="816" w:type="dxa"/>
            <w:tcBorders/>
            <w:vAlign w:val="center"/>
          </w:tcPr>
          <w:p>
            <w:pPr>
              <w:pStyle w:val="TableContents"/>
              <w:widowControl w:val="false"/>
              <w:suppressLineNumbers/>
              <w:bidi w:val="0"/>
              <w:jc w:val="start"/>
              <w:rPr/>
            </w:pPr>
            <w:r>
              <w:rPr/>
              <w:t>420</w:t>
            </w:r>
          </w:p>
        </w:tc>
        <w:tc>
          <w:tcPr>
            <w:tcW w:w="496" w:type="dxa"/>
            <w:tcBorders/>
            <w:vAlign w:val="center"/>
          </w:tcPr>
          <w:p>
            <w:pPr>
              <w:pStyle w:val="TableContents"/>
              <w:widowControl w:val="false"/>
              <w:suppressLineNumbers/>
              <w:bidi w:val="0"/>
              <w:jc w:val="start"/>
              <w:rPr/>
            </w:pPr>
            <w:r>
              <w:rPr/>
              <w:t>0.87</w:t>
            </w:r>
          </w:p>
        </w:tc>
        <w:tc>
          <w:tcPr>
            <w:tcW w:w="829" w:type="dxa"/>
            <w:tcBorders/>
            <w:vAlign w:val="center"/>
          </w:tcPr>
          <w:p>
            <w:pPr>
              <w:pStyle w:val="TableContents"/>
              <w:widowControl w:val="false"/>
              <w:suppressLineNumbers/>
              <w:bidi w:val="0"/>
              <w:jc w:val="start"/>
              <w:rPr/>
            </w:pPr>
            <w:r>
              <w:rPr/>
              <w:t>$52,000</w:t>
            </w:r>
          </w:p>
        </w:tc>
        <w:tc>
          <w:tcPr>
            <w:tcW w:w="1514" w:type="dxa"/>
            <w:tcBorders/>
            <w:vAlign w:val="center"/>
          </w:tcPr>
          <w:p>
            <w:pPr>
              <w:pStyle w:val="TableContents"/>
              <w:widowControl w:val="false"/>
              <w:suppressLineNumbers/>
              <w:bidi w:val="0"/>
              <w:jc w:val="start"/>
              <w:rPr/>
            </w:pPr>
            <w:r>
              <w:rPr/>
              <w:t>$68,000</w:t>
            </w:r>
          </w:p>
        </w:tc>
        <w:tc>
          <w:tcPr>
            <w:tcW w:w="1227" w:type="dxa"/>
            <w:tcBorders/>
            <w:vAlign w:val="center"/>
          </w:tcPr>
          <w:p>
            <w:pPr>
              <w:pStyle w:val="TableContents"/>
              <w:widowControl w:val="false"/>
              <w:suppressLineNumbers/>
              <w:bidi w:val="0"/>
              <w:jc w:val="start"/>
              <w:rPr/>
            </w:pPr>
            <w:r>
              <w:rPr>
                <w:rStyle w:val="Strong"/>
              </w:rPr>
              <w:t>9.08</w:t>
            </w:r>
          </w:p>
        </w:tc>
      </w:tr>
      <w:tr>
        <w:trPr/>
        <w:tc>
          <w:tcPr>
            <w:tcW w:w="2214" w:type="dxa"/>
            <w:tcBorders/>
            <w:vAlign w:val="center"/>
          </w:tcPr>
          <w:p>
            <w:pPr>
              <w:pStyle w:val="TableContents"/>
              <w:widowControl w:val="false"/>
              <w:suppressLineNumbers/>
              <w:bidi w:val="0"/>
              <w:jc w:val="start"/>
              <w:rPr/>
            </w:pPr>
            <w:r>
              <w:rPr/>
              <w:t>Low-volume, expensive</w:t>
            </w:r>
          </w:p>
        </w:tc>
        <w:tc>
          <w:tcPr>
            <w:tcW w:w="816" w:type="dxa"/>
            <w:tcBorders/>
            <w:vAlign w:val="center"/>
          </w:tcPr>
          <w:p>
            <w:pPr>
              <w:pStyle w:val="TableContents"/>
              <w:widowControl w:val="false"/>
              <w:suppressLineNumbers/>
              <w:bidi w:val="0"/>
              <w:jc w:val="start"/>
              <w:rPr/>
            </w:pPr>
            <w:r>
              <w:rPr/>
              <w:t>95</w:t>
            </w:r>
          </w:p>
        </w:tc>
        <w:tc>
          <w:tcPr>
            <w:tcW w:w="496" w:type="dxa"/>
            <w:tcBorders/>
            <w:vAlign w:val="center"/>
          </w:tcPr>
          <w:p>
            <w:pPr>
              <w:pStyle w:val="TableContents"/>
              <w:widowControl w:val="false"/>
              <w:suppressLineNumbers/>
              <w:bidi w:val="0"/>
              <w:jc w:val="start"/>
              <w:rPr/>
            </w:pPr>
            <w:r>
              <w:rPr/>
              <w:t>1.12</w:t>
            </w:r>
          </w:p>
        </w:tc>
        <w:tc>
          <w:tcPr>
            <w:tcW w:w="829" w:type="dxa"/>
            <w:tcBorders/>
            <w:vAlign w:val="center"/>
          </w:tcPr>
          <w:p>
            <w:pPr>
              <w:pStyle w:val="TableContents"/>
              <w:widowControl w:val="false"/>
              <w:suppressLineNumbers/>
              <w:bidi w:val="0"/>
              <w:jc w:val="start"/>
              <w:rPr/>
            </w:pPr>
            <w:r>
              <w:rPr/>
              <w:t>$91,000</w:t>
            </w:r>
          </w:p>
        </w:tc>
        <w:tc>
          <w:tcPr>
            <w:tcW w:w="1514" w:type="dxa"/>
            <w:tcBorders/>
            <w:vAlign w:val="center"/>
          </w:tcPr>
          <w:p>
            <w:pPr>
              <w:pStyle w:val="TableContents"/>
              <w:widowControl w:val="false"/>
              <w:suppressLineNumbers/>
              <w:bidi w:val="0"/>
              <w:jc w:val="start"/>
              <w:rPr/>
            </w:pPr>
            <w:r>
              <w:rPr/>
              <w:t>$68,000</w:t>
            </w:r>
          </w:p>
        </w:tc>
        <w:tc>
          <w:tcPr>
            <w:tcW w:w="1227" w:type="dxa"/>
            <w:tcBorders/>
            <w:vAlign w:val="center"/>
          </w:tcPr>
          <w:p>
            <w:pPr>
              <w:pStyle w:val="TableContents"/>
              <w:widowControl w:val="false"/>
              <w:suppressLineNumbers/>
              <w:bidi w:val="0"/>
              <w:jc w:val="start"/>
              <w:rPr/>
            </w:pPr>
            <w:r>
              <w:rPr>
                <w:rStyle w:val="Strong"/>
              </w:rPr>
              <w:t>3.04</w:t>
            </w:r>
          </w:p>
        </w:tc>
      </w:tr>
    </w:tbl>
    <w:p>
      <w:pPr>
        <w:pStyle w:val="BodyText"/>
        <w:bidi w:val="0"/>
        <w:jc w:val="start"/>
        <w:rPr/>
      </w:pPr>
      <w:r>
        <w:rPr/>
        <w:t>The spread is intentional. A facility that is cheaper, faster than its case mix predicts, and more experienced should separate clearly from one that is none of those things.</w:t>
      </w:r>
    </w:p>
    <w:p>
      <w:pPr>
        <w:pStyle w:val="Heading1newpage"/>
        <w:bidi w:val="0"/>
        <w:jc w:val="start"/>
        <w:rPr/>
      </w:pPr>
      <w:r>
        <w:rPr/>
        <w:t>8. Deployment Plan</w:t>
      </w:r>
    </w:p>
    <w:p>
      <w:pPr>
        <w:pStyle w:val="BodyText"/>
        <w:bidi w:val="0"/>
        <w:jc w:val="start"/>
        <w:rPr/>
      </w:pPr>
      <w:r>
        <w:rPr/>
        <w:t>Sequenced so each step is verifiable before the next depends on it.</w:t>
      </w:r>
    </w:p>
    <w:tbl>
      <w:tblPr>
        <w:tblW w:w="8837" w:type="dxa"/>
        <w:jc w:val="start"/>
        <w:tblInd w:w="0" w:type="dxa"/>
        <w:tblLayout w:type="fixed"/>
        <w:tblCellMar>
          <w:top w:w="28" w:type="dxa"/>
          <w:start w:w="28" w:type="dxa"/>
          <w:bottom w:w="28" w:type="dxa"/>
          <w:end w:w="28" w:type="dxa"/>
        </w:tblCellMar>
      </w:tblPr>
      <w:tblGrid>
        <w:gridCol w:w="232"/>
        <w:gridCol w:w="3486"/>
        <w:gridCol w:w="5119"/>
      </w:tblGrid>
      <w:tr>
        <w:trPr/>
        <w:tc>
          <w:tcPr>
            <w:tcW w:w="232" w:type="dxa"/>
            <w:tcBorders/>
            <w:vAlign w:val="center"/>
          </w:tcPr>
          <w:p>
            <w:pPr>
              <w:pStyle w:val="TableHeading"/>
              <w:bidi w:val="0"/>
              <w:ind w:hanging="0" w:start="0" w:end="0"/>
              <w:jc w:val="start"/>
              <w:rPr/>
            </w:pPr>
            <w:r>
              <w:rPr/>
              <w:t>#</w:t>
            </w:r>
          </w:p>
        </w:tc>
        <w:tc>
          <w:tcPr>
            <w:tcW w:w="3486" w:type="dxa"/>
            <w:tcBorders/>
            <w:vAlign w:val="center"/>
          </w:tcPr>
          <w:p>
            <w:pPr>
              <w:pStyle w:val="TableHeading"/>
              <w:suppressLineNumbers/>
              <w:shd w:fill="0F766E" w:val="clear"/>
              <w:bidi w:val="0"/>
              <w:jc w:val="start"/>
              <w:rPr/>
            </w:pPr>
            <w:r>
              <w:rPr/>
              <w:t>Step</w:t>
            </w:r>
          </w:p>
        </w:tc>
        <w:tc>
          <w:tcPr>
            <w:tcW w:w="5119" w:type="dxa"/>
            <w:tcBorders/>
            <w:vAlign w:val="center"/>
          </w:tcPr>
          <w:p>
            <w:pPr>
              <w:pStyle w:val="TableHeading"/>
              <w:suppressLineNumbers/>
              <w:shd w:fill="0F766E" w:val="clear"/>
              <w:bidi w:val="0"/>
              <w:jc w:val="start"/>
              <w:rPr/>
            </w:pPr>
            <w:r>
              <w:rPr/>
              <w:t>Gate</w:t>
            </w:r>
          </w:p>
        </w:tc>
      </w:tr>
      <w:tr>
        <w:trPr/>
        <w:tc>
          <w:tcPr>
            <w:tcW w:w="232" w:type="dxa"/>
            <w:tcBorders/>
            <w:vAlign w:val="center"/>
          </w:tcPr>
          <w:p>
            <w:pPr>
              <w:pStyle w:val="TableContents"/>
              <w:widowControl w:val="false"/>
              <w:suppressLineNumbers/>
              <w:bidi w:val="0"/>
              <w:jc w:val="start"/>
              <w:rPr/>
            </w:pPr>
            <w:r>
              <w:rPr/>
              <w:t>1</w:t>
            </w:r>
          </w:p>
        </w:tc>
        <w:tc>
          <w:tcPr>
            <w:tcW w:w="3486" w:type="dxa"/>
            <w:tcBorders/>
            <w:vAlign w:val="center"/>
          </w:tcPr>
          <w:p>
            <w:pPr>
              <w:pStyle w:val="TableContents"/>
              <w:widowControl w:val="false"/>
              <w:suppressLineNumbers/>
              <w:bidi w:val="0"/>
              <w:jc w:val="start"/>
              <w:rPr/>
            </w:pPr>
            <w:r>
              <w:rPr/>
              <w:t>Supply the PostgreSQL password</w:t>
            </w:r>
          </w:p>
        </w:tc>
        <w:tc>
          <w:tcPr>
            <w:tcW w:w="5119" w:type="dxa"/>
            <w:tcBorders/>
            <w:vAlign w:val="center"/>
          </w:tcPr>
          <w:p>
            <w:pPr>
              <w:pStyle w:val="TableContents"/>
              <w:widowControl w:val="false"/>
              <w:suppressLineNumbers/>
              <w:bidi w:val="0"/>
              <w:jc w:val="start"/>
              <w:rPr/>
            </w:pPr>
            <w:r>
              <w:rPr>
                <w:rStyle w:val="SourceText"/>
              </w:rPr>
              <w:t>.env</w:t>
            </w:r>
            <w:r>
              <w:rPr/>
              <w:t xml:space="preserve"> populated; connection succeeds</w:t>
            </w:r>
          </w:p>
        </w:tc>
      </w:tr>
      <w:tr>
        <w:trPr/>
        <w:tc>
          <w:tcPr>
            <w:tcW w:w="232" w:type="dxa"/>
            <w:tcBorders/>
            <w:vAlign w:val="center"/>
          </w:tcPr>
          <w:p>
            <w:pPr>
              <w:pStyle w:val="TableContents"/>
              <w:widowControl w:val="false"/>
              <w:suppressLineNumbers/>
              <w:bidi w:val="0"/>
              <w:jc w:val="start"/>
              <w:rPr/>
            </w:pPr>
            <w:r>
              <w:rPr/>
              <w:t>2</w:t>
            </w:r>
          </w:p>
        </w:tc>
        <w:tc>
          <w:tcPr>
            <w:tcW w:w="3486" w:type="dxa"/>
            <w:tcBorders/>
            <w:vAlign w:val="center"/>
          </w:tcPr>
          <w:p>
            <w:pPr>
              <w:pStyle w:val="TableContents"/>
              <w:widowControl w:val="false"/>
              <w:suppressLineNumbers/>
              <w:bidi w:val="0"/>
              <w:jc w:val="start"/>
              <w:rPr/>
            </w:pPr>
            <w:r>
              <w:rPr/>
              <w:t>Run the SQL smoke test</w:t>
            </w:r>
          </w:p>
        </w:tc>
        <w:tc>
          <w:tcPr>
            <w:tcW w:w="5119" w:type="dxa"/>
            <w:tcBorders/>
            <w:vAlign w:val="center"/>
          </w:tcPr>
          <w:p>
            <w:pPr>
              <w:pStyle w:val="TableContents"/>
              <w:widowControl w:val="false"/>
              <w:suppressLineNumbers/>
              <w:bidi w:val="0"/>
              <w:jc w:val="start"/>
              <w:rPr/>
            </w:pPr>
            <w:r>
              <w:rPr/>
              <w:t>Prints ALL SMOKE TESTS PASSED</w:t>
            </w:r>
          </w:p>
        </w:tc>
      </w:tr>
      <w:tr>
        <w:trPr/>
        <w:tc>
          <w:tcPr>
            <w:tcW w:w="232" w:type="dxa"/>
            <w:tcBorders/>
            <w:vAlign w:val="center"/>
          </w:tcPr>
          <w:p>
            <w:pPr>
              <w:pStyle w:val="TableContents"/>
              <w:widowControl w:val="false"/>
              <w:suppressLineNumbers/>
              <w:bidi w:val="0"/>
              <w:jc w:val="start"/>
              <w:rPr/>
            </w:pPr>
            <w:r>
              <w:rPr/>
              <w:t>3</w:t>
            </w:r>
          </w:p>
        </w:tc>
        <w:tc>
          <w:tcPr>
            <w:tcW w:w="3486" w:type="dxa"/>
            <w:tcBorders/>
            <w:vAlign w:val="center"/>
          </w:tcPr>
          <w:p>
            <w:pPr>
              <w:pStyle w:val="TableContents"/>
              <w:widowControl w:val="false"/>
              <w:suppressLineNumbers/>
              <w:bidi w:val="0"/>
              <w:jc w:val="start"/>
              <w:rPr/>
            </w:pPr>
            <w:r>
              <w:rPr/>
              <w:t>Execute the full pipeline</w:t>
            </w:r>
          </w:p>
        </w:tc>
        <w:tc>
          <w:tcPr>
            <w:tcW w:w="5119" w:type="dxa"/>
            <w:tcBorders/>
            <w:vAlign w:val="center"/>
          </w:tcPr>
          <w:p>
            <w:pPr>
              <w:pStyle w:val="TableContents"/>
              <w:widowControl w:val="false"/>
              <w:suppressLineNumbers/>
              <w:bidi w:val="0"/>
              <w:jc w:val="start"/>
              <w:rPr/>
            </w:pPr>
            <w:r>
              <w:rPr/>
              <w:t>QA diagnostics reviewed; fan-out guard returns nothing</w:t>
            </w:r>
          </w:p>
        </w:tc>
      </w:tr>
      <w:tr>
        <w:trPr/>
        <w:tc>
          <w:tcPr>
            <w:tcW w:w="232" w:type="dxa"/>
            <w:tcBorders/>
            <w:vAlign w:val="center"/>
          </w:tcPr>
          <w:p>
            <w:pPr>
              <w:pStyle w:val="TableContents"/>
              <w:widowControl w:val="false"/>
              <w:suppressLineNumbers/>
              <w:bidi w:val="0"/>
              <w:jc w:val="start"/>
              <w:rPr/>
            </w:pPr>
            <w:r>
              <w:rPr/>
              <w:t>4</w:t>
            </w:r>
          </w:p>
        </w:tc>
        <w:tc>
          <w:tcPr>
            <w:tcW w:w="3486" w:type="dxa"/>
            <w:tcBorders/>
            <w:vAlign w:val="center"/>
          </w:tcPr>
          <w:p>
            <w:pPr>
              <w:pStyle w:val="TableContents"/>
              <w:widowControl w:val="false"/>
              <w:suppressLineNumbers/>
              <w:bidi w:val="0"/>
              <w:jc w:val="start"/>
              <w:rPr/>
            </w:pPr>
            <w:r>
              <w:rPr/>
              <w:t>Review the facility crosswalk</w:t>
            </w:r>
          </w:p>
        </w:tc>
        <w:tc>
          <w:tcPr>
            <w:tcW w:w="5119" w:type="dxa"/>
            <w:tcBorders/>
            <w:vAlign w:val="center"/>
          </w:tcPr>
          <w:p>
            <w:pPr>
              <w:pStyle w:val="TableContents"/>
              <w:widowControl w:val="false"/>
              <w:suppressLineNumbers/>
              <w:bidi w:val="0"/>
              <w:jc w:val="start"/>
              <w:rPr/>
            </w:pPr>
            <w:r>
              <w:rPr/>
              <w:t>Fuzzy matches confirmed or corrected by hand</w:t>
            </w:r>
          </w:p>
        </w:tc>
      </w:tr>
      <w:tr>
        <w:trPr/>
        <w:tc>
          <w:tcPr>
            <w:tcW w:w="232" w:type="dxa"/>
            <w:tcBorders/>
            <w:vAlign w:val="center"/>
          </w:tcPr>
          <w:p>
            <w:pPr>
              <w:pStyle w:val="TableContents"/>
              <w:widowControl w:val="false"/>
              <w:suppressLineNumbers/>
              <w:bidi w:val="0"/>
              <w:jc w:val="start"/>
              <w:rPr/>
            </w:pPr>
            <w:r>
              <w:rPr/>
              <w:t>5</w:t>
            </w:r>
          </w:p>
        </w:tc>
        <w:tc>
          <w:tcPr>
            <w:tcW w:w="3486" w:type="dxa"/>
            <w:tcBorders/>
            <w:vAlign w:val="center"/>
          </w:tcPr>
          <w:p>
            <w:pPr>
              <w:pStyle w:val="TableContents"/>
              <w:widowControl w:val="false"/>
              <w:suppressLineNumbers/>
              <w:bidi w:val="0"/>
              <w:jc w:val="start"/>
              <w:rPr/>
            </w:pPr>
            <w:r>
              <w:rPr/>
              <w:t>Run the web app locally</w:t>
            </w:r>
          </w:p>
        </w:tc>
        <w:tc>
          <w:tcPr>
            <w:tcW w:w="5119" w:type="dxa"/>
            <w:tcBorders/>
            <w:vAlign w:val="center"/>
          </w:tcPr>
          <w:p>
            <w:pPr>
              <w:pStyle w:val="TableContents"/>
              <w:widowControl w:val="false"/>
              <w:suppressLineNumbers/>
              <w:bidi w:val="0"/>
              <w:jc w:val="start"/>
              <w:rPr/>
            </w:pPr>
            <w:r>
              <w:rPr/>
              <w:t>Renders correctly against real data</w:t>
            </w:r>
          </w:p>
        </w:tc>
      </w:tr>
      <w:tr>
        <w:trPr/>
        <w:tc>
          <w:tcPr>
            <w:tcW w:w="232" w:type="dxa"/>
            <w:tcBorders/>
            <w:vAlign w:val="center"/>
          </w:tcPr>
          <w:p>
            <w:pPr>
              <w:pStyle w:val="TableContents"/>
              <w:widowControl w:val="false"/>
              <w:suppressLineNumbers/>
              <w:bidi w:val="0"/>
              <w:jc w:val="start"/>
              <w:rPr/>
            </w:pPr>
            <w:r>
              <w:rPr/>
              <w:t>6</w:t>
            </w:r>
          </w:p>
        </w:tc>
        <w:tc>
          <w:tcPr>
            <w:tcW w:w="3486" w:type="dxa"/>
            <w:tcBorders/>
            <w:vAlign w:val="center"/>
          </w:tcPr>
          <w:p>
            <w:pPr>
              <w:pStyle w:val="TableContents"/>
              <w:widowControl w:val="false"/>
              <w:suppressLineNumbers/>
              <w:bidi w:val="0"/>
              <w:jc w:val="start"/>
              <w:rPr/>
            </w:pPr>
            <w:r>
              <w:rPr/>
              <w:t>Commit and push</w:t>
            </w:r>
          </w:p>
        </w:tc>
        <w:tc>
          <w:tcPr>
            <w:tcW w:w="5119" w:type="dxa"/>
            <w:tcBorders/>
            <w:vAlign w:val="center"/>
          </w:tcPr>
          <w:p>
            <w:pPr>
              <w:pStyle w:val="TableContents"/>
              <w:widowControl w:val="false"/>
              <w:suppressLineNumbers/>
              <w:bidi w:val="0"/>
              <w:jc w:val="start"/>
              <w:rPr/>
            </w:pPr>
            <w:r>
              <w:rPr/>
              <w:t>Credential scan clean</w:t>
            </w:r>
          </w:p>
        </w:tc>
      </w:tr>
      <w:tr>
        <w:trPr/>
        <w:tc>
          <w:tcPr>
            <w:tcW w:w="232" w:type="dxa"/>
            <w:tcBorders/>
            <w:vAlign w:val="center"/>
          </w:tcPr>
          <w:p>
            <w:pPr>
              <w:pStyle w:val="TableContents"/>
              <w:widowControl w:val="false"/>
              <w:suppressLineNumbers/>
              <w:bidi w:val="0"/>
              <w:jc w:val="start"/>
              <w:rPr/>
            </w:pPr>
            <w:r>
              <w:rPr/>
              <w:t>7</w:t>
            </w:r>
          </w:p>
        </w:tc>
        <w:tc>
          <w:tcPr>
            <w:tcW w:w="3486" w:type="dxa"/>
            <w:tcBorders/>
            <w:vAlign w:val="center"/>
          </w:tcPr>
          <w:p>
            <w:pPr>
              <w:pStyle w:val="TableContents"/>
              <w:widowControl w:val="false"/>
              <w:suppressLineNumbers/>
              <w:bidi w:val="0"/>
              <w:jc w:val="start"/>
              <w:rPr/>
            </w:pPr>
            <w:r>
              <w:rPr/>
              <w:t>Deploy to Streamlit Community Cloud</w:t>
            </w:r>
          </w:p>
        </w:tc>
        <w:tc>
          <w:tcPr>
            <w:tcW w:w="5119" w:type="dxa"/>
            <w:tcBorders/>
            <w:vAlign w:val="center"/>
          </w:tcPr>
          <w:p>
            <w:pPr>
              <w:pStyle w:val="TableContents"/>
              <w:widowControl w:val="false"/>
              <w:suppressLineNumbers/>
              <w:bidi w:val="0"/>
              <w:jc w:val="start"/>
              <w:rPr/>
            </w:pPr>
            <w:r>
              <w:rPr/>
              <w:t>Live URL loads</w:t>
            </w:r>
          </w:p>
        </w:tc>
      </w:tr>
      <w:tr>
        <w:trPr/>
        <w:tc>
          <w:tcPr>
            <w:tcW w:w="232" w:type="dxa"/>
            <w:tcBorders/>
            <w:vAlign w:val="center"/>
          </w:tcPr>
          <w:p>
            <w:pPr>
              <w:pStyle w:val="TableContents"/>
              <w:widowControl w:val="false"/>
              <w:suppressLineNumbers/>
              <w:bidi w:val="0"/>
              <w:jc w:val="start"/>
              <w:rPr/>
            </w:pPr>
            <w:r>
              <w:rPr/>
              <w:t>8</w:t>
            </w:r>
          </w:p>
        </w:tc>
        <w:tc>
          <w:tcPr>
            <w:tcW w:w="3486" w:type="dxa"/>
            <w:tcBorders/>
            <w:vAlign w:val="center"/>
          </w:tcPr>
          <w:p>
            <w:pPr>
              <w:pStyle w:val="TableContents"/>
              <w:widowControl w:val="false"/>
              <w:suppressLineNumbers/>
              <w:bidi w:val="0"/>
              <w:jc w:val="start"/>
              <w:rPr/>
            </w:pPr>
            <w:r>
              <w:rPr/>
              <w:t>Publish the Tableau dashboard</w:t>
            </w:r>
          </w:p>
        </w:tc>
        <w:tc>
          <w:tcPr>
            <w:tcW w:w="5119" w:type="dxa"/>
            <w:tcBorders/>
            <w:vAlign w:val="center"/>
          </w:tcPr>
          <w:p>
            <w:pPr>
              <w:pStyle w:val="TableContents"/>
              <w:widowControl w:val="false"/>
              <w:suppressLineNumbers/>
              <w:bidi w:val="0"/>
              <w:jc w:val="start"/>
              <w:rPr/>
            </w:pPr>
            <w:r>
              <w:rPr/>
              <w:t>Map renders with the ZCTA join</w:t>
            </w:r>
          </w:p>
        </w:tc>
      </w:tr>
      <w:tr>
        <w:trPr/>
        <w:tc>
          <w:tcPr>
            <w:tcW w:w="232" w:type="dxa"/>
            <w:tcBorders/>
            <w:vAlign w:val="center"/>
          </w:tcPr>
          <w:p>
            <w:pPr>
              <w:pStyle w:val="TableContents"/>
              <w:widowControl w:val="false"/>
              <w:suppressLineNumbers/>
              <w:bidi w:val="0"/>
              <w:jc w:val="start"/>
              <w:rPr/>
            </w:pPr>
            <w:r>
              <w:rPr/>
              <w:t>9</w:t>
            </w:r>
          </w:p>
        </w:tc>
        <w:tc>
          <w:tcPr>
            <w:tcW w:w="3486" w:type="dxa"/>
            <w:tcBorders/>
            <w:vAlign w:val="center"/>
          </w:tcPr>
          <w:p>
            <w:pPr>
              <w:pStyle w:val="TableContents"/>
              <w:widowControl w:val="false"/>
              <w:suppressLineNumbers/>
              <w:bidi w:val="0"/>
              <w:jc w:val="start"/>
              <w:rPr/>
            </w:pPr>
            <w:r>
              <w:rPr/>
              <w:t>Link both from the README</w:t>
            </w:r>
          </w:p>
        </w:tc>
        <w:tc>
          <w:tcPr>
            <w:tcW w:w="5119" w:type="dxa"/>
            <w:tcBorders/>
            <w:vAlign w:val="center"/>
          </w:tcPr>
          <w:p>
            <w:pPr>
              <w:pStyle w:val="TableContents"/>
              <w:widowControl w:val="false"/>
              <w:suppressLineNumbers/>
              <w:bidi w:val="0"/>
              <w:jc w:val="start"/>
              <w:rPr/>
            </w:pPr>
            <w:r>
              <w:rPr/>
              <w:t>A reader reaches the live product in one click</w:t>
            </w:r>
          </w:p>
        </w:tc>
      </w:tr>
    </w:tbl>
    <w:p>
      <w:pPr>
        <w:pStyle w:val="BodyText"/>
        <w:bidi w:val="0"/>
        <w:jc w:val="start"/>
        <w:rPr/>
      </w:pPr>
      <w:r>
        <w:rPr/>
        <w:t>Two cautions worth stating in advance. Anything saved to Tableau Public is publicly visible by design — acceptable here because every input is already public, but never point it at anything private. And if a credential is ever committed by accident, rotate it immediately; rewriting git history does not un-publish what has already been pushed.</w:t>
      </w:r>
    </w:p>
    <w:p>
      <w:pPr>
        <w:pStyle w:val="Heading1"/>
        <w:bidi w:val="0"/>
        <w:jc w:val="start"/>
        <w:rPr/>
      </w:pPr>
      <w:r>
        <w:rPr/>
        <w:t>9. Revised Roadmap</w:t>
      </w:r>
    </w:p>
    <w:tbl>
      <w:tblPr>
        <w:tblW w:w="9360" w:type="dxa"/>
        <w:jc w:val="start"/>
        <w:tblInd w:w="0" w:type="dxa"/>
        <w:tblLayout w:type="fixed"/>
        <w:tblCellMar>
          <w:top w:w="28" w:type="dxa"/>
          <w:start w:w="28" w:type="dxa"/>
          <w:bottom w:w="28" w:type="dxa"/>
          <w:end w:w="28" w:type="dxa"/>
        </w:tblCellMar>
      </w:tblPr>
      <w:tblGrid>
        <w:gridCol w:w="786"/>
        <w:gridCol w:w="2983"/>
        <w:gridCol w:w="5591"/>
      </w:tblGrid>
      <w:tr>
        <w:trPr/>
        <w:tc>
          <w:tcPr>
            <w:tcW w:w="786" w:type="dxa"/>
            <w:tcBorders/>
            <w:vAlign w:val="center"/>
          </w:tcPr>
          <w:p>
            <w:pPr>
              <w:pStyle w:val="TableHeading"/>
              <w:bidi w:val="0"/>
              <w:ind w:hanging="0" w:start="0" w:end="0"/>
              <w:jc w:val="start"/>
              <w:rPr/>
            </w:pPr>
            <w:r>
              <w:rPr/>
              <w:t>Week</w:t>
            </w:r>
          </w:p>
        </w:tc>
        <w:tc>
          <w:tcPr>
            <w:tcW w:w="2983" w:type="dxa"/>
            <w:tcBorders/>
            <w:vAlign w:val="center"/>
          </w:tcPr>
          <w:p>
            <w:pPr>
              <w:pStyle w:val="TableHeading"/>
              <w:suppressLineNumbers/>
              <w:shd w:fill="0F766E" w:val="clear"/>
              <w:bidi w:val="0"/>
              <w:jc w:val="start"/>
              <w:rPr/>
            </w:pPr>
            <w:r>
              <w:rPr/>
              <w:t>Objective</w:t>
            </w:r>
          </w:p>
        </w:tc>
        <w:tc>
          <w:tcPr>
            <w:tcW w:w="5591" w:type="dxa"/>
            <w:tcBorders/>
            <w:vAlign w:val="center"/>
          </w:tcPr>
          <w:p>
            <w:pPr>
              <w:pStyle w:val="TableHeading"/>
              <w:suppressLineNumbers/>
              <w:shd w:fill="0F766E" w:val="clear"/>
              <w:bidi w:val="0"/>
              <w:jc w:val="start"/>
              <w:rPr/>
            </w:pPr>
            <w:r>
              <w:rPr/>
              <w:t>Deliverable</w:t>
            </w:r>
          </w:p>
        </w:tc>
      </w:tr>
      <w:tr>
        <w:trPr/>
        <w:tc>
          <w:tcPr>
            <w:tcW w:w="786" w:type="dxa"/>
            <w:tcBorders/>
            <w:vAlign w:val="center"/>
          </w:tcPr>
          <w:p>
            <w:pPr>
              <w:pStyle w:val="TableContents"/>
              <w:widowControl w:val="false"/>
              <w:suppressLineNumbers/>
              <w:bidi w:val="0"/>
              <w:jc w:val="start"/>
              <w:rPr/>
            </w:pPr>
            <w:r>
              <w:rPr/>
              <w:t>Week 1</w:t>
            </w:r>
          </w:p>
        </w:tc>
        <w:tc>
          <w:tcPr>
            <w:tcW w:w="2983" w:type="dxa"/>
            <w:tcBorders/>
            <w:vAlign w:val="center"/>
          </w:tcPr>
          <w:p>
            <w:pPr>
              <w:pStyle w:val="TableContents"/>
              <w:widowControl w:val="false"/>
              <w:suppressLineNumbers/>
              <w:bidi w:val="0"/>
              <w:jc w:val="start"/>
              <w:rPr/>
            </w:pPr>
            <w:r>
              <w:rPr/>
              <w:t>Database and first full run</w:t>
            </w:r>
          </w:p>
        </w:tc>
        <w:tc>
          <w:tcPr>
            <w:tcW w:w="5591" w:type="dxa"/>
            <w:tcBorders/>
            <w:vAlign w:val="center"/>
          </w:tcPr>
          <w:p>
            <w:pPr>
              <w:pStyle w:val="TableContents"/>
              <w:widowControl w:val="false"/>
              <w:suppressLineNumbers/>
              <w:bidi w:val="0"/>
              <w:jc w:val="start"/>
              <w:rPr/>
            </w:pPr>
            <w:r>
              <w:rPr/>
              <w:t>Smoke test passing; SPARCS and MRF data loaded; QA reviewed</w:t>
            </w:r>
          </w:p>
        </w:tc>
      </w:tr>
      <w:tr>
        <w:trPr/>
        <w:tc>
          <w:tcPr>
            <w:tcW w:w="786" w:type="dxa"/>
            <w:tcBorders/>
            <w:vAlign w:val="center"/>
          </w:tcPr>
          <w:p>
            <w:pPr>
              <w:pStyle w:val="TableContents"/>
              <w:widowControl w:val="false"/>
              <w:suppressLineNumbers/>
              <w:bidi w:val="0"/>
              <w:jc w:val="start"/>
              <w:rPr/>
            </w:pPr>
            <w:r>
              <w:rPr/>
              <w:t>Week 2</w:t>
            </w:r>
          </w:p>
        </w:tc>
        <w:tc>
          <w:tcPr>
            <w:tcW w:w="2983" w:type="dxa"/>
            <w:tcBorders/>
            <w:vAlign w:val="center"/>
          </w:tcPr>
          <w:p>
            <w:pPr>
              <w:pStyle w:val="TableContents"/>
              <w:widowControl w:val="false"/>
              <w:suppressLineNumbers/>
              <w:bidi w:val="0"/>
              <w:jc w:val="start"/>
              <w:rPr/>
            </w:pPr>
            <w:r>
              <w:rPr/>
              <w:t>Data quality and entity resolution</w:t>
            </w:r>
          </w:p>
        </w:tc>
        <w:tc>
          <w:tcPr>
            <w:tcW w:w="5591" w:type="dxa"/>
            <w:tcBorders/>
            <w:vAlign w:val="center"/>
          </w:tcPr>
          <w:p>
            <w:pPr>
              <w:pStyle w:val="TableContents"/>
              <w:widowControl w:val="false"/>
              <w:suppressLineNumbers/>
              <w:bidi w:val="0"/>
              <w:jc w:val="start"/>
              <w:rPr/>
            </w:pPr>
            <w:r>
              <w:rPr/>
              <w:t>Crosswalk reviewed; scored table trusted</w:t>
            </w:r>
          </w:p>
        </w:tc>
      </w:tr>
      <w:tr>
        <w:trPr/>
        <w:tc>
          <w:tcPr>
            <w:tcW w:w="786" w:type="dxa"/>
            <w:tcBorders/>
            <w:vAlign w:val="center"/>
          </w:tcPr>
          <w:p>
            <w:pPr>
              <w:pStyle w:val="TableContents"/>
              <w:widowControl w:val="false"/>
              <w:suppressLineNumbers/>
              <w:bidi w:val="0"/>
              <w:jc w:val="start"/>
              <w:rPr/>
            </w:pPr>
            <w:r>
              <w:rPr/>
              <w:t>Week 3</w:t>
            </w:r>
          </w:p>
        </w:tc>
        <w:tc>
          <w:tcPr>
            <w:tcW w:w="2983" w:type="dxa"/>
            <w:tcBorders/>
            <w:vAlign w:val="center"/>
          </w:tcPr>
          <w:p>
            <w:pPr>
              <w:pStyle w:val="TableContents"/>
              <w:widowControl w:val="false"/>
              <w:suppressLineNumbers/>
              <w:bidi w:val="0"/>
              <w:jc w:val="start"/>
              <w:rPr/>
            </w:pPr>
            <w:r>
              <w:rPr/>
              <w:t>Publication</w:t>
            </w:r>
          </w:p>
        </w:tc>
        <w:tc>
          <w:tcPr>
            <w:tcW w:w="5591" w:type="dxa"/>
            <w:tcBorders/>
            <w:vAlign w:val="center"/>
          </w:tcPr>
          <w:p>
            <w:pPr>
              <w:pStyle w:val="TableContents"/>
              <w:widowControl w:val="false"/>
              <w:suppressLineNumbers/>
              <w:bidi w:val="0"/>
              <w:jc w:val="start"/>
              <w:rPr/>
            </w:pPr>
            <w:r>
              <w:rPr/>
              <w:t>Streamlit app live; snapshot committed; README linked</w:t>
            </w:r>
          </w:p>
        </w:tc>
      </w:tr>
      <w:tr>
        <w:trPr/>
        <w:tc>
          <w:tcPr>
            <w:tcW w:w="786" w:type="dxa"/>
            <w:tcBorders/>
            <w:vAlign w:val="center"/>
          </w:tcPr>
          <w:p>
            <w:pPr>
              <w:pStyle w:val="TableContents"/>
              <w:widowControl w:val="false"/>
              <w:suppressLineNumbers/>
              <w:bidi w:val="0"/>
              <w:jc w:val="start"/>
              <w:rPr/>
            </w:pPr>
            <w:r>
              <w:rPr/>
              <w:t>Week 4</w:t>
            </w:r>
          </w:p>
        </w:tc>
        <w:tc>
          <w:tcPr>
            <w:tcW w:w="2983" w:type="dxa"/>
            <w:tcBorders/>
            <w:vAlign w:val="center"/>
          </w:tcPr>
          <w:p>
            <w:pPr>
              <w:pStyle w:val="TableContents"/>
              <w:widowControl w:val="false"/>
              <w:suppressLineNumbers/>
              <w:bidi w:val="0"/>
              <w:jc w:val="start"/>
              <w:rPr/>
            </w:pPr>
            <w:r>
              <w:rPr/>
              <w:t>Geographic visualisation</w:t>
            </w:r>
          </w:p>
        </w:tc>
        <w:tc>
          <w:tcPr>
            <w:tcW w:w="5591" w:type="dxa"/>
            <w:tcBorders/>
            <w:vAlign w:val="center"/>
          </w:tcPr>
          <w:p>
            <w:pPr>
              <w:pStyle w:val="TableContents"/>
              <w:widowControl w:val="false"/>
              <w:suppressLineNumbers/>
              <w:bidi w:val="0"/>
              <w:jc w:val="start"/>
              <w:rPr/>
            </w:pPr>
            <w:r>
              <w:rPr/>
              <w:t>Tableau Public dashboard with shapefile join and tooltips</w:t>
            </w:r>
          </w:p>
        </w:tc>
      </w:tr>
      <w:tr>
        <w:trPr/>
        <w:tc>
          <w:tcPr>
            <w:tcW w:w="786" w:type="dxa"/>
            <w:tcBorders/>
            <w:vAlign w:val="center"/>
          </w:tcPr>
          <w:p>
            <w:pPr>
              <w:pStyle w:val="TableContents"/>
              <w:widowControl w:val="false"/>
              <w:suppressLineNumbers/>
              <w:bidi w:val="0"/>
              <w:jc w:val="start"/>
              <w:rPr/>
            </w:pPr>
            <w:r>
              <w:rPr/>
              <w:t>Week 5</w:t>
            </w:r>
          </w:p>
        </w:tc>
        <w:tc>
          <w:tcPr>
            <w:tcW w:w="2983" w:type="dxa"/>
            <w:tcBorders/>
            <w:vAlign w:val="center"/>
          </w:tcPr>
          <w:p>
            <w:pPr>
              <w:pStyle w:val="TableContents"/>
              <w:widowControl w:val="false"/>
              <w:suppressLineNumbers/>
              <w:bidi w:val="0"/>
              <w:jc w:val="start"/>
              <w:rPr/>
            </w:pPr>
            <w:r>
              <w:rPr/>
              <w:t>Product design</w:t>
            </w:r>
          </w:p>
        </w:tc>
        <w:tc>
          <w:tcPr>
            <w:tcW w:w="5591" w:type="dxa"/>
            <w:tcBorders/>
            <w:vAlign w:val="center"/>
          </w:tcPr>
          <w:p>
            <w:pPr>
              <w:pStyle w:val="TableContents"/>
              <w:widowControl w:val="false"/>
              <w:suppressLineNumbers/>
              <w:bidi w:val="0"/>
              <w:jc w:val="start"/>
              <w:rPr/>
            </w:pPr>
            <w:r>
              <w:rPr/>
              <w:t>Figma wireframes translating the index into a five-star interface</w:t>
            </w:r>
          </w:p>
        </w:tc>
      </w:tr>
      <w:tr>
        <w:trPr/>
        <w:tc>
          <w:tcPr>
            <w:tcW w:w="786" w:type="dxa"/>
            <w:tcBorders/>
            <w:vAlign w:val="center"/>
          </w:tcPr>
          <w:p>
            <w:pPr>
              <w:pStyle w:val="TableContents"/>
              <w:widowControl w:val="false"/>
              <w:suppressLineNumbers/>
              <w:bidi w:val="0"/>
              <w:jc w:val="start"/>
              <w:rPr/>
            </w:pPr>
            <w:r>
              <w:rPr/>
              <w:t>Week 6</w:t>
            </w:r>
          </w:p>
        </w:tc>
        <w:tc>
          <w:tcPr>
            <w:tcW w:w="2983" w:type="dxa"/>
            <w:tcBorders/>
            <w:vAlign w:val="center"/>
          </w:tcPr>
          <w:p>
            <w:pPr>
              <w:pStyle w:val="TableContents"/>
              <w:widowControl w:val="false"/>
              <w:suppressLineNumbers/>
              <w:bidi w:val="0"/>
              <w:jc w:val="start"/>
              <w:rPr/>
            </w:pPr>
            <w:r>
              <w:rPr/>
              <w:t>Portfolio assembly</w:t>
            </w:r>
          </w:p>
        </w:tc>
        <w:tc>
          <w:tcPr>
            <w:tcW w:w="5591" w:type="dxa"/>
            <w:tcBorders/>
            <w:vAlign w:val="center"/>
          </w:tcPr>
          <w:p>
            <w:pPr>
              <w:pStyle w:val="TableContents"/>
              <w:widowControl w:val="false"/>
              <w:suppressLineNumbers/>
              <w:bidi w:val="0"/>
              <w:jc w:val="start"/>
              <w:rPr/>
            </w:pPr>
            <w:r>
              <w:rPr/>
              <w:t>Screenshots, written methodology, resume entry</w:t>
            </w:r>
          </w:p>
        </w:tc>
      </w:tr>
    </w:tbl>
    <w:p>
      <w:pPr>
        <w:pStyle w:val="Heading1"/>
        <w:bidi w:val="0"/>
        <w:jc w:val="start"/>
        <w:rPr/>
      </w:pPr>
      <w:r>
        <w:rPr/>
        <w:t>10. Known Limitations</w:t>
      </w:r>
    </w:p>
    <w:p>
      <w:pPr>
        <w:pStyle w:val="BodyText"/>
        <w:bidi w:val="0"/>
        <w:jc w:val="start"/>
        <w:rPr/>
      </w:pPr>
      <w:r>
        <w:rPr/>
        <w:t>Stated plainly, because a portfolio project that overclaims is easier to dismantle in an interview than one that names its own boundaries.</w:t>
      </w:r>
    </w:p>
    <w:p>
      <w:pPr>
        <w:pStyle w:val="BodyText"/>
        <w:numPr>
          <w:ilvl w:val="0"/>
          <w:numId w:val="5"/>
        </w:numPr>
        <w:tabs>
          <w:tab w:val="clear" w:pos="709"/>
          <w:tab w:val="left" w:pos="709" w:leader="none"/>
        </w:tabs>
        <w:bidi w:val="0"/>
        <w:spacing w:before="0" w:after="0"/>
        <w:ind w:hanging="283" w:start="709"/>
        <w:jc w:val="start"/>
        <w:rPr/>
      </w:pPr>
      <w:r>
        <w:rPr>
          <w:rStyle w:val="Strong"/>
        </w:rPr>
        <w:t>Length of stay is a proxy, not an outcome.</w:t>
      </w:r>
      <w:r>
        <w:rPr/>
        <w:t xml:space="preserve"> The SPARCS public file carries no readmission, revision or complication data. Length of stay and discharge disposition are the best available stand-ins, and both reflect discharge-planning culture as much as surgical quality. </w:t>
      </w:r>
    </w:p>
    <w:p>
      <w:pPr>
        <w:pStyle w:val="BodyText"/>
        <w:numPr>
          <w:ilvl w:val="0"/>
          <w:numId w:val="5"/>
        </w:numPr>
        <w:tabs>
          <w:tab w:val="clear" w:pos="709"/>
          <w:tab w:val="left" w:pos="709" w:leader="none"/>
        </w:tabs>
        <w:bidi w:val="0"/>
        <w:spacing w:before="0" w:after="0"/>
        <w:ind w:hanging="283" w:start="709"/>
        <w:jc w:val="start"/>
        <w:rPr/>
      </w:pPr>
      <w:r>
        <w:rPr>
          <w:rStyle w:val="Strong"/>
        </w:rPr>
        <w:t>The index has never been calibrated.</w:t>
      </w:r>
      <w:r>
        <w:rPr/>
        <w:t xml:space="preserve"> No one has checked whether a facility scoring 8.0 produces better results than one scoring 4.0. The three terms are multiplied unweighted because that is a defensible starting point, not because evidence says those are the right weights. </w:t>
      </w:r>
    </w:p>
    <w:p>
      <w:pPr>
        <w:pStyle w:val="BodyText"/>
        <w:numPr>
          <w:ilvl w:val="0"/>
          <w:numId w:val="5"/>
        </w:numPr>
        <w:tabs>
          <w:tab w:val="clear" w:pos="709"/>
          <w:tab w:val="left" w:pos="709" w:leader="none"/>
        </w:tabs>
        <w:bidi w:val="0"/>
        <w:spacing w:before="0" w:after="0"/>
        <w:ind w:hanging="283" w:start="709"/>
        <w:jc w:val="start"/>
        <w:rPr/>
      </w:pPr>
      <w:r>
        <w:rPr>
          <w:rStyle w:val="Strong"/>
        </w:rPr>
        <w:t>Long stays are censored.</w:t>
      </w:r>
      <w:r>
        <w:rPr/>
        <w:t xml:space="preserve"> Anything at or beyond 120 days is recorded identically, so observed length of stay is a floor. </w:t>
      </w:r>
    </w:p>
    <w:p>
      <w:pPr>
        <w:pStyle w:val="BodyText"/>
        <w:numPr>
          <w:ilvl w:val="0"/>
          <w:numId w:val="5"/>
        </w:numPr>
        <w:tabs>
          <w:tab w:val="clear" w:pos="709"/>
          <w:tab w:val="left" w:pos="709" w:leader="none"/>
        </w:tabs>
        <w:bidi w:val="0"/>
        <w:spacing w:before="0" w:after="0"/>
        <w:ind w:hanging="283" w:start="709"/>
        <w:jc w:val="start"/>
        <w:rPr/>
      </w:pPr>
      <w:r>
        <w:rPr>
          <w:rStyle w:val="Strong"/>
        </w:rPr>
        <w:t>Geography is coarse.</w:t>
      </w:r>
      <w:r>
        <w:rPr/>
        <w:t xml:space="preserve"> Three-digit ZIP prefixes indicate patient catchment, not facility location, and are blanked entirely for small populations. </w:t>
      </w:r>
    </w:p>
    <w:p>
      <w:pPr>
        <w:pStyle w:val="BodyText"/>
        <w:numPr>
          <w:ilvl w:val="0"/>
          <w:numId w:val="5"/>
        </w:numPr>
        <w:tabs>
          <w:tab w:val="clear" w:pos="709"/>
          <w:tab w:val="left" w:pos="709" w:leader="none"/>
        </w:tabs>
        <w:bidi w:val="0"/>
        <w:spacing w:before="0" w:after="0"/>
        <w:ind w:hanging="283" w:start="709"/>
        <w:jc w:val="start"/>
        <w:rPr/>
      </w:pPr>
      <w:r>
        <w:rPr>
          <w:rStyle w:val="Strong"/>
        </w:rPr>
        <w:t>Compliance is partial and non-random.</w:t>
      </w:r>
      <w:r>
        <w:rPr/>
        <w:t xml:space="preserve"> The market median is computed over the hospitals that chose to comply, which is not a random sample. NYU Langone publishes APR-DRG without 324 or 326 and may show no price at all; Mount Sinai's CDN rejects crawlers and needs a manually sourced URL. </w:t>
      </w:r>
    </w:p>
    <w:p>
      <w:pPr>
        <w:pStyle w:val="BodyText"/>
        <w:numPr>
          <w:ilvl w:val="0"/>
          <w:numId w:val="5"/>
        </w:numPr>
        <w:tabs>
          <w:tab w:val="clear" w:pos="709"/>
          <w:tab w:val="left" w:pos="709" w:leader="none"/>
        </w:tabs>
        <w:bidi w:val="0"/>
        <w:spacing w:before="0" w:after="0"/>
        <w:ind w:hanging="283" w:start="709"/>
        <w:jc w:val="start"/>
        <w:rPr/>
      </w:pPr>
      <w:r>
        <w:rPr>
          <w:rStyle w:val="Strong"/>
        </w:rPr>
        <w:t>Posted rates are not out-of-pocket cost.</w:t>
      </w:r>
      <w:r>
        <w:rPr/>
        <w:t xml:space="preserve"> Deductibles, coinsurance and benefit design are absent, and the figures cover the facility charge only — not the surgeon, anaesthesiology, separately billed implants, or post-acute care. </w:t>
      </w:r>
    </w:p>
    <w:p>
      <w:pPr>
        <w:pStyle w:val="BodyText"/>
        <w:numPr>
          <w:ilvl w:val="0"/>
          <w:numId w:val="5"/>
        </w:numPr>
        <w:tabs>
          <w:tab w:val="clear" w:pos="709"/>
          <w:tab w:val="left" w:pos="709" w:leader="none"/>
        </w:tabs>
        <w:bidi w:val="0"/>
        <w:ind w:hanging="283" w:start="709"/>
        <w:jc w:val="start"/>
        <w:rPr/>
      </w:pPr>
      <w:r>
        <w:rPr>
          <w:rStyle w:val="Strong"/>
        </w:rPr>
        <w:t>Stacked years are not uniformly observed.</w:t>
      </w:r>
      <w:r>
        <w:rPr/>
        <w:t xml:space="preserve"> A facility appearing in only one release has its volume counted over a shorter window, understating its experience modifier. </w:t>
      </w:r>
    </w:p>
    <w:p>
      <w:pPr>
        <w:pStyle w:val="Heading1newpage"/>
        <w:bidi w:val="0"/>
        <w:jc w:val="start"/>
        <w:rPr/>
      </w:pPr>
      <w:r>
        <w:rPr/>
        <w:t>11. Glossary</w:t>
      </w:r>
    </w:p>
    <w:tbl>
      <w:tblPr>
        <w:tblW w:w="9360" w:type="dxa"/>
        <w:jc w:val="start"/>
        <w:tblInd w:w="0" w:type="dxa"/>
        <w:tblLayout w:type="fixed"/>
        <w:tblCellMar>
          <w:top w:w="28" w:type="dxa"/>
          <w:start w:w="28" w:type="dxa"/>
          <w:bottom w:w="28" w:type="dxa"/>
          <w:end w:w="28" w:type="dxa"/>
        </w:tblCellMar>
      </w:tblPr>
      <w:tblGrid>
        <w:gridCol w:w="1751"/>
        <w:gridCol w:w="7609"/>
      </w:tblGrid>
      <w:tr>
        <w:trPr/>
        <w:tc>
          <w:tcPr>
            <w:tcW w:w="1751" w:type="dxa"/>
            <w:tcBorders/>
            <w:vAlign w:val="center"/>
          </w:tcPr>
          <w:p>
            <w:pPr>
              <w:pStyle w:val="TableHeading"/>
              <w:bidi w:val="0"/>
              <w:ind w:hanging="0" w:start="0" w:end="0"/>
              <w:jc w:val="start"/>
              <w:rPr/>
            </w:pPr>
            <w:r>
              <w:rPr/>
              <w:t>Term</w:t>
            </w:r>
          </w:p>
        </w:tc>
        <w:tc>
          <w:tcPr>
            <w:tcW w:w="7609" w:type="dxa"/>
            <w:tcBorders/>
            <w:vAlign w:val="center"/>
          </w:tcPr>
          <w:p>
            <w:pPr>
              <w:pStyle w:val="TableHeading"/>
              <w:suppressLineNumbers/>
              <w:shd w:fill="0F766E" w:val="clear"/>
              <w:bidi w:val="0"/>
              <w:jc w:val="start"/>
              <w:rPr/>
            </w:pPr>
            <w:r>
              <w:rPr/>
              <w:t>Meaning</w:t>
            </w:r>
          </w:p>
        </w:tc>
      </w:tr>
      <w:tr>
        <w:trPr/>
        <w:tc>
          <w:tcPr>
            <w:tcW w:w="1751" w:type="dxa"/>
            <w:tcBorders/>
            <w:vAlign w:val="center"/>
          </w:tcPr>
          <w:p>
            <w:pPr>
              <w:pStyle w:val="TableContents"/>
              <w:widowControl w:val="false"/>
              <w:suppressLineNumbers/>
              <w:bidi w:val="0"/>
              <w:jc w:val="start"/>
              <w:rPr/>
            </w:pPr>
            <w:r>
              <w:rPr>
                <w:rStyle w:val="Strong"/>
              </w:rPr>
              <w:t>APR-DRG</w:t>
            </w:r>
          </w:p>
        </w:tc>
        <w:tc>
          <w:tcPr>
            <w:tcW w:w="7609" w:type="dxa"/>
            <w:tcBorders/>
            <w:vAlign w:val="center"/>
          </w:tcPr>
          <w:p>
            <w:pPr>
              <w:pStyle w:val="TableContents"/>
              <w:widowControl w:val="false"/>
              <w:suppressLineNumbers/>
              <w:bidi w:val="0"/>
              <w:jc w:val="start"/>
              <w:rPr/>
            </w:pPr>
            <w:r>
              <w:rPr/>
              <w:t xml:space="preserve">All Patient Refined Diagnosis Related Group. The 3M classification used by New York SPARCS. Carries a severity-of-illness subclass from 1 to 4, which is what makes risk adjustment possible. </w:t>
            </w:r>
            <w:r>
              <w:rPr>
                <w:rStyle w:val="Strong"/>
              </w:rPr>
              <w:t>324</w:t>
            </w:r>
            <w:r>
              <w:rPr/>
              <w:t xml:space="preserve"> = elective hip replacement, </w:t>
            </w:r>
            <w:r>
              <w:rPr>
                <w:rStyle w:val="Strong"/>
              </w:rPr>
              <w:t>326</w:t>
            </w:r>
            <w:r>
              <w:rPr/>
              <w:t xml:space="preserve"> = elective knee replacement.</w:t>
            </w:r>
          </w:p>
        </w:tc>
      </w:tr>
      <w:tr>
        <w:trPr/>
        <w:tc>
          <w:tcPr>
            <w:tcW w:w="1751" w:type="dxa"/>
            <w:tcBorders/>
            <w:vAlign w:val="center"/>
          </w:tcPr>
          <w:p>
            <w:pPr>
              <w:pStyle w:val="TableContents"/>
              <w:widowControl w:val="false"/>
              <w:suppressLineNumbers/>
              <w:bidi w:val="0"/>
              <w:jc w:val="start"/>
              <w:rPr/>
            </w:pPr>
            <w:r>
              <w:rPr>
                <w:rStyle w:val="Strong"/>
              </w:rPr>
              <w:t>MS-DRG</w:t>
            </w:r>
          </w:p>
        </w:tc>
        <w:tc>
          <w:tcPr>
            <w:tcW w:w="7609" w:type="dxa"/>
            <w:tcBorders/>
            <w:vAlign w:val="center"/>
          </w:tcPr>
          <w:p>
            <w:pPr>
              <w:pStyle w:val="TableContents"/>
              <w:widowControl w:val="false"/>
              <w:suppressLineNumbers/>
              <w:bidi w:val="0"/>
              <w:jc w:val="start"/>
              <w:rPr/>
            </w:pPr>
            <w:r>
              <w:rPr/>
              <w:t xml:space="preserve">Medicare Severity DRG. The federal classification used for reimbursement and in most hospital price files. </w:t>
            </w:r>
            <w:r>
              <w:rPr>
                <w:rStyle w:val="Strong"/>
              </w:rPr>
              <w:t>470</w:t>
            </w:r>
            <w:r>
              <w:rPr/>
              <w:t xml:space="preserve"> = major hip or knee joint replacement without major complications. </w:t>
            </w:r>
            <w:r>
              <w:rPr>
                <w:rStyle w:val="Emphasis"/>
              </w:rPr>
              <w:t>A different system from APR-DRG: the same number means a different procedure.</w:t>
            </w:r>
          </w:p>
        </w:tc>
      </w:tr>
      <w:tr>
        <w:trPr/>
        <w:tc>
          <w:tcPr>
            <w:tcW w:w="1751" w:type="dxa"/>
            <w:tcBorders/>
            <w:vAlign w:val="center"/>
          </w:tcPr>
          <w:p>
            <w:pPr>
              <w:pStyle w:val="TableContents"/>
              <w:widowControl w:val="false"/>
              <w:suppressLineNumbers/>
              <w:bidi w:val="0"/>
              <w:jc w:val="start"/>
              <w:rPr/>
            </w:pPr>
            <w:r>
              <w:rPr>
                <w:rStyle w:val="Strong"/>
              </w:rPr>
              <w:t>PFI</w:t>
            </w:r>
          </w:p>
        </w:tc>
        <w:tc>
          <w:tcPr>
            <w:tcW w:w="7609" w:type="dxa"/>
            <w:tcBorders/>
            <w:vAlign w:val="center"/>
          </w:tcPr>
          <w:p>
            <w:pPr>
              <w:pStyle w:val="TableContents"/>
              <w:widowControl w:val="false"/>
              <w:suppressLineNumbers/>
              <w:bidi w:val="0"/>
              <w:jc w:val="start"/>
              <w:rPr/>
            </w:pPr>
            <w:r>
              <w:rPr/>
              <w:t>Permanent Facility Identifier. New York's stable numeric identifier for a licensed facility. The join key, because facility names change spelling between releases.</w:t>
            </w:r>
          </w:p>
        </w:tc>
      </w:tr>
      <w:tr>
        <w:trPr/>
        <w:tc>
          <w:tcPr>
            <w:tcW w:w="1751" w:type="dxa"/>
            <w:tcBorders/>
            <w:vAlign w:val="center"/>
          </w:tcPr>
          <w:p>
            <w:pPr>
              <w:pStyle w:val="TableContents"/>
              <w:widowControl w:val="false"/>
              <w:suppressLineNumbers/>
              <w:bidi w:val="0"/>
              <w:jc w:val="start"/>
              <w:rPr/>
            </w:pPr>
            <w:r>
              <w:rPr>
                <w:rStyle w:val="Strong"/>
              </w:rPr>
              <w:t>O/E ratio</w:t>
            </w:r>
          </w:p>
        </w:tc>
        <w:tc>
          <w:tcPr>
            <w:tcW w:w="7609" w:type="dxa"/>
            <w:tcBorders/>
            <w:vAlign w:val="center"/>
          </w:tcPr>
          <w:p>
            <w:pPr>
              <w:pStyle w:val="TableContents"/>
              <w:widowControl w:val="false"/>
              <w:suppressLineNumbers/>
              <w:bidi w:val="0"/>
              <w:jc w:val="start"/>
              <w:rPr/>
            </w:pPr>
            <w:r>
              <w:rPr/>
              <w:t>Observed divided by Expected. Below 1.0 means a facility performed better than its patient mix predicted. The standard construction in risk-adjusted quality measurement.</w:t>
            </w:r>
          </w:p>
        </w:tc>
      </w:tr>
      <w:tr>
        <w:trPr/>
        <w:tc>
          <w:tcPr>
            <w:tcW w:w="1751" w:type="dxa"/>
            <w:tcBorders/>
            <w:vAlign w:val="center"/>
          </w:tcPr>
          <w:p>
            <w:pPr>
              <w:pStyle w:val="TableContents"/>
              <w:widowControl w:val="false"/>
              <w:suppressLineNumbers/>
              <w:bidi w:val="0"/>
              <w:jc w:val="start"/>
              <w:rPr/>
            </w:pPr>
            <w:r>
              <w:rPr>
                <w:rStyle w:val="Strong"/>
              </w:rPr>
              <w:t>Indirect standardization</w:t>
            </w:r>
          </w:p>
        </w:tc>
        <w:tc>
          <w:tcPr>
            <w:tcW w:w="7609" w:type="dxa"/>
            <w:tcBorders/>
            <w:vAlign w:val="center"/>
          </w:tcPr>
          <w:p>
            <w:pPr>
              <w:pStyle w:val="TableContents"/>
              <w:widowControl w:val="false"/>
              <w:suppressLineNumbers/>
              <w:bidi w:val="0"/>
              <w:jc w:val="start"/>
              <w:rPr/>
            </w:pPr>
            <w:r>
              <w:rPr/>
              <w:t>Deriving an expected rate by applying population-wide averages to a facility's own case mix, rather than comparing raw averages directly.</w:t>
            </w:r>
          </w:p>
        </w:tc>
      </w:tr>
      <w:tr>
        <w:trPr/>
        <w:tc>
          <w:tcPr>
            <w:tcW w:w="1751" w:type="dxa"/>
            <w:tcBorders/>
            <w:vAlign w:val="center"/>
          </w:tcPr>
          <w:p>
            <w:pPr>
              <w:pStyle w:val="TableContents"/>
              <w:widowControl w:val="false"/>
              <w:suppressLineNumbers/>
              <w:bidi w:val="0"/>
              <w:jc w:val="start"/>
              <w:rPr/>
            </w:pPr>
            <w:r>
              <w:rPr>
                <w:rStyle w:val="Strong"/>
              </w:rPr>
              <w:t>Severity of illness</w:t>
            </w:r>
          </w:p>
        </w:tc>
        <w:tc>
          <w:tcPr>
            <w:tcW w:w="7609" w:type="dxa"/>
            <w:tcBorders/>
            <w:vAlign w:val="center"/>
          </w:tcPr>
          <w:p>
            <w:pPr>
              <w:pStyle w:val="TableContents"/>
              <w:widowControl w:val="false"/>
              <w:suppressLineNumbers/>
              <w:bidi w:val="0"/>
              <w:jc w:val="start"/>
              <w:rPr/>
            </w:pPr>
            <w:r>
              <w:rPr/>
              <w:t>An APR-DRG subclass from 1 (Minor) to 4 (Extreme) describing physiological decompensation. The stratification variable for every benchmark here.</w:t>
            </w:r>
          </w:p>
        </w:tc>
      </w:tr>
      <w:tr>
        <w:trPr/>
        <w:tc>
          <w:tcPr>
            <w:tcW w:w="1751" w:type="dxa"/>
            <w:tcBorders/>
            <w:vAlign w:val="center"/>
          </w:tcPr>
          <w:p>
            <w:pPr>
              <w:pStyle w:val="TableContents"/>
              <w:widowControl w:val="false"/>
              <w:suppressLineNumbers/>
              <w:bidi w:val="0"/>
              <w:jc w:val="start"/>
              <w:rPr/>
            </w:pPr>
            <w:r>
              <w:rPr>
                <w:rStyle w:val="Strong"/>
              </w:rPr>
              <w:t>SPARCS</w:t>
            </w:r>
          </w:p>
        </w:tc>
        <w:tc>
          <w:tcPr>
            <w:tcW w:w="7609" w:type="dxa"/>
            <w:tcBorders/>
            <w:vAlign w:val="center"/>
          </w:tcPr>
          <w:p>
            <w:pPr>
              <w:pStyle w:val="TableContents"/>
              <w:widowControl w:val="false"/>
              <w:suppressLineNumbers/>
              <w:bidi w:val="0"/>
              <w:jc w:val="start"/>
              <w:rPr/>
            </w:pPr>
            <w:r>
              <w:rPr/>
              <w:t>Statewide Planning and Research Cooperative System. New York's mandatory all-payer discharge database, published de-identified.</w:t>
            </w:r>
          </w:p>
        </w:tc>
      </w:tr>
      <w:tr>
        <w:trPr/>
        <w:tc>
          <w:tcPr>
            <w:tcW w:w="1751" w:type="dxa"/>
            <w:tcBorders/>
            <w:vAlign w:val="center"/>
          </w:tcPr>
          <w:p>
            <w:pPr>
              <w:pStyle w:val="TableContents"/>
              <w:widowControl w:val="false"/>
              <w:suppressLineNumbers/>
              <w:bidi w:val="0"/>
              <w:jc w:val="start"/>
              <w:rPr/>
            </w:pPr>
            <w:r>
              <w:rPr>
                <w:rStyle w:val="Strong"/>
              </w:rPr>
              <w:t>MRF</w:t>
            </w:r>
          </w:p>
        </w:tc>
        <w:tc>
          <w:tcPr>
            <w:tcW w:w="7609" w:type="dxa"/>
            <w:tcBorders/>
            <w:vAlign w:val="center"/>
          </w:tcPr>
          <w:p>
            <w:pPr>
              <w:pStyle w:val="TableContents"/>
              <w:widowControl w:val="false"/>
              <w:suppressLineNumbers/>
              <w:bidi w:val="0"/>
              <w:jc w:val="start"/>
              <w:rPr/>
            </w:pPr>
            <w:r>
              <w:rPr/>
              <w:t>Machine-Readable File. The standard-charges file every US hospital must publish under 45 CFR Part 180.</w:t>
            </w:r>
          </w:p>
        </w:tc>
      </w:tr>
      <w:tr>
        <w:trPr/>
        <w:tc>
          <w:tcPr>
            <w:tcW w:w="1751" w:type="dxa"/>
            <w:tcBorders/>
            <w:vAlign w:val="center"/>
          </w:tcPr>
          <w:p>
            <w:pPr>
              <w:pStyle w:val="TableContents"/>
              <w:widowControl w:val="false"/>
              <w:suppressLineNumbers/>
              <w:bidi w:val="0"/>
              <w:jc w:val="start"/>
              <w:rPr/>
            </w:pPr>
            <w:r>
              <w:rPr>
                <w:rStyle w:val="Strong"/>
              </w:rPr>
              <w:t>cms-hpt.txt</w:t>
            </w:r>
          </w:p>
        </w:tc>
        <w:tc>
          <w:tcPr>
            <w:tcW w:w="7609" w:type="dxa"/>
            <w:tcBorders/>
            <w:vAlign w:val="center"/>
          </w:tcPr>
          <w:p>
            <w:pPr>
              <w:pStyle w:val="TableContents"/>
              <w:widowControl w:val="false"/>
              <w:suppressLineNumbers/>
              <w:bidi w:val="0"/>
              <w:jc w:val="start"/>
              <w:rPr/>
            </w:pPr>
            <w:r>
              <w:rPr/>
              <w:t>A file at a hospital's domain root pointing automated crawlers at its MRF. Introduced by the 2024 OPPS Final Rule.</w:t>
            </w:r>
          </w:p>
        </w:tc>
      </w:tr>
      <w:tr>
        <w:trPr/>
        <w:tc>
          <w:tcPr>
            <w:tcW w:w="1751" w:type="dxa"/>
            <w:tcBorders/>
            <w:vAlign w:val="center"/>
          </w:tcPr>
          <w:p>
            <w:pPr>
              <w:pStyle w:val="TableContents"/>
              <w:widowControl w:val="false"/>
              <w:suppressLineNumbers/>
              <w:bidi w:val="0"/>
              <w:jc w:val="start"/>
              <w:rPr/>
            </w:pPr>
            <w:r>
              <w:rPr>
                <w:rStyle w:val="Strong"/>
              </w:rPr>
              <w:t>Censoring</w:t>
            </w:r>
          </w:p>
        </w:tc>
        <w:tc>
          <w:tcPr>
            <w:tcW w:w="7609" w:type="dxa"/>
            <w:tcBorders/>
            <w:vAlign w:val="center"/>
          </w:tcPr>
          <w:p>
            <w:pPr>
              <w:pStyle w:val="TableContents"/>
              <w:widowControl w:val="false"/>
              <w:suppressLineNumbers/>
              <w:bidi w:val="0"/>
              <w:jc w:val="start"/>
              <w:rPr/>
            </w:pPr>
            <w:r>
              <w:rPr/>
              <w:t>Recording all values beyond a threshold identically. SPARCS collapses every stay of 120+ days to one bucket, so observed averages are floors.</w:t>
            </w:r>
          </w:p>
        </w:tc>
      </w:tr>
      <w:tr>
        <w:trPr/>
        <w:tc>
          <w:tcPr>
            <w:tcW w:w="1751" w:type="dxa"/>
            <w:tcBorders/>
            <w:vAlign w:val="center"/>
          </w:tcPr>
          <w:p>
            <w:pPr>
              <w:pStyle w:val="TableContents"/>
              <w:widowControl w:val="false"/>
              <w:suppressLineNumbers/>
              <w:bidi w:val="0"/>
              <w:jc w:val="start"/>
              <w:rPr/>
            </w:pPr>
            <w:r>
              <w:rPr>
                <w:rStyle w:val="Strong"/>
              </w:rPr>
              <w:t>Adverse disposition</w:t>
            </w:r>
          </w:p>
        </w:tc>
        <w:tc>
          <w:tcPr>
            <w:tcW w:w="7609" w:type="dxa"/>
            <w:tcBorders/>
            <w:vAlign w:val="center"/>
          </w:tcPr>
          <w:p>
            <w:pPr>
              <w:pStyle w:val="TableContents"/>
              <w:widowControl w:val="false"/>
              <w:suppressLineNumbers/>
              <w:bidi w:val="0"/>
              <w:jc w:val="start"/>
              <w:rPr/>
            </w:pPr>
            <w:r>
              <w:rPr/>
              <w:t>Any discharge destination other than self-care or home with home health — skilled nursing, inpatient rehab, acute transfer, hospice, or death.</w:t>
            </w:r>
          </w:p>
        </w:tc>
      </w:tr>
      <w:tr>
        <w:trPr/>
        <w:tc>
          <w:tcPr>
            <w:tcW w:w="1751" w:type="dxa"/>
            <w:tcBorders/>
            <w:vAlign w:val="center"/>
          </w:tcPr>
          <w:p>
            <w:pPr>
              <w:pStyle w:val="TableContents"/>
              <w:widowControl w:val="false"/>
              <w:suppressLineNumbers/>
              <w:bidi w:val="0"/>
              <w:jc w:val="start"/>
              <w:rPr/>
            </w:pPr>
            <w:r>
              <w:rPr>
                <w:rStyle w:val="Strong"/>
              </w:rPr>
              <w:t>Fan-out</w:t>
            </w:r>
          </w:p>
        </w:tc>
        <w:tc>
          <w:tcPr>
            <w:tcW w:w="7609" w:type="dxa"/>
            <w:tcBorders/>
            <w:vAlign w:val="center"/>
          </w:tcPr>
          <w:p>
            <w:pPr>
              <w:pStyle w:val="TableContents"/>
              <w:widowControl w:val="false"/>
              <w:suppressLineNumbers/>
              <w:bidi w:val="0"/>
              <w:jc w:val="start"/>
              <w:rPr/>
            </w:pPr>
            <w:r>
              <w:rPr/>
              <w:t>A join that multiplies rows because the key is not unique on one side. The failure mode most likely to corrupt an aggregate silently.</w:t>
            </w:r>
          </w:p>
        </w:tc>
      </w:tr>
    </w:tbl>
    <w:p>
      <w:pPr>
        <w:pStyle w:val="Heading1"/>
        <w:bidi w:val="0"/>
        <w:jc w:val="start"/>
        <w:rPr/>
      </w:pPr>
      <w:r>
        <w:rPr/>
        <w:t>12. Success Criteria</w:t>
      </w:r>
    </w:p>
    <w:p>
      <w:pPr>
        <w:pStyle w:val="BodyText"/>
        <w:bidi w:val="0"/>
        <w:jc w:val="start"/>
        <w:rPr/>
      </w:pPr>
      <w:r>
        <w:rPr/>
        <w:t>The project is complete when a reader who has never seen it can, in under two minutes:</w:t>
      </w:r>
    </w:p>
    <w:p>
      <w:pPr>
        <w:pStyle w:val="BodyText"/>
        <w:numPr>
          <w:ilvl w:val="0"/>
          <w:numId w:val="6"/>
        </w:numPr>
        <w:tabs>
          <w:tab w:val="clear" w:pos="709"/>
          <w:tab w:val="left" w:pos="709" w:leader="none"/>
        </w:tabs>
        <w:bidi w:val="0"/>
        <w:spacing w:before="0" w:after="0"/>
        <w:ind w:hanging="283" w:start="709"/>
        <w:jc w:val="start"/>
        <w:rPr/>
      </w:pPr>
      <w:r>
        <w:rPr/>
        <w:t xml:space="preserve">Open a live URL and compare NYC hospitals on cost and risk-adjusted quality for a knee replacement. </w:t>
      </w:r>
    </w:p>
    <w:p>
      <w:pPr>
        <w:pStyle w:val="BodyText"/>
        <w:numPr>
          <w:ilvl w:val="0"/>
          <w:numId w:val="6"/>
        </w:numPr>
        <w:tabs>
          <w:tab w:val="clear" w:pos="709"/>
          <w:tab w:val="left" w:pos="709" w:leader="none"/>
        </w:tabs>
        <w:bidi w:val="0"/>
        <w:spacing w:before="0" w:after="0"/>
        <w:ind w:hanging="283" w:start="709"/>
        <w:jc w:val="start"/>
        <w:rPr/>
      </w:pPr>
      <w:r>
        <w:rPr/>
        <w:t xml:space="preserve">See the geographic distribution of value across the five boroughs. </w:t>
      </w:r>
    </w:p>
    <w:p>
      <w:pPr>
        <w:pStyle w:val="BodyText"/>
        <w:numPr>
          <w:ilvl w:val="0"/>
          <w:numId w:val="6"/>
        </w:numPr>
        <w:tabs>
          <w:tab w:val="clear" w:pos="709"/>
          <w:tab w:val="left" w:pos="709" w:leader="none"/>
        </w:tabs>
        <w:bidi w:val="0"/>
        <w:spacing w:before="0" w:after="0"/>
        <w:ind w:hanging="283" w:start="709"/>
        <w:jc w:val="start"/>
        <w:rPr/>
      </w:pPr>
      <w:r>
        <w:rPr/>
        <w:t xml:space="preserve">Read the repository and understand how public clinical and pricing data became that ranking. </w:t>
      </w:r>
    </w:p>
    <w:p>
      <w:pPr>
        <w:pStyle w:val="BodyText"/>
        <w:numPr>
          <w:ilvl w:val="0"/>
          <w:numId w:val="6"/>
        </w:numPr>
        <w:tabs>
          <w:tab w:val="clear" w:pos="709"/>
          <w:tab w:val="left" w:pos="709" w:leader="none"/>
        </w:tabs>
        <w:bidi w:val="0"/>
        <w:ind w:hanging="283" w:start="709"/>
        <w:jc w:val="start"/>
        <w:rPr/>
      </w:pPr>
      <w:r>
        <w:rPr/>
        <w:t xml:space="preserve">Find a clear statement of what the data cannot support. </w:t>
      </w:r>
    </w:p>
    <w:p>
      <w:pPr>
        <w:pStyle w:val="BodyText"/>
        <w:bidi w:val="0"/>
        <w:jc w:val="start"/>
        <w:rPr/>
      </w:pPr>
      <w:r>
        <w:rPr/>
        <w:t>The last of those matters as much as the first three. Demonstrating that you know where a model stops being trustworthy is the difference between an analyst and someone who produces charts.</w:t>
      </w:r>
    </w:p>
    <w:tbl>
      <w:tblPr>
        <w:tblW w:w="9360" w:type="dxa"/>
        <w:jc w:val="start"/>
        <w:tblInd w:w="-5" w:type="dxa"/>
        <w:tblLayout w:type="fixed"/>
        <w:tblCellMar>
          <w:top w:w="160" w:type="dxa"/>
          <w:start w:w="200" w:type="dxa"/>
          <w:bottom w:w="160" w:type="dxa"/>
          <w:end w:w="200" w:type="dxa"/>
        </w:tblCellMar>
      </w:tblPr>
      <w:tblGrid>
        <w:gridCol w:w="9360"/>
      </w:tblGrid>
      <w:tr>
        <w:trPr/>
        <w:tc>
          <w:tcPr>
            <w:tcW w:w="9360" w:type="dxa"/>
            <w:tcBorders>
              <w:top w:val="single" w:sz="4" w:space="0" w:color="CBD5E1"/>
              <w:start w:val="single" w:sz="4" w:space="0" w:color="CBD5E1"/>
              <w:bottom w:val="single" w:sz="4" w:space="0" w:color="CBD5E1"/>
              <w:end w:val="single" w:sz="4" w:space="0" w:color="CBD5E1"/>
            </w:tcBorders>
            <w:shd w:fill="F1F5F9" w:val="clear"/>
            <w:vAlign w:val="center"/>
          </w:tcPr>
          <w:p>
            <w:pPr>
              <w:pStyle w:val="TableContents"/>
              <w:bidi w:val="0"/>
              <w:ind w:hanging="0" w:start="0" w:end="0"/>
              <w:jc w:val="start"/>
              <w:rPr/>
            </w:pPr>
            <w:r>
              <w:rPr>
                <w:color w:val="475569"/>
                <w:sz w:val="19"/>
              </w:rPr>
              <w:t xml:space="preserve">This project is a portfolio demonstration. It is not medical or financial advice and has not been clinically validated. See </w:t>
            </w:r>
            <w:r>
              <w:rPr>
                <w:rStyle w:val="SourceText"/>
                <w:color w:val="475569"/>
                <w:sz w:val="19"/>
              </w:rPr>
              <w:t>DISCLAIMER.md</w:t>
            </w:r>
            <w:r>
              <w:rPr>
                <w:color w:val="475569"/>
                <w:sz w:val="19"/>
              </w:rPr>
              <w:t xml:space="preserve"> in the repository. </w:t>
            </w:r>
          </w:p>
        </w:tc>
      </w:tr>
    </w:tbl>
    <w:p>
      <w:pPr>
        <w:pStyle w:val="BodyText"/>
        <w:bidi w:val="0"/>
        <w:spacing w:before="0" w:after="160"/>
        <w:jc w:val="start"/>
        <w:rPr/>
      </w:pPr>
      <w:r>
        <w:rPr/>
      </w:r>
    </w:p>
    <w:sectPr>
      <w:type w:val="nextPage"/>
      <w:pgSz w:w="12240" w:h="15840"/>
      <w:pgMar w:left="1440" w:right="1440" w:gutter="0" w:header="0" w:top="1440" w:footer="0"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altName w:val="sans-serif"/>
    <w:charset w:val="00" w:characterSet="windows-1252"/>
    <w:family w:val="auto"/>
    <w:pitch w:val="default"/>
  </w:font>
  <w:font w:name="Consolas">
    <w:altName w:val="monospace"/>
    <w:charset w:val="00" w:characterSet="windows-1252"/>
    <w:family w:val="auto"/>
    <w:pitch w:val="default"/>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Calibri;sans-serif" w:hAnsi="Calibri;sans-serif" w:eastAsia="Calibri;sans-serif" w:cs="Calibri;sans-serif"/>
      <w:color w:val="1F2937"/>
      <w:sz w:val="22"/>
      <w:szCs w:val="22"/>
      <w:lang w:val="en-US" w:eastAsia="zh-CN" w:bidi="hi-IN"/>
    </w:rPr>
  </w:style>
  <w:style w:type="paragraph" w:styleId="Heading1">
    <w:name w:val="heading 1"/>
    <w:basedOn w:val="Heading"/>
    <w:next w:val="BodyText"/>
    <w:qFormat/>
    <w:pPr>
      <w:pBdr>
        <w:bottom w:val="single" w:sz="12" w:space="3" w:color="0F766E"/>
      </w:pBdr>
      <w:spacing w:before="440" w:after="160"/>
      <w:ind w:start="440" w:end="440"/>
      <w:outlineLvl w:val="0"/>
    </w:pPr>
    <w:rPr>
      <w:rFonts w:ascii="Liberation Serif" w:hAnsi="Liberation Serif" w:eastAsia="NSimSun" w:cs="Lucida Sans"/>
      <w:b/>
      <w:bCs/>
      <w:color w:val="0F766E"/>
      <w:sz w:val="32"/>
      <w:szCs w:val="32"/>
    </w:rPr>
  </w:style>
  <w:style w:type="paragraph" w:styleId="Heading2">
    <w:name w:val="heading 2"/>
    <w:basedOn w:val="Heading"/>
    <w:next w:val="BodyText"/>
    <w:qFormat/>
    <w:pPr>
      <w:spacing w:before="280" w:after="100"/>
      <w:ind w:start="280" w:end="280"/>
      <w:outlineLvl w:val="1"/>
    </w:pPr>
    <w:rPr>
      <w:rFonts w:ascii="Liberation Serif" w:hAnsi="Liberation Serif" w:eastAsia="NSimSun" w:cs="Lucida Sans"/>
      <w:b/>
      <w:bCs/>
      <w:color w:val="134E4A"/>
      <w:sz w:val="25"/>
      <w:szCs w:val="25"/>
    </w:rPr>
  </w:style>
  <w:style w:type="character" w:styleId="SourceText">
    <w:name w:val="Source Text"/>
    <w:qFormat/>
    <w:rPr>
      <w:rFonts w:ascii="Consolas;monospace" w:hAnsi="Consolas;monospace" w:eastAsia="Consolas;monospace" w:cs="Consolas;monospace"/>
      <w:sz w:val="19"/>
      <w:szCs w:val="19"/>
      <w:shd w:fill="F1F5F9"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6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ing1doctitle">
    <w:name w:val="Heading 1.doctitle"/>
    <w:basedOn w:val="Heading1"/>
    <w:qFormat/>
    <w:pPr>
      <w:spacing w:before="240" w:after="40"/>
      <w:ind w:hanging="0" w:start="440"/>
      <w:outlineLvl w:val="9"/>
    </w:pPr>
    <w:rPr>
      <w:color w:val="0F766E"/>
      <w:sz w:val="52"/>
      <w:szCs w:val="52"/>
    </w:rPr>
  </w:style>
  <w:style w:type="paragraph" w:styleId="BodyTextsubtitle">
    <w:name w:val="Body Text.subtitle"/>
    <w:basedOn w:val="BodyText"/>
    <w:qFormat/>
    <w:pPr>
      <w:spacing w:before="0" w:after="40"/>
    </w:pPr>
    <w:rPr>
      <w:color w:val="475569"/>
      <w:sz w:val="28"/>
      <w:szCs w:val="28"/>
    </w:rPr>
  </w:style>
  <w:style w:type="paragraph" w:styleId="BodyTextmeta">
    <w:name w:val="Body Text.meta"/>
    <w:basedOn w:val="BodyText"/>
    <w:qFormat/>
    <w:pPr>
      <w:spacing w:before="0" w:after="320"/>
    </w:pPr>
    <w:rPr>
      <w:color w:val="64748B"/>
      <w:sz w:val="20"/>
      <w:szCs w:val="20"/>
    </w:rPr>
  </w:style>
  <w:style w:type="paragraph" w:styleId="PreformattedText">
    <w:name w:val="Preformatted Text"/>
    <w:basedOn w:val="Normal"/>
    <w:qFormat/>
    <w:pPr>
      <w:pBdr/>
      <w:shd w:fill="F1F5F9" w:val="clear"/>
      <w:spacing w:lineRule="auto" w:line="300" w:before="80" w:after="200"/>
      <w:ind w:start="80" w:end="80"/>
    </w:pPr>
    <w:rPr>
      <w:rFonts w:ascii="Consolas;monospace" w:hAnsi="Consolas;monospace" w:eastAsia="Consolas;monospace" w:cs="Consolas;monospace"/>
      <w:sz w:val="19"/>
      <w:szCs w:val="19"/>
    </w:rPr>
  </w:style>
  <w:style w:type="paragraph" w:styleId="Heading1newpage">
    <w:name w:val="Heading 1.newpage"/>
    <w:basedOn w:val="Heading1"/>
    <w:qFormat/>
    <w:pPr>
      <w:pageBreakBefore/>
      <w:ind w:hanging="0" w:start="440"/>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0F766E"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Healthcare Transparency MVP - Master Plan v3</dc:title>
</cp:coreProperties>
</file>

<file path=docProps/custom.xml><?xml version="1.0" encoding="utf-8"?>
<Properties xmlns="http://schemas.openxmlformats.org/officeDocument/2006/custom-properties" xmlns:vt="http://schemas.openxmlformats.org/officeDocument/2006/docPropsVTypes"/>
</file>