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32"/>
        <w:gridCol w:w="2205"/>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32"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05"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32"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05"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699547027"/>
      <w:bookmarkStart w:id="31" w:name="_Toc106870827"/>
      <w:bookmarkStart w:id="32" w:name="_Toc106872405"/>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351769451"/>
      <w:bookmarkStart w:id="35" w:name="_Toc106870828"/>
      <w:bookmarkStart w:id="36" w:name="_Toc106872406"/>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LibreOffice/7.6.2.1$Windows_X86_64 LibreOffice_project/56f7684011345957bbf33a7ee678afaf4d2ba333</Application>
  <AppVersion>15.0000</AppVersion>
  <Pages>49</Pages>
  <Words>7564</Words>
  <Characters>49517</Characters>
  <CharactersWithSpaces>55511</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2023-10-16T11:48:34Z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