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${SN}.</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décret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:2022).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w:t>
      </w:r>
      <w:r>
        <w:rPr>
          <w:b w:val="false"/>
          <w:i w:val="false"/>
          <w:sz w:val="22"/>
        </w:rPr>
        <w:t>ANCS v2.1</w:t>
      </w:r>
    </w:p>
    <w:p>
      <w:pPr>
        <w:pStyle w:val="Normal0"/>
        <w:widowControl/>
        <w:numPr>
          <w:ilvl w:val="0"/>
          <w:numId w:val="15"/>
        </w:numPr>
        <w:spacing w:lineRule="auto" w:line="360"/>
        <w:jc w:val="both"/>
        <w:rPr>
          <w:color w:val="000000"/>
        </w:rPr>
      </w:pPr>
      <w:r>
        <w:rPr>
          <w:color w:themeColor="text1" w:val="000000"/>
        </w:rPr>
        <w:t>La norme ISO 27002 :2022</w:t>
      </w:r>
    </w:p>
    <w:p>
      <w:pPr>
        <w:pStyle w:val="SS-Titre1"/>
        <w:numPr>
          <w:ilvl w:val="0"/>
          <w:numId w:val="20"/>
        </w:numPr>
        <w:rPr/>
      </w:pPr>
      <w:bookmarkStart w:id="12" w:name="_Toc106872389"/>
      <w:r>
        <w:rPr/>
        <w:t xml:space="preserve">Présentation de ${SN}     </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color w:val="444444"/>
          <w:sz w:val="19"/>
          <w:szCs w:val="19"/>
          <w:highlight w:val="yellow"/>
        </w:rPr>
      </w:pPr>
      <w:r>
        <w:rPr>
          <w:color w:val="444444"/>
          <w:sz w:val="19"/>
          <w:szCs w:val="19"/>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val="000000"/>
          <w:highlight w:val="yellow"/>
        </w:rPr>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r>
        <w:rPr>
          <w:color w:val="444444"/>
          <w:sz w:val="19"/>
          <w:szCs w:val="19"/>
          <w:highlight w:val="yellow"/>
          <w:lang w:val="en-US"/>
        </w:rPr>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spacing w:before="0" w:after="240"/>
        <w:rPr>
          <w:b/>
          <w:bCs/>
          <w:color w:val="FF0000"/>
        </w:rPr>
      </w:pPr>
      <w:r>
        <w:rPr>
          <w:b/>
          <w:bCs/>
          <w:color w:themeColor="text1" w:val="000000"/>
        </w:rPr>
        <w:t xml:space="preserve">Description du SI de </w:t>
      </w:r>
      <w:r>
        <w:rPr>
          <w:b/>
          <w:bCs/>
          <w:color w:val="FF0000"/>
        </w:rPr>
        <w:t>${SN}</w:t>
      </w:r>
    </w:p>
    <w:p>
      <w:pPr>
        <w:pStyle w:val="Normal0"/>
        <w:spacing w:before="0" w:after="240"/>
        <w:rPr>
          <w:b/>
          <w:bCs/>
          <w:color w:val="FF0000"/>
          <w:highlight w:val="yellow"/>
          <w:lang w:val="en-US"/>
        </w:rPr>
      </w:pPr>
      <w:r>
        <w:rPr>
          <w:b/>
          <w:bCs/>
          <w:color w:val="FF0000"/>
          <w:highlight w:val="yellow"/>
          <w:lang w:val="en-US"/>
        </w:rPr>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8"/>
        <w:gridCol w:w="1496"/>
        <w:gridCol w:w="2141"/>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8"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9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141"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96"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141"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9"/>
          <w:headerReference w:type="first" r:id="rId10"/>
          <w:footerReference w:type="default" r:id="rId11"/>
          <w:footerReference w:type="first" r:id="rId12"/>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b/>
          <w:bCs/>
          <w:highlight w:val="yellow"/>
        </w:rPr>
      </w:pPr>
      <w:r>
        <w:rPr>
          <w:b/>
          <w:bCs/>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highlight w:val="yellow"/>
          <w:lang w:val="en-US"/>
        </w:rPr>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w:t>
            </w:r>
            <w:r>
              <w:rPr>
                <w:lang w:val="en-US"/>
              </w:rPr>
              <w:t>SPOC_Tech_Name</w:t>
            </w:r>
            <w:r>
              <w:rPr/>
              <w:t>}</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13"/>
          <w:headerReference w:type="first" r:id="rId14"/>
          <w:footerReference w:type="default" r:id="rId15"/>
          <w:footerReference w:type="first" r:id="rId16"/>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17"/>
          <w:headerReference w:type="first" r:id="rId18"/>
          <w:footerReference w:type="default" r:id="rId19"/>
          <w:footerReference w:type="first" r:id="rId20"/>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highlight w:val="yellow"/>
          <w:lang w:val="en-US"/>
        </w:rPr>
      </w:r>
    </w:p>
    <w:tbl>
      <w:tblPr>
        <w:tblW w:w="11520" w:type="dxa"/>
        <w:jc w:val="left"/>
        <w:tblInd w:w="-1055" w:type="dxa"/>
        <w:tblLayout w:type="fixed"/>
        <w:tblCellMar>
          <w:top w:w="0" w:type="dxa"/>
          <w:left w:w="108" w:type="dxa"/>
          <w:bottom w:w="0" w:type="dxa"/>
          <w:right w:w="108" w:type="dxa"/>
        </w:tblCellMar>
        <w:tblLook w:firstRow="0" w:noVBand="1" w:lastRow="0" w:firstColumn="0" w:lastColumn="0" w:noHBand="0" w:val="0400"/>
      </w:tblPr>
      <w:tblGrid>
        <w:gridCol w:w="2339"/>
        <w:gridCol w:w="3435"/>
        <w:gridCol w:w="1246"/>
        <w:gridCol w:w="810"/>
        <w:gridCol w:w="989"/>
        <w:gridCol w:w="1"/>
        <w:gridCol w:w="2699"/>
      </w:tblGrid>
      <w:tr>
        <w:trPr/>
        <w:tc>
          <w:tcPr>
            <w:tcW w:w="233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${ProjectName}</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.${projNum}.${ActionNumero}:${Action}</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${chargeaction}</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${tauxrealisation}</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jc w:val="center"/>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6"/>
                <w:szCs w:val="16"/>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widowControl/>
              <w:jc w:val="center"/>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6"/>
                <w:szCs w:val="16"/>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widowControl/>
              <w:jc w:val="center"/>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6"/>
                <w:szCs w:val="16"/>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jc w:val="center"/>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6"/>
                <w:szCs w:val="16"/>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A5 :</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 Politiques de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 Fonctions et responsabilités liées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3</w:t>
            </w:r>
            <w:r>
              <w:rPr>
                <w:rFonts w:eastAsia="Times New Roman" w:cs="Calibri" w:cstheme="majorHAnsi"/>
                <w:sz w:val="18"/>
                <w:szCs w:val="18"/>
              </w:rPr>
              <w:t xml:space="preserve"> Séparation des tâches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4</w:t>
            </w:r>
            <w:r>
              <w:rPr>
                <w:rFonts w:eastAsia="Times New Roman" w:cs="Calibri" w:cstheme="majorHAnsi"/>
                <w:sz w:val="18"/>
                <w:szCs w:val="18"/>
              </w:rPr>
              <w:t xml:space="preserve"> Responsabilités de la direction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5</w:t>
            </w:r>
            <w:r>
              <w:rPr>
                <w:rFonts w:eastAsia="Times New Roman" w:cs="Calibri" w:cstheme="majorHAnsi"/>
                <w:sz w:val="18"/>
                <w:szCs w:val="18"/>
              </w:rPr>
              <w:t xml:space="preserve"> Relations avec les autorités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6</w:t>
            </w:r>
            <w:r>
              <w:rPr>
                <w:rFonts w:eastAsia="Times New Roman" w:cs="Calibri" w:cstheme="majorHAnsi"/>
                <w:sz w:val="18"/>
                <w:szCs w:val="18"/>
              </w:rPr>
              <w:t xml:space="preserve"> Relations avec des groupes de travail spécialisés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7</w:t>
            </w:r>
            <w:r>
              <w:rPr>
                <w:rFonts w:eastAsia="Times New Roman" w:cs="Calibri" w:cstheme="majorHAnsi"/>
                <w:sz w:val="18"/>
                <w:szCs w:val="18"/>
              </w:rPr>
              <w:t xml:space="preserve"> Intelligence des menaces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8</w:t>
            </w:r>
            <w:r>
              <w:rPr>
                <w:rFonts w:eastAsia="Times New Roman" w:cs="Calibri" w:cstheme="majorHAnsi"/>
                <w:sz w:val="18"/>
                <w:szCs w:val="18"/>
              </w:rPr>
              <w:t xml:space="preserve"> Sécurité de l'information dans la gestion de projet</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9</w:t>
            </w:r>
            <w:r>
              <w:rPr>
                <w:rFonts w:eastAsia="Times New Roman" w:cs="Calibri" w:cstheme="majorHAnsi"/>
                <w:sz w:val="18"/>
                <w:szCs w:val="18"/>
              </w:rPr>
              <w:t xml:space="preserve"> Inventaire des informations et des autres actifs associés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10</w:t>
            </w:r>
            <w:r>
              <w:rPr>
                <w:rFonts w:eastAsia="Times New Roman" w:cs="Calibri" w:cstheme="majorHAnsi"/>
                <w:sz w:val="18"/>
                <w:szCs w:val="18"/>
              </w:rPr>
              <w:t xml:space="preserve"> Utilisation correcte des actifs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1</w:t>
            </w:r>
            <w:r>
              <w:rPr>
                <w:rFonts w:eastAsia="Times New Roman" w:cs="Calibri" w:cstheme="majorHAnsi"/>
                <w:sz w:val="18"/>
                <w:szCs w:val="18"/>
              </w:rPr>
              <w:t xml:space="preserve"> Restitution des actifs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2</w:t>
            </w:r>
            <w:r>
              <w:rPr>
                <w:rFonts w:eastAsia="Times New Roman" w:cs="Calibri" w:cstheme="majorHAnsi"/>
                <w:sz w:val="18"/>
                <w:szCs w:val="18"/>
              </w:rPr>
              <w:t xml:space="preserve"> Classification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3</w:t>
            </w:r>
            <w:r>
              <w:rPr>
                <w:rFonts w:eastAsia="Times New Roman" w:cs="Calibri" w:cstheme="majorHAnsi"/>
                <w:sz w:val="18"/>
                <w:szCs w:val="18"/>
              </w:rPr>
              <w:t xml:space="preserve"> Marquage des informations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4</w:t>
            </w:r>
            <w:r>
              <w:rPr>
                <w:rFonts w:eastAsia="Times New Roman" w:cs="Calibri" w:cstheme="majorHAnsi"/>
                <w:sz w:val="18"/>
                <w:szCs w:val="18"/>
              </w:rPr>
              <w:t xml:space="preserve"> Transfert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5</w:t>
            </w:r>
            <w:r>
              <w:rPr>
                <w:rFonts w:eastAsia="Times New Roman" w:cs="Calibri" w:cstheme="majorHAnsi"/>
                <w:sz w:val="18"/>
                <w:szCs w:val="18"/>
              </w:rPr>
              <w:t xml:space="preserve"> Contrôle d'accès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6</w:t>
            </w:r>
            <w:r>
              <w:rPr>
                <w:rFonts w:eastAsia="Times New Roman" w:cs="Calibri" w:cstheme="majorHAnsi"/>
                <w:sz w:val="18"/>
                <w:szCs w:val="18"/>
              </w:rPr>
              <w:t xml:space="preserve"> Gestion des identités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7</w:t>
            </w:r>
            <w:r>
              <w:rPr>
                <w:rFonts w:eastAsia="Times New Roman" w:cs="Calibri" w:cstheme="majorHAnsi"/>
                <w:sz w:val="18"/>
                <w:szCs w:val="18"/>
              </w:rPr>
              <w:t xml:space="preserve"> Informations d'authentification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8</w:t>
            </w:r>
            <w:r>
              <w:rPr>
                <w:rFonts w:eastAsia="Times New Roman" w:cs="Calibri" w:cstheme="majorHAnsi"/>
                <w:sz w:val="18"/>
                <w:szCs w:val="18"/>
              </w:rPr>
              <w:t xml:space="preserve"> Droits d'accès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19</w:t>
            </w:r>
            <w:r>
              <w:rPr>
                <w:rFonts w:eastAsia="Times New Roman" w:cs="Calibri" w:cstheme="majorHAnsi"/>
                <w:sz w:val="18"/>
                <w:szCs w:val="18"/>
              </w:rPr>
              <w:t xml:space="preserve"> Sécurité de l'information dans les relations avec les fournisseurs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0</w:t>
            </w:r>
            <w:r>
              <w:rPr>
                <w:rFonts w:eastAsia="Times New Roman" w:cs="Calibri" w:cstheme="majorHAnsi"/>
                <w:sz w:val="18"/>
                <w:szCs w:val="18"/>
              </w:rPr>
              <w:t xml:space="preserve"> Prise en compte de la sécurité de l'information dans les accords conclus avec    les fournisseurs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1</w:t>
            </w:r>
            <w:r>
              <w:rPr>
                <w:rFonts w:eastAsia="Times New Roman" w:cs="Calibri" w:cstheme="majorHAnsi"/>
                <w:sz w:val="18"/>
                <w:szCs w:val="18"/>
              </w:rPr>
              <w:t xml:space="preserve"> Management de la sécurité de l'information dans la chaîne d'approvisionnement TIC</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2</w:t>
            </w:r>
            <w:r>
              <w:rPr>
                <w:rFonts w:eastAsia="Times New Roman" w:cs="Calibri" w:cstheme="majorHAnsi"/>
                <w:sz w:val="18"/>
                <w:szCs w:val="18"/>
              </w:rPr>
              <w:t xml:space="preserve"> Suivi, revue et gestion des changements des services fournisseurs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3</w:t>
            </w:r>
            <w:r>
              <w:rPr>
                <w:rFonts w:eastAsia="Times New Roman" w:cs="Calibri" w:cstheme="majorHAnsi"/>
                <w:sz w:val="18"/>
                <w:szCs w:val="18"/>
              </w:rPr>
              <w:t xml:space="preserve"> Sécurité de l'information dans l'utilisation de services en Nuage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lang w:bidi="ar-DZ"/>
              </w:rPr>
              <w:t>5.24 Responsabilités</w:t>
            </w:r>
            <w:r>
              <w:rPr>
                <w:rFonts w:eastAsia="Times New Roman" w:cs="Calibri" w:cstheme="majorHAnsi"/>
                <w:sz w:val="18"/>
                <w:szCs w:val="18"/>
              </w:rPr>
              <w:t xml:space="preserve"> et préparation de la gestion des incidents liés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5</w:t>
            </w:r>
            <w:r>
              <w:rPr>
                <w:rFonts w:eastAsia="Times New Roman" w:cs="Calibri" w:cstheme="majorHAnsi"/>
                <w:sz w:val="18"/>
                <w:szCs w:val="18"/>
              </w:rPr>
              <w:t xml:space="preserve"> Appréciation des événements liés à la sécurité de l'information et prise de décision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6</w:t>
            </w:r>
            <w:r>
              <w:rPr>
                <w:rFonts w:eastAsia="Times New Roman" w:cs="Calibri" w:cstheme="majorHAnsi"/>
                <w:sz w:val="18"/>
                <w:szCs w:val="18"/>
              </w:rPr>
              <w:t xml:space="preserve"> Réponse aux incidents liés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7</w:t>
            </w:r>
            <w:r>
              <w:rPr>
                <w:rFonts w:eastAsia="Times New Roman" w:cs="Calibri" w:cstheme="majorHAnsi"/>
                <w:sz w:val="18"/>
                <w:szCs w:val="18"/>
              </w:rPr>
              <w:t xml:space="preserve"> Tirer des enseignements des incidents liés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lang w:val="en-US"/>
              </w:rPr>
              <w:t xml:space="preserve">5.28 </w:t>
            </w:r>
            <w:r>
              <w:rPr>
                <w:rFonts w:eastAsia="Times New Roman" w:cs="Calibri" w:cstheme="majorHAnsi"/>
                <w:sz w:val="18"/>
                <w:szCs w:val="18"/>
              </w:rPr>
              <w:t>Recueil de preuves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val="en-US" w:bidi="ar-DZ"/>
              </w:rPr>
              <w:t>9</w:t>
            </w:r>
            <w:r>
              <w:rPr>
                <w:rFonts w:eastAsia="Times New Roman" w:cs="Calibri" w:cstheme="majorHAnsi"/>
                <w:sz w:val="18"/>
                <w:szCs w:val="18"/>
              </w:rPr>
              <w:t xml:space="preserve"> Sécurité de l'information durant une perturbation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val="en-US" w:bidi="ar-DZ"/>
              </w:rPr>
              <w:t>30</w:t>
            </w:r>
            <w:r>
              <w:rPr>
                <w:rFonts w:eastAsia="Times New Roman" w:cs="Calibri" w:cstheme="majorHAnsi"/>
                <w:sz w:val="18"/>
                <w:szCs w:val="18"/>
              </w:rPr>
              <w:t xml:space="preserve"> Préparation des TIC pour la continuité d'activité</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1</w:t>
            </w:r>
            <w:r>
              <w:rPr>
                <w:rFonts w:eastAsia="Times New Roman" w:cs="Calibri" w:cstheme="majorHAnsi"/>
                <w:sz w:val="18"/>
                <w:szCs w:val="18"/>
              </w:rPr>
              <w:t xml:space="preserve"> Identification des exigences légales, statutaires, réglementaires et contractuelles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lang w:bidi="ar-DZ"/>
              </w:rPr>
              <w:t>5.3</w:t>
            </w:r>
            <w:r>
              <w:rPr>
                <w:rFonts w:eastAsia="Times New Roman" w:cs="Calibri" w:cstheme="majorHAnsi"/>
                <w:sz w:val="18"/>
                <w:szCs w:val="18"/>
                <w:lang w:val="en-US" w:bidi="ar-DZ"/>
              </w:rPr>
              <w:t xml:space="preserve">2 </w:t>
            </w:r>
            <w:r>
              <w:rPr>
                <w:rFonts w:eastAsia="Times New Roman" w:cs="Calibri" w:cstheme="majorHAnsi"/>
                <w:sz w:val="18"/>
                <w:szCs w:val="18"/>
                <w:lang w:bidi="ar-DZ"/>
              </w:rPr>
              <w:t xml:space="preserve"> Droits</w:t>
            </w:r>
            <w:r>
              <w:rPr>
                <w:rFonts w:eastAsia="Times New Roman" w:cs="Calibri" w:cstheme="majorHAnsi"/>
                <w:sz w:val="18"/>
                <w:szCs w:val="18"/>
              </w:rPr>
              <w:t xml:space="preserve"> de propriété intellectuelle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3</w:t>
            </w:r>
            <w:r>
              <w:rPr>
                <w:rFonts w:eastAsia="Times New Roman" w:cs="Calibri" w:cstheme="majorHAnsi"/>
                <w:sz w:val="18"/>
                <w:szCs w:val="18"/>
              </w:rPr>
              <w:t xml:space="preserve"> Protection des enregistrements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lang w:val="en-US" w:bidi="ar-DZ"/>
              </w:rPr>
              <w:t>5.34 Vie</w:t>
            </w:r>
            <w:r>
              <w:rPr>
                <w:rFonts w:eastAsia="Times New Roman" w:cs="Calibri" w:cstheme="majorHAnsi"/>
                <w:sz w:val="18"/>
                <w:szCs w:val="18"/>
              </w:rPr>
              <w:t xml:space="preserve"> privée et protection des DCP</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5</w:t>
            </w:r>
            <w:r>
              <w:rPr>
                <w:rFonts w:eastAsia="Times New Roman" w:cs="Calibri" w:cstheme="majorHAnsi"/>
                <w:sz w:val="18"/>
                <w:szCs w:val="18"/>
              </w:rPr>
              <w:t xml:space="preserve"> Revue indépendante de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6</w:t>
            </w:r>
            <w:r>
              <w:rPr>
                <w:rFonts w:eastAsia="Times New Roman" w:cs="Calibri" w:cstheme="majorHAnsi"/>
                <w:sz w:val="18"/>
                <w:szCs w:val="18"/>
              </w:rPr>
              <w:t xml:space="preserve"> Conformité aux politiques et normes de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7</w:t>
            </w:r>
            <w:r>
              <w:rPr>
                <w:rFonts w:eastAsia="Times New Roman" w:cs="Calibri" w:cstheme="majorHAnsi"/>
                <w:sz w:val="18"/>
                <w:szCs w:val="18"/>
              </w:rPr>
              <w:t xml:space="preserve"> Procédures d'exploitation documentées</w:t>
            </w:r>
          </w:p>
          <w:p>
            <w:pPr>
              <w:pStyle w:val="Normal0"/>
              <w:spacing w:lineRule="auto" w:line="259"/>
              <w:rPr>
                <w:rFonts w:ascii="Calibri" w:hAnsi="Calibri" w:eastAsia="Times New Roman" w:cs="Calibri"/>
                <w:b/>
                <w:bCs/>
                <w:color w:themeColor="text1" w:val="000000"/>
                <w:sz w:val="18"/>
                <w:szCs w:val="18"/>
              </w:rPr>
            </w:pPr>
            <w:r>
              <w:rPr>
                <w:rFonts w:eastAsia="Times New Roman" w:cs="Calibri"/>
                <w:b/>
                <w:bCs/>
                <w:color w:themeColor="text1" w:val="000000"/>
                <w:sz w:val="18"/>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r>
          </w:p>
        </w:tc>
      </w:tr>
      <w:tr>
        <w:trPr>
          <w:trHeight w:val="300" w:hRule="atLeast"/>
        </w:trPr>
        <w:tc>
          <w:tcPr>
            <w:tcW w:w="1980"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A6 :</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Principes pour les mesures liées aux personnes</w:t>
            </w:r>
          </w:p>
        </w:tc>
        <w:tc>
          <w:tcPr>
            <w:tcW w:w="4654"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6.1 Présélection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6.2 Conditions générales d'embauche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6.3 Sensibilisation, apprentissage et formation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6.4 Processus disciplinaire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6.5 Responsabilités consécutivement à la fin ou à la modification du contrat de travail</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6.6 Engagements de confidentialité ou de non-divulgation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6.7 Travail à distance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6.8 Signalement des événements liés à la sécurité de l’information</w:t>
            </w:r>
          </w:p>
        </w:tc>
        <w:tc>
          <w:tcPr>
            <w:tcW w:w="1682"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r>
          </w:p>
        </w:tc>
        <w:tc>
          <w:tcPr>
            <w:tcW w:w="1485"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r>
          </w:p>
        </w:tc>
      </w:tr>
      <w:tr>
        <w:trPr>
          <w:trHeight w:val="300" w:hRule="atLeast"/>
        </w:trPr>
        <w:tc>
          <w:tcPr>
            <w:tcW w:w="1980"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A7 :</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Principes pour les mesures physiques</w:t>
            </w:r>
          </w:p>
        </w:tc>
        <w:tc>
          <w:tcPr>
            <w:tcW w:w="4654"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 Périmètre de sécurité physique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7.2 Contrôles physiques des accès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7.3 Sécurisation des bureaux, des salles et des équipements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7.4 Surveillance de la sécurité physique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7.5 Protection contre les menaces extérieures et Environnementales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7.6 Travail dans les zones sécurisées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7.8 Bureau propre et écran vide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7.9 Emplacement et protection du matériel</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7.10 Sécurité du matériel et des actifs hors des locaux</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7.11 Supports de stockage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7.12 Services généraux</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7.13 Sécurité du câblage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7.14 Maintenance du matériel</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7.15 Mise au rebut ou recyclage sécurisé(e) du matériel</w:t>
            </w:r>
          </w:p>
        </w:tc>
        <w:tc>
          <w:tcPr>
            <w:tcW w:w="1682"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r>
          </w:p>
        </w:tc>
        <w:tc>
          <w:tcPr>
            <w:tcW w:w="1485"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r>
          </w:p>
        </w:tc>
      </w:tr>
      <w:tr>
        <w:trPr>
          <w:trHeight w:val="300" w:hRule="atLeast"/>
        </w:trPr>
        <w:tc>
          <w:tcPr>
            <w:tcW w:w="1980"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A8 :</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Principes pour les mesures technologiques</w:t>
            </w:r>
          </w:p>
        </w:tc>
        <w:tc>
          <w:tcPr>
            <w:tcW w:w="4654"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 Terminaux utilisateurs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 Privilèges d'accès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 Restriction d'accès à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8.4 Accès au code source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8.5 Authentification sécurisée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8.6 Dimensionnement</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8.7 Protection contre les programmes malveillants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8.8 Gestion des vulnérabilités techniques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8.9 Gestion de la configuration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8.10 Suppression d'information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8.11 Masquage des données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8.12 Prévention de la fuite de données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8.13 Sauvegarde des informations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8.14 Redondance des moyens de traitement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8.15 Journalisation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8.16 Activités de surveillance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8.17 Synchronisation des horloges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8.18 Utilisation de programmes utilitaires à privilèges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8.19 Installation de logiciels sur des systèmes en exploitation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8.20 Mesures liées aux réseaux</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8.21 Sécurité des services en réseau</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8.22 Cloisonnement des réseaux</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8.23 Filtrage Internet</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8.24 Utilisation de la cryptographie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8.25 Cycle de vie de développement sécurisé</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8.26 Exigences de sécurité des applications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8.27 Principes d'ingénierie et d'architecture système sécurisée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8.28 Codage sécurisé</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8.29 Tests de sécurité dans le développement et l'acceptation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8.30 Développement externalisé</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8.31 Séparation des environnements de développement, de test et de production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8.32 Gestion des changements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8.33 Informations relatives aux tests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8.34 Protection des systèmes d'information en cours d'audit et de test</w:t>
            </w:r>
          </w:p>
        </w:tc>
        <w:tc>
          <w:tcPr>
            <w:tcW w:w="1682"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r>
          </w:p>
        </w:tc>
        <w:tc>
          <w:tcPr>
            <w:tcW w:w="1485"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101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34"/>
        <w:gridCol w:w="2674"/>
        <w:gridCol w:w="1367"/>
        <w:gridCol w:w="1919"/>
        <w:gridCol w:w="2492"/>
      </w:tblGrid>
      <w:tr>
        <w:trPr>
          <w:trHeight w:val="390" w:hRule="atLeast"/>
        </w:trPr>
        <w:tc>
          <w:tcPr>
            <w:tcW w:w="4408"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367"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91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2492"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34"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4"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rFonts w:eastAsia="Calibri" w:cs="Calibri"/>
                <w:kern w:val="0"/>
                <w:sz w:val="22"/>
                <w:szCs w:val="22"/>
                <w:lang w:val="en-US" w:eastAsia="fr-FR" w:bidi="ar-SA"/>
              </w:rPr>
              <w:t>${answer_#1}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rFonts w:eastAsia="Calibri" w:cs="Calibri"/>
                <w:color w:val="auto"/>
                <w:kern w:val="0"/>
                <w:sz w:val="22"/>
                <w:szCs w:val="22"/>
                <w:lang w:val="en-US" w:eastAsia="fr-FR" w:bidi="ar-SA"/>
              </w:rPr>
              <w:t>Commentaires_#1</w:t>
            </w:r>
            <w:r>
              <w:rPr>
                <w:sz w:val="22"/>
                <w:lang w:val="en-US"/>
              </w:rPr>
              <w:t>}</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Commentaires_#2</w:t>
            </w:r>
            <w:r>
              <w:rPr>
                <w:sz w:val="22"/>
                <w:lang w:val="en-US"/>
              </w:rPr>
              <w:t>}</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Commentaires_#3</w:t>
            </w:r>
            <w:r>
              <w:rPr>
                <w:sz w:val="22"/>
                <w:lang w:val="en-US"/>
              </w:rPr>
              <w:t>}</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Commentaires_#4</w:t>
            </w:r>
            <w:r>
              <w:rPr>
                <w:sz w:val="22"/>
                <w:lang w:val="en-US"/>
              </w:rPr>
              <w:t>}</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Commentaires_#5</w:t>
            </w:r>
            <w:r>
              <w:rPr>
                <w:sz w:val="22"/>
                <w:lang w:val="en-US"/>
              </w:rPr>
              <w:t>}</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Commentaires_#12}</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Commentaires_#13}</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Commentaires_#14}</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Commentaires_#15}</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Commentaires_#16}</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Commentaires_#18}</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Commentaires_#19}</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${Commentaires_#20}</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${Commentaires_#21}</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${Commentaires_#22}</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${Commentaires_#23}</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${Commentaires_#24}</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${Commentaires_#25}</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${Commentaires_#26}</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${Commentaires_#27}</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${Commentaires_#28}</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${Commentaires_#29}</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${Commentaires_#30}</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${Commentaires_#31}</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${Commentaires_#32}</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${Commentaires_#33}</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${Commentaires_#34}</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${Commentaires_#35}</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${Commentaires_#36}</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${Commentaires_#37}</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${Commentaires_#38}</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${Commentaires_#39}</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${Commentaires_#40}</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${Commentaires_#41}</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${Commentaires_#42}</w:t>
            </w:r>
          </w:p>
        </w:tc>
      </w:tr>
      <w:tr>
        <w:trPr>
          <w:trHeight w:val="300" w:hRule="atLeast"/>
        </w:trPr>
        <w:tc>
          <w:tcPr>
            <w:tcW w:w="1734"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${Commentaires_#43}</w:t>
            </w:r>
          </w:p>
        </w:tc>
      </w:tr>
      <w:tr>
        <w:trPr>
          <w:trHeight w:val="300" w:hRule="atLeast"/>
        </w:trPr>
        <w:tc>
          <w:tcPr>
            <w:tcW w:w="1734"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${Commentaires_#44}</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${Commentaires_#45}</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${Commentaires_#46}</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${Commentaires_#47}</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${Commentaires_#48}</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${Commentaires_#49}</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${Commentaires_#50}</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${Commentaires_#51}</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${Commentaires_#52}</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4"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${Commentaires_#53}</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${Commentaires_#54}</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${Commentaires_#55}</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${Commentaires_#56}</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${Commentaires_#57}</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${Commentaires_#58}</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${Commentaires_#59}</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${Commentaires_#60}</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${Commentaires_#61}</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${Commentaires_#62}</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${Commentaires_#63}</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${Commentaires_#64}</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${Commentaires_#65}</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${Commentaires_#66}</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${Commentaires_#67}</w:t>
            </w:r>
          </w:p>
        </w:tc>
      </w:tr>
      <w:tr>
        <w:trPr>
          <w:trHeight w:val="1535" w:hRule="atLeast"/>
        </w:trPr>
        <w:tc>
          <w:tcPr>
            <w:tcW w:w="1734"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${Commentaires_#68}</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${Commentaires_#69}</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${Commentaires_#70}</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${Commentaires_#72}</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 xml:space="preserve"> </w:t>
            </w:r>
            <w:r>
              <w:rPr>
                <w:sz w:val="22"/>
                <w:lang w:val="en-US"/>
              </w:rPr>
              <w:t>${answer_#73}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${Commentaires_#73}</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 xml:space="preserve"> </w:t>
            </w:r>
            <w:r>
              <w:rPr>
                <w:sz w:val="22"/>
                <w:lang w:val="en-US"/>
              </w:rPr>
              <w:t>${answer_#74}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${Commentaires_#74}</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${Commentaires_#75}</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${Commentaires_#76}</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${Commentaires_#77}</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${Commentaires_#78}</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${Commentaires_#79}</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${Commentaires_#80}</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${Commentaires_#81}</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${Commentaires_#82}</w:t>
            </w:r>
          </w:p>
        </w:tc>
      </w:tr>
      <w:tr>
        <w:trPr>
          <w:trHeight w:val="300" w:hRule="atLeast"/>
        </w:trPr>
        <w:tc>
          <w:tcPr>
            <w:tcW w:w="1734"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${Commentaires_#83}</w:t>
            </w:r>
          </w:p>
        </w:tc>
      </w:tr>
      <w:tr>
        <w:trPr>
          <w:trHeight w:val="300" w:hRule="atLeast"/>
        </w:trPr>
        <w:tc>
          <w:tcPr>
            <w:tcW w:w="1734"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${Commentaires_#84}</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${Commentaires_#85}</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${Commentaires_#86}</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${Commentaires_#87}</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${Commentaires_#88}</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${Commentaires_#89}</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${Commentaires_#90}</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${Commentaires_#91}</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${Commentaires_#92}</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${Commentaires_#94}</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${Commentaires_#93}</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${Commentaires_#95}</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${Commentaires_#96}</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${Commentaires_#97}</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${Commentaires_#98}</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${Commentaires_#99}</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${Commentaires_#100}</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${Commentaires_#101}</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${Commentaires_#102}</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${Commentaires_#103}</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${Commentaires_#104}</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${Commentaires_#105}</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${Commentaires_#106}</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${Commentaires_#107}</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${Commentaires_#108}</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${Commentaires_#109}</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${Commentaires_#110}</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${Commentaires_#111}</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${Commentaires_#112}</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${Commentaires_#113}</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${Commentaires_#114}</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${Commentaires_#115}</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${answer_#116}</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${Commentaires_#116}</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${answer_#117}</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${Commentaires_#117}</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${answer_#119}</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${Commentaires_#119}</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${answer_#118}</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${Commentaires_#118}</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${answer_#120}</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${Commentaires_#120}</w:t>
            </w:r>
          </w:p>
        </w:tc>
      </w:tr>
      <w:tr>
        <w:trPr>
          <w:trHeight w:val="300" w:hRule="atLeast"/>
        </w:trPr>
        <w:tc>
          <w:tcPr>
            <w:tcW w:w="1734"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${answer_#121}</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${Commentaires_#121}</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${answer_#122}</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${Commentaires_#122}</w:t>
            </w:r>
          </w:p>
        </w:tc>
      </w:tr>
      <w:tr>
        <w:trPr>
          <w:trHeight w:val="300" w:hRule="atLeast"/>
        </w:trPr>
        <w:tc>
          <w:tcPr>
            <w:tcW w:w="1734"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${answer_#123}</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${Commentaires_#123}</w:t>
            </w:r>
          </w:p>
        </w:tc>
      </w:tr>
      <w:tr>
        <w:trPr>
          <w:trHeight w:val="300" w:hRule="atLeast"/>
        </w:trPr>
        <w:tc>
          <w:tcPr>
            <w:tcW w:w="1734"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${answer_#124}</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${Commentaires_#124}</w:t>
            </w:r>
          </w:p>
        </w:tc>
      </w:tr>
      <w:tr>
        <w:trPr>
          <w:trHeight w:val="300" w:hRule="atLeast"/>
        </w:trPr>
        <w:tc>
          <w:tcPr>
            <w:tcW w:w="1734"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367"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1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${answer_#125}</w:t>
            </w:r>
          </w:p>
        </w:tc>
        <w:tc>
          <w:tcPr>
            <w:tcW w:w="249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${Commentaires_#125}</w:t>
            </w:r>
          </w:p>
        </w:tc>
      </w:tr>
    </w:tbl>
    <w:p>
      <w:pPr>
        <w:pStyle w:val="Normal0"/>
        <w:tabs>
          <w:tab w:val="clear" w:pos="720"/>
          <w:tab w:val="left" w:pos="471" w:leader="none"/>
        </w:tabs>
        <w:rPr/>
      </w:pPr>
      <w:r>
        <w:rPr/>
      </w:r>
    </w:p>
    <w:p>
      <w:pPr>
        <w:pStyle w:val="Normal0"/>
        <w:tabs>
          <w:tab w:val="clear" w:pos="720"/>
          <w:tab w:val="left" w:pos="471" w:leader="none"/>
        </w:tabs>
        <w:rPr>
          <w:b/>
          <w:bCs/>
        </w:rPr>
      </w:pPr>
      <w:r>
        <w:rPr>
          <w:b/>
          <w:bCs/>
        </w:rPr>
        <w:t>-Niveau d’application des lois applicables en relation avec la sécurité de l’information</w:t>
      </w:r>
    </w:p>
    <w:p>
      <w:pPr>
        <w:pStyle w:val="Normal0"/>
        <w:tabs>
          <w:tab w:val="clear" w:pos="720"/>
          <w:tab w:val="left" w:pos="471" w:leader="none"/>
        </w:tabs>
        <w:rPr/>
      </w:pPr>
      <w:r>
        <w:rPr/>
      </w:r>
    </w:p>
    <w:p>
      <w:pPr>
        <w:pStyle w:val="Normal0"/>
        <w:tabs>
          <w:tab w:val="clear" w:pos="720"/>
          <w:tab w:val="left" w:pos="471" w:leader="none"/>
        </w:tabs>
        <w:rPr/>
      </w:pPr>
      <w:r>
        <w:rPr/>
      </w:r>
    </w:p>
    <w:tbl>
      <w:tblPr>
        <w:tblW w:w="10132" w:type="dxa"/>
        <w:jc w:val="left"/>
        <w:tblInd w:w="55" w:type="dxa"/>
        <w:tblLayout w:type="fixed"/>
        <w:tblCellMar>
          <w:top w:w="55" w:type="dxa"/>
          <w:left w:w="55" w:type="dxa"/>
          <w:bottom w:w="55" w:type="dxa"/>
          <w:right w:w="55" w:type="dxa"/>
        </w:tblCellMar>
      </w:tblPr>
      <w:tblGrid>
        <w:gridCol w:w="5489"/>
        <w:gridCol w:w="4642"/>
      </w:tblGrid>
      <w:tr>
        <w:trPr/>
        <w:tc>
          <w:tcPr>
            <w:tcW w:w="5489" w:type="dxa"/>
            <w:tcBorders>
              <w:top w:val="single" w:sz="4" w:space="0" w:color="000000"/>
              <w:left w:val="single" w:sz="4" w:space="0" w:color="000000"/>
              <w:bottom w:val="single" w:sz="4" w:space="0" w:color="000000"/>
            </w:tcBorders>
          </w:tcPr>
          <w:p>
            <w:pPr>
              <w:pStyle w:val="TableContents"/>
              <w:rPr>
                <w:b/>
                <w:bCs/>
              </w:rPr>
            </w:pPr>
            <w:r>
              <w:rPr>
                <w:b/>
                <w:bCs/>
              </w:rPr>
              <w:t>Lois</w:t>
            </w:r>
          </w:p>
        </w:tc>
        <w:tc>
          <w:tcPr>
            <w:tcW w:w="4642" w:type="dxa"/>
            <w:tcBorders>
              <w:top w:val="single" w:sz="4" w:space="0" w:color="000000"/>
              <w:left w:val="single" w:sz="4" w:space="0" w:color="000000"/>
              <w:bottom w:val="single" w:sz="4" w:space="0" w:color="000000"/>
              <w:right w:val="single" w:sz="4" w:space="0" w:color="000000"/>
            </w:tcBorders>
          </w:tcPr>
          <w:p>
            <w:pPr>
              <w:pStyle w:val="Normal"/>
              <w:rPr>
                <w:b/>
                <w:bCs/>
              </w:rPr>
            </w:pPr>
            <w:r>
              <w:rPr>
                <w:b/>
                <w:bCs/>
              </w:rPr>
              <w:t>Articles</w:t>
            </w:r>
          </w:p>
        </w:tc>
      </w:tr>
      <w:tr>
        <w:trPr>
          <w:trHeight w:val="470" w:hRule="atLeast"/>
        </w:trPr>
        <w:tc>
          <w:tcPr>
            <w:tcW w:w="5489" w:type="dxa"/>
            <w:tcBorders>
              <w:top w:val="single" w:sz="4" w:space="0" w:color="000000"/>
              <w:left w:val="single" w:sz="4" w:space="0" w:color="000000"/>
              <w:right w:val="single" w:sz="4" w:space="0" w:color="000000"/>
            </w:tcBorders>
          </w:tcPr>
          <w:p>
            <w:pPr>
              <w:pStyle w:val="TableContents"/>
              <w:rPr/>
            </w:pPr>
            <w:r>
              <w:rPr/>
              <w:t>${lois}</w:t>
            </w:r>
          </w:p>
        </w:tc>
        <w:tc>
          <w:tcPr>
            <w:tcW w:w="4642" w:type="dxa"/>
            <w:tcBorders>
              <w:left w:val="single" w:sz="4" w:space="0" w:color="000000"/>
              <w:bottom w:val="single" w:sz="4" w:space="0" w:color="000000"/>
              <w:right w:val="single" w:sz="4" w:space="0" w:color="000000"/>
            </w:tcBorders>
          </w:tcPr>
          <w:p>
            <w:pPr>
              <w:pStyle w:val="TableContents"/>
              <w:rPr/>
            </w:pPr>
            <w:r>
              <w:rPr/>
              <w:t>Article :${numeroArticle}-${titreArticle}</w:t>
            </w:r>
          </w:p>
          <w:p>
            <w:pPr>
              <w:pStyle w:val="TableContents"/>
              <w:rPr/>
            </w:pPr>
            <w:r>
              <w:rPr/>
              <w:t>taux d’application :${answer}</w:t>
            </w:r>
          </w:p>
        </w:tc>
      </w:tr>
    </w:tbl>
    <w:p>
      <w:pPr>
        <w:pStyle w:val="Normal0"/>
        <w:tabs>
          <w:tab w:val="clear" w:pos="720"/>
          <w:tab w:val="left" w:pos="471" w:leader="none"/>
        </w:tabs>
        <w:rPr/>
      </w:pPr>
      <w:r>
        <w:rPr/>
      </w:r>
    </w:p>
    <w:p>
      <w:pPr>
        <w:pStyle w:val="Normal0"/>
        <w:tabs>
          <w:tab w:val="clear" w:pos="720"/>
          <w:tab w:val="left" w:pos="471" w:leader="none"/>
        </w:tabs>
        <w:rPr/>
      </w:pPr>
      <w:r>
        <w:rPr/>
      </w:r>
    </w:p>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21"/>
          <w:headerReference w:type="first" r:id="rId22"/>
          <w:footerReference w:type="default" r:id="rId23"/>
          <w:footerReference w:type="first" r:id="rId24"/>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r>
          </w:p>
          <w:p>
            <w:pPr>
              <w:pStyle w:val="Normal0"/>
              <w:rPr>
                <w:b/>
                <w:bCs/>
              </w:rPr>
            </w:pPr>
            <w:r>
              <w:rPr>
                <w:b/>
                <w:bCs/>
              </w:rPr>
              <w:t>5 Mesures de sécurité organisationnelles</w:t>
            </w:r>
          </w:p>
          <w:p>
            <w:pPr>
              <w:pStyle w:val="Normal0"/>
              <w:rPr>
                <w:b/>
                <w:bCs/>
              </w:rPr>
            </w:pPr>
            <w:r>
              <w:rPr>
                <w:b/>
                <w:bCs/>
              </w:rPr>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Politiques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Bonne pratique</w:t>
            </w:r>
          </w:p>
          <w:p>
            <w:pPr>
              <w:pStyle w:val="Normal0"/>
              <w:spacing w:lineRule="auto" w:line="259"/>
              <w:jc w:val="both"/>
              <w:rPr>
                <w:color w:val="000000"/>
              </w:rPr>
            </w:pPr>
            <w:r>
              <w:rPr>
                <w:color w:val="00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Vuln.A5.1_1</w:t>
            </w:r>
          </w:p>
          <w:p>
            <w:pPr>
              <w:pStyle w:val="Normal0"/>
              <w:spacing w:lineRule="auto" w:line="259"/>
              <w:jc w:val="both"/>
              <w:rPr>
                <w:color w:val="000000"/>
              </w:rPr>
            </w:pPr>
            <w:r>
              <w:rPr>
                <w:color w:val="00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Vuln.A5.2_1</w:t>
            </w:r>
          </w:p>
          <w:p>
            <w:pPr>
              <w:pStyle w:val="Normal0"/>
              <w:spacing w:lineRule="auto" w:line="259"/>
              <w:jc w:val="both"/>
              <w:rPr>
                <w:color w:val="000000"/>
              </w:rPr>
            </w:pPr>
            <w:r>
              <w:rPr>
                <w:color w:val="00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Séparation des tâches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Vuln.A5.3_1</w:t>
            </w:r>
          </w:p>
          <w:p>
            <w:pPr>
              <w:pStyle w:val="Normal0"/>
              <w:spacing w:lineRule="auto" w:line="259"/>
              <w:jc w:val="both"/>
              <w:rPr>
                <w:color w:val="000000"/>
              </w:rPr>
            </w:pPr>
            <w:r>
              <w:rPr>
                <w:color w:val="00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Responsabilités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Vuln.A5.4_1</w:t>
            </w:r>
          </w:p>
          <w:p>
            <w:pPr>
              <w:pStyle w:val="Normal0"/>
              <w:spacing w:lineRule="auto" w:line="259"/>
              <w:jc w:val="both"/>
              <w:rPr>
                <w:color w:val="000000"/>
              </w:rPr>
            </w:pPr>
            <w:r>
              <w:rPr>
                <w:color w:val="00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Vuln.A5.5_1</w:t>
            </w:r>
          </w:p>
          <w:p>
            <w:pPr>
              <w:pStyle w:val="Normal0"/>
              <w:spacing w:lineRule="auto" w:line="259"/>
              <w:jc w:val="both"/>
              <w:rPr>
                <w:color w:val="000000"/>
              </w:rPr>
            </w:pPr>
            <w:r>
              <w:rPr>
                <w:color w:val="00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Vuln.A5.6_1</w:t>
            </w:r>
          </w:p>
          <w:p>
            <w:pPr>
              <w:pStyle w:val="Normal0"/>
              <w:spacing w:lineRule="auto" w:line="259"/>
              <w:jc w:val="both"/>
              <w:rPr>
                <w:color w:val="000000"/>
              </w:rPr>
            </w:pPr>
            <w:r>
              <w:rPr>
                <w:color w:val="00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Vuln.A5.7_1</w:t>
            </w:r>
          </w:p>
          <w:p>
            <w:pPr>
              <w:pStyle w:val="Normal0"/>
              <w:spacing w:lineRule="auto" w:line="259"/>
              <w:jc w:val="both"/>
              <w:rPr>
                <w:color w:val="000000"/>
              </w:rPr>
            </w:pPr>
            <w:r>
              <w:rPr>
                <w:color w:val="00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Vuln.A5.8_1</w:t>
            </w:r>
          </w:p>
          <w:p>
            <w:pPr>
              <w:pStyle w:val="Normal0"/>
              <w:spacing w:lineRule="auto" w:line="259"/>
              <w:jc w:val="both"/>
              <w:rPr>
                <w:color w:val="000000"/>
              </w:rPr>
            </w:pPr>
            <w:r>
              <w:rPr>
                <w:color w:val="00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Vuln.A5.9_1</w:t>
            </w:r>
          </w:p>
          <w:p>
            <w:pPr>
              <w:pStyle w:val="Normal0"/>
              <w:spacing w:lineRule="auto" w:line="259"/>
              <w:jc w:val="both"/>
              <w:rPr>
                <w:color w:val="000000"/>
              </w:rPr>
            </w:pPr>
            <w:r>
              <w:rPr>
                <w:color w:val="00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Vuln.A5.10_1</w:t>
            </w:r>
          </w:p>
          <w:p>
            <w:pPr>
              <w:pStyle w:val="Normal0"/>
              <w:spacing w:lineRule="auto" w:line="259"/>
              <w:jc w:val="both"/>
              <w:rPr>
                <w:color w:val="000000"/>
              </w:rPr>
            </w:pPr>
            <w:r>
              <w:rPr>
                <w:color w:val="00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shd w:fill="auto" w:val="clear"/>
              </w:rPr>
              <w:t>Vulnérabilité  – Vuln.A5.11_1</w:t>
            </w:r>
          </w:p>
          <w:p>
            <w:pPr>
              <w:pStyle w:val="Normal0"/>
              <w:spacing w:lineRule="auto" w:line="259"/>
              <w:jc w:val="both"/>
              <w:rPr>
                <w:color w:val="000000"/>
                <w:highlight w:val="none"/>
                <w:shd w:fill="auto" w:val="clear"/>
              </w:rPr>
            </w:pPr>
            <w:r>
              <w:rPr>
                <w:color w:val="000000"/>
                <w:shd w:fill="auto" w:val="clear"/>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Vuln.A5.12_1</w:t>
            </w:r>
          </w:p>
          <w:p>
            <w:pPr>
              <w:pStyle w:val="Normal0"/>
              <w:spacing w:lineRule="auto" w:line="259"/>
              <w:jc w:val="both"/>
              <w:rPr>
                <w:color w:val="000000"/>
              </w:rPr>
            </w:pPr>
            <w:r>
              <w:rPr>
                <w:color w:val="00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Vuln.A5.13_1</w:t>
            </w:r>
          </w:p>
          <w:p>
            <w:pPr>
              <w:pStyle w:val="Normal0"/>
              <w:spacing w:lineRule="auto" w:line="259"/>
              <w:jc w:val="both"/>
              <w:rPr>
                <w:color w:val="000000"/>
              </w:rPr>
            </w:pPr>
            <w:r>
              <w:rPr>
                <w:color w:val="00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Vuln.A5.14_1</w:t>
            </w:r>
          </w:p>
          <w:p>
            <w:pPr>
              <w:pStyle w:val="Normal0"/>
              <w:spacing w:lineRule="auto" w:line="259"/>
              <w:jc w:val="both"/>
              <w:rPr>
                <w:color w:val="000000"/>
              </w:rPr>
            </w:pPr>
            <w:r>
              <w:rPr>
                <w:color w:val="00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Vuln.A5.15_1</w:t>
            </w:r>
          </w:p>
          <w:p>
            <w:pPr>
              <w:pStyle w:val="Normal0"/>
              <w:spacing w:lineRule="auto" w:line="259"/>
              <w:jc w:val="both"/>
              <w:rPr>
                <w:color w:val="000000"/>
              </w:rPr>
            </w:pPr>
            <w:r>
              <w:rPr>
                <w:color w:val="000000"/>
              </w:rPr>
              <w:t>${5_Vuln#15}</w:t>
            </w:r>
          </w:p>
          <w:p>
            <w:pPr>
              <w:pStyle w:val="Normal0"/>
              <w:spacing w:lineRule="auto" w:line="259"/>
              <w:jc w:val="both"/>
              <w:rPr>
                <w:color w:val="000000"/>
              </w:rPr>
            </w:pPr>
            <w:r>
              <w:rPr>
                <w:color w:val="000000"/>
              </w:rPr>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Vuln.A5.2_1</w:t>
            </w:r>
          </w:p>
          <w:p>
            <w:pPr>
              <w:pStyle w:val="Normal0"/>
              <w:spacing w:lineRule="auto" w:line="259"/>
              <w:jc w:val="both"/>
              <w:rPr>
                <w:color w:val="000000"/>
              </w:rPr>
            </w:pPr>
            <w:r>
              <w:rPr>
                <w:color w:val="00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Vuln.A5.16_1</w:t>
            </w:r>
          </w:p>
          <w:p>
            <w:pPr>
              <w:pStyle w:val="Normal0"/>
              <w:spacing w:lineRule="auto" w:line="259"/>
              <w:jc w:val="both"/>
              <w:rPr>
                <w:color w:val="000000"/>
              </w:rPr>
            </w:pPr>
            <w:r>
              <w:rPr>
                <w:color w:val="00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Vuln.A5.17_1</w:t>
            </w:r>
          </w:p>
          <w:p>
            <w:pPr>
              <w:pStyle w:val="Normal0"/>
              <w:spacing w:lineRule="auto" w:line="259"/>
              <w:jc w:val="both"/>
              <w:rPr>
                <w:color w:val="000000"/>
              </w:rPr>
            </w:pPr>
            <w:r>
              <w:rPr>
                <w:color w:val="00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Vuln.A5.18_1</w:t>
            </w:r>
          </w:p>
          <w:p>
            <w:pPr>
              <w:pStyle w:val="Normal0"/>
              <w:spacing w:lineRule="auto" w:line="259"/>
              <w:jc w:val="both"/>
              <w:rPr>
                <w:color w:val="000000"/>
              </w:rPr>
            </w:pPr>
            <w:r>
              <w:rPr>
                <w:color w:val="00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Vuln.A5.19_1</w:t>
            </w:r>
          </w:p>
          <w:p>
            <w:pPr>
              <w:pStyle w:val="Normal0"/>
              <w:spacing w:lineRule="auto" w:line="259"/>
              <w:jc w:val="both"/>
              <w:rPr>
                <w:color w:val="000000"/>
              </w:rPr>
            </w:pPr>
            <w:r>
              <w:rPr>
                <w:color w:val="00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498"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Vuln.A5.20_1</w:t>
            </w:r>
          </w:p>
          <w:p>
            <w:pPr>
              <w:pStyle w:val="Normal0"/>
              <w:spacing w:lineRule="auto" w:line="259"/>
              <w:jc w:val="both"/>
              <w:rPr>
                <w:color w:val="000000"/>
              </w:rPr>
            </w:pPr>
            <w:r>
              <w:rPr>
                <w:color w:val="00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Vuln.A5.21_1</w:t>
            </w:r>
          </w:p>
          <w:p>
            <w:pPr>
              <w:pStyle w:val="Normal0"/>
              <w:spacing w:lineRule="auto" w:line="259"/>
              <w:jc w:val="both"/>
              <w:rPr>
                <w:color w:val="000000"/>
              </w:rPr>
            </w:pPr>
            <w:r>
              <w:rPr>
                <w:color w:val="00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Vuln.A5.22_1</w:t>
            </w:r>
          </w:p>
          <w:p>
            <w:pPr>
              <w:pStyle w:val="Normal0"/>
              <w:spacing w:lineRule="auto" w:line="259"/>
              <w:jc w:val="both"/>
              <w:rPr>
                <w:color w:val="000000"/>
              </w:rPr>
            </w:pPr>
            <w:r>
              <w:rPr>
                <w:color w:val="00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Vuln.A5.23_1</w:t>
            </w:r>
          </w:p>
          <w:p>
            <w:pPr>
              <w:pStyle w:val="Normal0"/>
              <w:spacing w:lineRule="auto" w:line="259"/>
              <w:jc w:val="both"/>
              <w:rPr>
                <w:color w:val="000000"/>
              </w:rPr>
            </w:pPr>
            <w:r>
              <w:rPr>
                <w:color w:val="00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w:t>
            </w:r>
            <w:r>
              <w:rPr>
                <w:rFonts w:eastAsia="Calibri" w:cs="Calibri"/>
                <w:color w:val="000000"/>
                <w:kern w:val="0"/>
                <w:sz w:val="22"/>
                <w:szCs w:val="22"/>
                <w:lang w:val="fr-FR" w:eastAsia="fr-FR" w:bidi="ar-SA"/>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Vuln.A5.24_1</w:t>
            </w:r>
          </w:p>
          <w:p>
            <w:pPr>
              <w:pStyle w:val="Normal0"/>
              <w:spacing w:lineRule="auto" w:line="259"/>
              <w:jc w:val="both"/>
              <w:rPr>
                <w:color w:val="000000"/>
              </w:rPr>
            </w:pPr>
            <w:r>
              <w:rPr>
                <w:color w:val="00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Vuln.A5.25_1</w:t>
            </w:r>
          </w:p>
          <w:p>
            <w:pPr>
              <w:pStyle w:val="Normal0"/>
              <w:spacing w:lineRule="auto" w:line="259"/>
              <w:jc w:val="both"/>
              <w:rPr>
                <w:color w:val="000000"/>
              </w:rPr>
            </w:pPr>
            <w:r>
              <w:rPr>
                <w:color w:val="00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Vuln.A5.26_1</w:t>
            </w:r>
          </w:p>
          <w:p>
            <w:pPr>
              <w:pStyle w:val="Normal0"/>
              <w:spacing w:lineRule="auto" w:line="259"/>
              <w:jc w:val="both"/>
              <w:rPr>
                <w:color w:val="000000"/>
              </w:rPr>
            </w:pPr>
            <w:r>
              <w:rPr>
                <w:color w:val="00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shd w:fill="auto" w:val="clear"/>
              </w:rPr>
              <w:t>Vulnérabilité  – Vuln.A5.27_1</w:t>
            </w:r>
          </w:p>
          <w:p>
            <w:pPr>
              <w:pStyle w:val="Normal0"/>
              <w:spacing w:lineRule="auto" w:line="259"/>
              <w:jc w:val="both"/>
              <w:rPr>
                <w:color w:val="000000"/>
                <w:highlight w:val="none"/>
                <w:shd w:fill="auto" w:val="clear"/>
              </w:rPr>
            </w:pPr>
            <w:r>
              <w:rPr>
                <w:color w:val="000000"/>
                <w:shd w:fill="auto" w:val="clear"/>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Vuln.A5.28_1</w:t>
            </w:r>
          </w:p>
          <w:p>
            <w:pPr>
              <w:pStyle w:val="Normal0"/>
              <w:spacing w:lineRule="auto" w:line="259"/>
              <w:jc w:val="both"/>
              <w:rPr>
                <w:color w:val="000000"/>
              </w:rPr>
            </w:pPr>
            <w:r>
              <w:rPr>
                <w:color w:val="00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Vuln.A5.29_1</w:t>
            </w:r>
          </w:p>
          <w:p>
            <w:pPr>
              <w:pStyle w:val="Normal0"/>
              <w:spacing w:lineRule="auto" w:line="259"/>
              <w:jc w:val="both"/>
              <w:rPr>
                <w:color w:val="000000"/>
              </w:rPr>
            </w:pPr>
            <w:r>
              <w:rPr>
                <w:color w:val="00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shd w:fill="auto" w:val="clear"/>
              </w:rPr>
              <w:t>Vulnérabilité  – Vuln.A5.30_1</w:t>
            </w:r>
          </w:p>
          <w:p>
            <w:pPr>
              <w:pStyle w:val="Normal0"/>
              <w:spacing w:lineRule="auto" w:line="259"/>
              <w:jc w:val="both"/>
              <w:rPr>
                <w:color w:val="000000"/>
                <w:highlight w:val="none"/>
                <w:shd w:fill="auto" w:val="clear"/>
              </w:rPr>
            </w:pPr>
            <w:r>
              <w:rPr>
                <w:color w:val="000000"/>
                <w:shd w:fill="auto" w:val="clear"/>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Vuln.A5.31_1</w:t>
            </w:r>
          </w:p>
          <w:p>
            <w:pPr>
              <w:pStyle w:val="Normal0"/>
              <w:spacing w:lineRule="auto" w:line="259"/>
              <w:jc w:val="both"/>
              <w:rPr>
                <w:color w:val="000000"/>
              </w:rPr>
            </w:pPr>
            <w:r>
              <w:rPr>
                <w:color w:val="00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Vuln.A5.32_1</w:t>
            </w:r>
          </w:p>
          <w:p>
            <w:pPr>
              <w:pStyle w:val="Normal0"/>
              <w:spacing w:lineRule="auto" w:line="259"/>
              <w:jc w:val="both"/>
              <w:rPr>
                <w:color w:val="000000"/>
              </w:rPr>
            </w:pPr>
            <w:r>
              <w:rPr>
                <w:color w:val="00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Vuln.A5.33_1</w:t>
            </w:r>
          </w:p>
          <w:p>
            <w:pPr>
              <w:pStyle w:val="Normal0"/>
              <w:spacing w:lineRule="auto" w:line="259"/>
              <w:jc w:val="both"/>
              <w:rPr>
                <w:color w:val="000000"/>
              </w:rPr>
            </w:pPr>
            <w:r>
              <w:rPr>
                <w:color w:val="00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Vuln.A5.34_1</w:t>
            </w:r>
          </w:p>
          <w:p>
            <w:pPr>
              <w:pStyle w:val="Normal0"/>
              <w:spacing w:lineRule="auto" w:line="259"/>
              <w:jc w:val="both"/>
              <w:rPr>
                <w:color w:val="000000"/>
              </w:rPr>
            </w:pPr>
            <w:r>
              <w:rPr>
                <w:color w:val="00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Vuln.A5.35_1</w:t>
            </w:r>
          </w:p>
          <w:p>
            <w:pPr>
              <w:pStyle w:val="Normal0"/>
              <w:spacing w:lineRule="auto" w:line="259"/>
              <w:jc w:val="both"/>
              <w:rPr>
                <w:color w:val="000000"/>
              </w:rPr>
            </w:pPr>
            <w:r>
              <w:rPr>
                <w:color w:val="00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Vuln.A5.36_1</w:t>
            </w:r>
          </w:p>
          <w:p>
            <w:pPr>
              <w:pStyle w:val="Normal0"/>
              <w:spacing w:lineRule="auto" w:line="259"/>
              <w:jc w:val="both"/>
              <w:rPr>
                <w:color w:val="000000"/>
              </w:rPr>
            </w:pPr>
            <w:r>
              <w:rPr>
                <w:color w:val="00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Vuln.A5.37_1</w:t>
            </w:r>
          </w:p>
          <w:p>
            <w:pPr>
              <w:pStyle w:val="Normal0"/>
              <w:spacing w:lineRule="auto" w:line="259"/>
              <w:jc w:val="both"/>
              <w:rPr>
                <w:color w:val="000000"/>
              </w:rPr>
            </w:pPr>
            <w:r>
              <w:rPr>
                <w:color w:val="00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Vuln.A6.1_1</w:t>
            </w:r>
          </w:p>
          <w:p>
            <w:pPr>
              <w:pStyle w:val="Normal0"/>
              <w:spacing w:lineRule="auto" w:line="259"/>
              <w:jc w:val="both"/>
              <w:rPr>
                <w:color w:val="000000"/>
              </w:rPr>
            </w:pPr>
            <w:r>
              <w:rPr>
                <w:color w:val="00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Vuln.A6.2_1</w:t>
            </w:r>
          </w:p>
          <w:p>
            <w:pPr>
              <w:pStyle w:val="Normal0"/>
              <w:spacing w:lineRule="auto" w:line="259"/>
              <w:jc w:val="both"/>
              <w:rPr>
                <w:color w:val="000000"/>
              </w:rPr>
            </w:pPr>
            <w:r>
              <w:rPr>
                <w:color w:val="00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Vuln.A6.3_1</w:t>
            </w:r>
          </w:p>
          <w:p>
            <w:pPr>
              <w:pStyle w:val="Normal0"/>
              <w:spacing w:lineRule="auto" w:line="259"/>
              <w:jc w:val="both"/>
              <w:rPr>
                <w:color w:val="000000"/>
              </w:rPr>
            </w:pPr>
            <w:r>
              <w:rPr>
                <w:color w:val="00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Vuln.A6.4_1</w:t>
            </w:r>
          </w:p>
          <w:p>
            <w:pPr>
              <w:pStyle w:val="Normal0"/>
              <w:spacing w:lineRule="auto" w:line="259"/>
              <w:jc w:val="both"/>
              <w:rPr>
                <w:color w:val="000000"/>
              </w:rPr>
            </w:pPr>
            <w:r>
              <w:rPr>
                <w:color w:val="00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Vuln.A6.5_1</w:t>
            </w:r>
          </w:p>
          <w:p>
            <w:pPr>
              <w:pStyle w:val="Normal0"/>
              <w:spacing w:lineRule="auto" w:line="259"/>
              <w:jc w:val="both"/>
              <w:rPr>
                <w:color w:val="000000"/>
              </w:rPr>
            </w:pPr>
            <w:r>
              <w:rPr>
                <w:color w:val="00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Vuln.A6.6_1</w:t>
            </w:r>
          </w:p>
          <w:p>
            <w:pPr>
              <w:pStyle w:val="Normal0"/>
              <w:spacing w:lineRule="auto" w:line="259"/>
              <w:jc w:val="both"/>
              <w:rPr>
                <w:color w:val="000000"/>
              </w:rPr>
            </w:pPr>
            <w:r>
              <w:rPr>
                <w:color w:val="00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Vuln.A6.7_1</w:t>
            </w:r>
          </w:p>
          <w:p>
            <w:pPr>
              <w:pStyle w:val="Normal0"/>
              <w:spacing w:lineRule="auto" w:line="259"/>
              <w:jc w:val="both"/>
              <w:rPr>
                <w:color w:val="000000"/>
              </w:rPr>
            </w:pPr>
            <w:r>
              <w:rPr>
                <w:color w:val="00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Vuln.A6.8_1</w:t>
            </w:r>
          </w:p>
          <w:p>
            <w:pPr>
              <w:pStyle w:val="Normal0"/>
              <w:spacing w:lineRule="auto" w:line="259"/>
              <w:jc w:val="both"/>
              <w:rPr>
                <w:color w:val="000000"/>
              </w:rPr>
            </w:pPr>
            <w:r>
              <w:rPr>
                <w:color w:val="00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w:t>
            </w: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Vuln.A7.1_1</w:t>
            </w:r>
          </w:p>
          <w:p>
            <w:pPr>
              <w:pStyle w:val="Normal0"/>
              <w:spacing w:lineRule="auto" w:line="259"/>
              <w:jc w:val="both"/>
              <w:rPr>
                <w:color w:val="000000"/>
              </w:rPr>
            </w:pPr>
            <w:r>
              <w:rPr>
                <w:color w:val="00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7.2Contrôles</w:t>
            </w:r>
            <w:r>
              <w:rPr>
                <w:b/>
                <w:bCs/>
                <w:color w:themeColor="text1" w:val="000000"/>
              </w:rPr>
              <w:t xml:space="preserve">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Vuln.A7.2_1</w:t>
            </w:r>
          </w:p>
          <w:p>
            <w:pPr>
              <w:pStyle w:val="Normal0"/>
              <w:spacing w:lineRule="auto" w:line="259"/>
              <w:jc w:val="both"/>
              <w:rPr>
                <w:color w:val="000000"/>
              </w:rPr>
            </w:pPr>
            <w:r>
              <w:rPr>
                <w:color w:val="00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 xml:space="preserve">7.3 </w:t>
            </w:r>
            <w:r>
              <w:rPr>
                <w:b/>
                <w:bCs/>
                <w:color w:themeColor="text1" w:val="000000"/>
              </w:rPr>
              <w:t>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shd w:fill="auto" w:val="clear"/>
              </w:rPr>
              <w:t>Vulnérabilité  – Vuln.A7.3_1</w:t>
            </w:r>
          </w:p>
          <w:p>
            <w:pPr>
              <w:pStyle w:val="Normal0"/>
              <w:spacing w:lineRule="auto" w:line="259"/>
              <w:jc w:val="both"/>
              <w:rPr>
                <w:color w:val="000000"/>
                <w:highlight w:val="none"/>
                <w:shd w:fill="auto" w:val="clear"/>
              </w:rPr>
            </w:pPr>
            <w:r>
              <w:rPr>
                <w:color w:val="000000"/>
                <w:shd w:fill="auto" w:val="clear"/>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7.4</w:t>
            </w:r>
            <w:r>
              <w:rPr>
                <w:b/>
                <w:bCs/>
                <w:color w:themeColor="text1" w:val="000000"/>
              </w:rPr>
              <w:t xml:space="preserve">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Vuln.A7.4_1</w:t>
            </w:r>
          </w:p>
          <w:p>
            <w:pPr>
              <w:pStyle w:val="Normal0"/>
              <w:spacing w:lineRule="auto" w:line="259"/>
              <w:jc w:val="both"/>
              <w:rPr>
                <w:color w:val="000000"/>
              </w:rPr>
            </w:pPr>
            <w:r>
              <w:rPr>
                <w:color w:val="00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7.5</w:t>
            </w:r>
            <w:r>
              <w:rPr>
                <w:b/>
                <w:bCs/>
                <w:color w:themeColor="text1" w:val="000000"/>
              </w:rPr>
              <w:t xml:space="preserve">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Vuln.A7.5_1</w:t>
            </w:r>
          </w:p>
          <w:p>
            <w:pPr>
              <w:pStyle w:val="Normal0"/>
              <w:spacing w:lineRule="auto" w:line="259"/>
              <w:jc w:val="both"/>
              <w:rPr>
                <w:color w:val="000000"/>
              </w:rPr>
            </w:pPr>
            <w:r>
              <w:rPr>
                <w:color w:val="00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7.6</w:t>
            </w:r>
            <w:r>
              <w:rPr>
                <w:b/>
                <w:bCs/>
                <w:color w:themeColor="text1" w:val="000000"/>
              </w:rPr>
              <w:t xml:space="preserve">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Vuln.A7.6_1</w:t>
            </w:r>
          </w:p>
          <w:p>
            <w:pPr>
              <w:pStyle w:val="Normal0"/>
              <w:spacing w:lineRule="auto" w:line="259"/>
              <w:jc w:val="both"/>
              <w:rPr>
                <w:color w:val="000000"/>
              </w:rPr>
            </w:pPr>
            <w:r>
              <w:rPr>
                <w:color w:val="00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7.7</w:t>
            </w:r>
            <w:r>
              <w:rPr>
                <w:b/>
                <w:bCs/>
                <w:color w:themeColor="text1" w:val="000000"/>
              </w:rPr>
              <w:t xml:space="preserve">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Vuln.A7.7_1</w:t>
            </w:r>
          </w:p>
          <w:p>
            <w:pPr>
              <w:pStyle w:val="Normal0"/>
              <w:spacing w:lineRule="auto" w:line="259"/>
              <w:jc w:val="both"/>
              <w:rPr>
                <w:color w:val="000000"/>
              </w:rPr>
            </w:pPr>
            <w:r>
              <w:rPr>
                <w:color w:val="00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7.8</w:t>
            </w:r>
            <w:r>
              <w:rPr>
                <w:b/>
                <w:bCs/>
                <w:color w:themeColor="text1" w:val="000000"/>
              </w:rPr>
              <w:t>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Vuln.A7.8_1</w:t>
            </w:r>
          </w:p>
          <w:p>
            <w:pPr>
              <w:pStyle w:val="Normal0"/>
              <w:spacing w:lineRule="auto" w:line="259"/>
              <w:jc w:val="both"/>
              <w:rPr>
                <w:color w:val="000000"/>
              </w:rPr>
            </w:pPr>
            <w:r>
              <w:rPr>
                <w:color w:val="00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7.9</w:t>
            </w:r>
            <w:r>
              <w:rPr>
                <w:b/>
                <w:bCs/>
                <w:color w:themeColor="text1" w:val="000000"/>
              </w:rPr>
              <w:t xml:space="preserve">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Vuln.A7.9_1</w:t>
            </w:r>
          </w:p>
          <w:p>
            <w:pPr>
              <w:pStyle w:val="Normal0"/>
              <w:spacing w:lineRule="auto" w:line="259"/>
              <w:jc w:val="both"/>
              <w:rPr>
                <w:color w:val="000000"/>
              </w:rPr>
            </w:pPr>
            <w:r>
              <w:rPr>
                <w:color w:val="00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 xml:space="preserve">7.10 </w:t>
            </w:r>
            <w:r>
              <w:rPr>
                <w:b/>
                <w:bCs/>
                <w:color w:themeColor="text1" w:val="000000"/>
              </w:rPr>
              <w:t>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Vuln.A7.10_1</w:t>
            </w:r>
          </w:p>
          <w:p>
            <w:pPr>
              <w:pStyle w:val="Normal0"/>
              <w:spacing w:lineRule="auto" w:line="259"/>
              <w:jc w:val="both"/>
              <w:rPr>
                <w:color w:val="000000"/>
              </w:rPr>
            </w:pPr>
            <w:r>
              <w:rPr>
                <w:color w:val="00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7.11</w:t>
            </w:r>
            <w:r>
              <w:rPr>
                <w:b/>
                <w:bCs/>
                <w:color w:themeColor="text1" w:val="000000"/>
              </w:rPr>
              <w:t xml:space="preserve">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Vuln.A7.11_1</w:t>
            </w:r>
          </w:p>
          <w:p>
            <w:pPr>
              <w:pStyle w:val="Normal0"/>
              <w:spacing w:lineRule="auto" w:line="259"/>
              <w:jc w:val="both"/>
              <w:rPr>
                <w:color w:val="000000"/>
              </w:rPr>
            </w:pPr>
            <w:r>
              <w:rPr>
                <w:color w:val="00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 xml:space="preserve">7.12 </w:t>
            </w:r>
            <w:r>
              <w:rPr>
                <w:b/>
                <w:bCs/>
                <w:color w:themeColor="text1" w:val="000000"/>
              </w:rPr>
              <w:t>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Vuln.A7.12_1</w:t>
            </w:r>
          </w:p>
          <w:p>
            <w:pPr>
              <w:pStyle w:val="Normal0"/>
              <w:spacing w:lineRule="auto" w:line="259"/>
              <w:jc w:val="both"/>
              <w:rPr>
                <w:color w:val="000000"/>
              </w:rPr>
            </w:pPr>
            <w:r>
              <w:rPr>
                <w:color w:val="00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color w:themeColor="text1" w:val="000000"/>
                <w:lang w:val="en-US"/>
              </w:rPr>
              <w:t>7.13</w:t>
            </w:r>
            <w:r>
              <w:rPr/>
              <w:t>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Vuln.A7.13_1</w:t>
            </w:r>
          </w:p>
          <w:p>
            <w:pPr>
              <w:pStyle w:val="Normal0"/>
              <w:spacing w:lineRule="auto" w:line="259"/>
              <w:jc w:val="both"/>
              <w:rPr>
                <w:color w:val="000000"/>
              </w:rPr>
            </w:pPr>
            <w:r>
              <w:rPr>
                <w:color w:val="00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color w:themeColor="text1" w:val="000000"/>
                <w:lang w:val="en-US"/>
              </w:rPr>
              <w:t xml:space="preserve">7.14 </w:t>
            </w:r>
            <w:r>
              <w:rPr/>
              <w:t>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Vuln.A7.14_1</w:t>
            </w:r>
          </w:p>
          <w:p>
            <w:pPr>
              <w:pStyle w:val="Normal0"/>
              <w:spacing w:lineRule="auto" w:line="259"/>
              <w:jc w:val="both"/>
              <w:rPr>
                <w:color w:val="000000"/>
              </w:rPr>
            </w:pPr>
            <w:r>
              <w:rPr>
                <w:color w:val="00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8.</w:t>
            </w:r>
            <w:r>
              <w:rPr/>
              <w:t>1 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Vuln.A8.1_1</w:t>
            </w:r>
          </w:p>
          <w:p>
            <w:pPr>
              <w:pStyle w:val="Normal0"/>
              <w:spacing w:lineRule="auto" w:line="259"/>
              <w:jc w:val="both"/>
              <w:rPr>
                <w:color w:val="000000"/>
              </w:rPr>
            </w:pPr>
            <w:r>
              <w:rPr>
                <w:color w:val="00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 </w:t>
            </w:r>
            <w:r>
              <w:rPr/>
              <w:t>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Vuln.A8.2_1</w:t>
            </w:r>
          </w:p>
          <w:p>
            <w:pPr>
              <w:pStyle w:val="Normal0"/>
              <w:spacing w:lineRule="auto" w:line="259"/>
              <w:jc w:val="both"/>
              <w:rPr>
                <w:color w:val="000000"/>
              </w:rPr>
            </w:pPr>
            <w:r>
              <w:rPr>
                <w:color w:val="00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 </w:t>
            </w:r>
            <w:r>
              <w:rPr/>
              <w:t>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Vuln.A8.3_1</w:t>
            </w:r>
          </w:p>
          <w:p>
            <w:pPr>
              <w:pStyle w:val="Normal0"/>
              <w:spacing w:lineRule="auto" w:line="259"/>
              <w:jc w:val="both"/>
              <w:rPr>
                <w:color w:val="000000"/>
              </w:rPr>
            </w:pPr>
            <w:r>
              <w:rPr>
                <w:color w:val="00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lang w:val="en-US"/>
              </w:rPr>
              <w:t xml:space="preserve">8.4 </w:t>
            </w:r>
            <w:r>
              <w:rPr/>
              <w:t>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Vuln.A8.4_1</w:t>
            </w:r>
          </w:p>
          <w:p>
            <w:pPr>
              <w:pStyle w:val="Normal0"/>
              <w:spacing w:lineRule="auto" w:line="259"/>
              <w:jc w:val="both"/>
              <w:rPr>
                <w:color w:val="000000"/>
              </w:rPr>
            </w:pPr>
            <w:r>
              <w:rPr>
                <w:color w:val="00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8.5 </w:t>
            </w:r>
            <w:r>
              <w:rPr/>
              <w:t>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Vuln.A8.5_1</w:t>
            </w:r>
          </w:p>
          <w:p>
            <w:pPr>
              <w:pStyle w:val="Normal0"/>
              <w:spacing w:lineRule="auto" w:line="259"/>
              <w:jc w:val="both"/>
              <w:rPr>
                <w:color w:val="000000"/>
              </w:rPr>
            </w:pPr>
            <w:r>
              <w:rPr>
                <w:color w:val="00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8.6 </w:t>
            </w:r>
            <w:r>
              <w:rPr/>
              <w:t>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Vuln.A8.6_1</w:t>
            </w:r>
          </w:p>
          <w:p>
            <w:pPr>
              <w:pStyle w:val="Normal0"/>
              <w:spacing w:lineRule="auto" w:line="259"/>
              <w:jc w:val="both"/>
              <w:rPr>
                <w:color w:val="000000"/>
              </w:rPr>
            </w:pPr>
            <w:r>
              <w:rPr>
                <w:color w:val="00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lang w:val="en-US"/>
              </w:rPr>
              <w:t xml:space="preserve">8.7 </w:t>
            </w:r>
            <w:r>
              <w:rPr/>
              <w:t>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Vuln.A8.7_1</w:t>
            </w:r>
          </w:p>
          <w:p>
            <w:pPr>
              <w:pStyle w:val="Normal0"/>
              <w:spacing w:lineRule="auto" w:line="259"/>
              <w:jc w:val="both"/>
              <w:rPr>
                <w:color w:val="000000"/>
              </w:rPr>
            </w:pPr>
            <w:r>
              <w:rPr>
                <w:color w:val="00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w:t>
            </w:r>
            <w:r>
              <w:rPr>
                <w:lang w:val="en-US"/>
              </w:rPr>
              <w:t xml:space="preserve">8 </w:t>
            </w:r>
            <w:r>
              <w:rPr/>
              <w:t>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Vuln.A8.8_1</w:t>
            </w:r>
          </w:p>
          <w:p>
            <w:pPr>
              <w:pStyle w:val="Normal0"/>
              <w:spacing w:lineRule="auto" w:line="259"/>
              <w:jc w:val="both"/>
              <w:rPr>
                <w:color w:val="000000"/>
              </w:rPr>
            </w:pPr>
            <w:r>
              <w:rPr>
                <w:color w:val="00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8.9 </w:t>
            </w:r>
            <w:r>
              <w:rPr/>
              <w:t>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Vuln.A8.9_1</w:t>
            </w:r>
          </w:p>
          <w:p>
            <w:pPr>
              <w:pStyle w:val="Normal0"/>
              <w:spacing w:lineRule="auto" w:line="259"/>
              <w:jc w:val="both"/>
              <w:rPr>
                <w:color w:val="000000"/>
              </w:rPr>
            </w:pPr>
            <w:r>
              <w:rPr>
                <w:color w:val="00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8.10 </w:t>
            </w:r>
            <w:r>
              <w:rPr/>
              <w:t>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Vuln.A8.10_1</w:t>
            </w:r>
          </w:p>
          <w:p>
            <w:pPr>
              <w:pStyle w:val="Normal0"/>
              <w:spacing w:lineRule="auto" w:line="259"/>
              <w:jc w:val="both"/>
              <w:rPr>
                <w:color w:val="000000"/>
              </w:rPr>
            </w:pPr>
            <w:r>
              <w:rPr>
                <w:color w:val="00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8.11 </w:t>
            </w:r>
            <w:r>
              <w:rPr/>
              <w:t>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Vuln.A8.11_1</w:t>
            </w:r>
          </w:p>
          <w:p>
            <w:pPr>
              <w:pStyle w:val="Normal0"/>
              <w:spacing w:lineRule="auto" w:line="259"/>
              <w:jc w:val="both"/>
              <w:rPr>
                <w:color w:val="000000"/>
              </w:rPr>
            </w:pPr>
            <w:r>
              <w:rPr>
                <w:color w:val="00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8.12 </w:t>
            </w:r>
            <w:r>
              <w:rPr/>
              <w:t>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Vuln.A8.12_1</w:t>
            </w:r>
          </w:p>
          <w:p>
            <w:pPr>
              <w:pStyle w:val="Normal0"/>
              <w:spacing w:lineRule="auto" w:line="259"/>
              <w:jc w:val="both"/>
              <w:rPr>
                <w:color w:val="000000"/>
              </w:rPr>
            </w:pPr>
            <w:r>
              <w:rPr>
                <w:color w:val="00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8.13 </w:t>
            </w:r>
            <w:r>
              <w:rPr/>
              <w:t>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Vuln.A8.13_1</w:t>
            </w:r>
          </w:p>
          <w:p>
            <w:pPr>
              <w:pStyle w:val="Normal0"/>
              <w:spacing w:lineRule="auto" w:line="259"/>
              <w:jc w:val="both"/>
              <w:rPr>
                <w:color w:val="000000"/>
              </w:rPr>
            </w:pPr>
            <w:r>
              <w:rPr>
                <w:color w:val="00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8.14 </w:t>
            </w:r>
            <w:r>
              <w:rPr/>
              <w:t>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Vuln.A8.14_1</w:t>
            </w:r>
          </w:p>
          <w:p>
            <w:pPr>
              <w:pStyle w:val="Normal0"/>
              <w:spacing w:lineRule="auto" w:line="259"/>
              <w:jc w:val="both"/>
              <w:rPr>
                <w:color w:val="000000"/>
              </w:rPr>
            </w:pPr>
            <w:r>
              <w:rPr>
                <w:color w:val="00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8.15 </w:t>
            </w:r>
            <w:r>
              <w:rPr/>
              <w:t>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Vuln.A8.15_1</w:t>
            </w:r>
          </w:p>
          <w:p>
            <w:pPr>
              <w:pStyle w:val="Normal0"/>
              <w:spacing w:lineRule="auto" w:line="259"/>
              <w:jc w:val="both"/>
              <w:rPr>
                <w:color w:val="000000"/>
              </w:rPr>
            </w:pPr>
            <w:r>
              <w:rPr>
                <w:color w:val="00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8.16 </w:t>
            </w:r>
            <w:r>
              <w:rPr/>
              <w:t>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Vuln.A8.16_1</w:t>
            </w:r>
          </w:p>
          <w:p>
            <w:pPr>
              <w:pStyle w:val="Normal0"/>
              <w:spacing w:lineRule="auto" w:line="259"/>
              <w:jc w:val="both"/>
              <w:rPr>
                <w:color w:val="000000"/>
              </w:rPr>
            </w:pPr>
            <w:r>
              <w:rPr>
                <w:color w:val="00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8.17 </w:t>
            </w:r>
            <w:r>
              <w:rPr/>
              <w:t>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Vuln.A8.17_1</w:t>
            </w:r>
          </w:p>
          <w:p>
            <w:pPr>
              <w:pStyle w:val="Normal0"/>
              <w:spacing w:lineRule="auto" w:line="259"/>
              <w:jc w:val="both"/>
              <w:rPr>
                <w:color w:val="000000"/>
              </w:rPr>
            </w:pPr>
            <w:r>
              <w:rPr>
                <w:color w:val="00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8.18 </w:t>
            </w:r>
            <w:r>
              <w:rPr/>
              <w:t>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Vuln.A8.18_1</w:t>
            </w:r>
          </w:p>
          <w:p>
            <w:pPr>
              <w:pStyle w:val="Normal0"/>
              <w:spacing w:lineRule="auto" w:line="259"/>
              <w:jc w:val="both"/>
              <w:rPr>
                <w:color w:val="000000"/>
              </w:rPr>
            </w:pPr>
            <w:r>
              <w:rPr>
                <w:color w:val="00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8.19 </w:t>
            </w:r>
            <w:r>
              <w:rPr/>
              <w:t>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Vuln.A8.19_1</w:t>
            </w:r>
          </w:p>
          <w:p>
            <w:pPr>
              <w:pStyle w:val="Normal0"/>
              <w:spacing w:lineRule="auto" w:line="259"/>
              <w:jc w:val="both"/>
              <w:rPr>
                <w:color w:val="000000"/>
              </w:rPr>
            </w:pPr>
            <w:r>
              <w:rPr>
                <w:color w:val="00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8.20 </w:t>
            </w:r>
            <w:r>
              <w:rPr/>
              <w:t>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Vuln.A8.20_1</w:t>
            </w:r>
          </w:p>
          <w:p>
            <w:pPr>
              <w:pStyle w:val="Normal0"/>
              <w:spacing w:lineRule="auto" w:line="259"/>
              <w:jc w:val="both"/>
              <w:rPr>
                <w:color w:val="000000"/>
              </w:rPr>
            </w:pPr>
            <w:r>
              <w:rPr>
                <w:color w:val="00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8.</w:t>
            </w:r>
            <w:r>
              <w:rPr/>
              <w:t>21 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Vuln.A8.21_1</w:t>
            </w:r>
          </w:p>
          <w:p>
            <w:pPr>
              <w:pStyle w:val="Normal0"/>
              <w:spacing w:lineRule="auto" w:line="259"/>
              <w:jc w:val="both"/>
              <w:rPr>
                <w:color w:val="000000"/>
              </w:rPr>
            </w:pPr>
            <w:r>
              <w:rPr>
                <w:color w:val="00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8.22 </w:t>
            </w:r>
            <w:r>
              <w:rPr/>
              <w:t>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Vuln.A8.22_1</w:t>
            </w:r>
          </w:p>
          <w:p>
            <w:pPr>
              <w:pStyle w:val="Normal0"/>
              <w:spacing w:lineRule="auto" w:line="259"/>
              <w:jc w:val="both"/>
              <w:rPr>
                <w:color w:val="000000"/>
              </w:rPr>
            </w:pPr>
            <w:r>
              <w:rPr>
                <w:color w:val="00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8.23 </w:t>
            </w:r>
            <w:r>
              <w:rPr/>
              <w:t>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Vuln.A8.23_1</w:t>
            </w:r>
          </w:p>
          <w:p>
            <w:pPr>
              <w:pStyle w:val="Normal0"/>
              <w:spacing w:lineRule="auto" w:line="259"/>
              <w:jc w:val="both"/>
              <w:rPr>
                <w:color w:val="000000"/>
              </w:rPr>
            </w:pPr>
            <w:r>
              <w:rPr>
                <w:color w:val="00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8.24 </w:t>
            </w:r>
            <w:r>
              <w:rPr/>
              <w:t>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Vuln.A8.24_1</w:t>
            </w:r>
          </w:p>
          <w:p>
            <w:pPr>
              <w:pStyle w:val="Normal0"/>
              <w:spacing w:lineRule="auto" w:line="259"/>
              <w:jc w:val="both"/>
              <w:rPr>
                <w:color w:val="000000"/>
              </w:rPr>
            </w:pPr>
            <w:r>
              <w:rPr>
                <w:color w:val="00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8.25 </w:t>
            </w:r>
            <w:r>
              <w:rPr/>
              <w:t>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Vuln.A8.25_1</w:t>
            </w:r>
          </w:p>
          <w:p>
            <w:pPr>
              <w:pStyle w:val="Normal0"/>
              <w:spacing w:lineRule="auto" w:line="259"/>
              <w:jc w:val="both"/>
              <w:rPr>
                <w:color w:val="000000"/>
              </w:rPr>
            </w:pPr>
            <w:r>
              <w:rPr>
                <w:color w:val="00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8.26 </w:t>
            </w:r>
            <w:r>
              <w:rPr/>
              <w:t>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Vuln.A8.26_1</w:t>
            </w:r>
          </w:p>
          <w:p>
            <w:pPr>
              <w:pStyle w:val="Normal0"/>
              <w:spacing w:lineRule="auto" w:line="259"/>
              <w:jc w:val="both"/>
              <w:rPr>
                <w:color w:val="000000"/>
              </w:rPr>
            </w:pPr>
            <w:r>
              <w:rPr>
                <w:color w:val="00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8.27 </w:t>
            </w:r>
            <w:r>
              <w:rPr/>
              <w:t>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Vuln.A8.27_1</w:t>
            </w:r>
          </w:p>
          <w:p>
            <w:pPr>
              <w:pStyle w:val="Normal0"/>
              <w:spacing w:lineRule="auto" w:line="259"/>
              <w:jc w:val="both"/>
              <w:rPr>
                <w:color w:val="000000"/>
              </w:rPr>
            </w:pPr>
            <w:r>
              <w:rPr>
                <w:color w:val="00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8.28 </w:t>
            </w:r>
            <w:r>
              <w:rPr/>
              <w:t>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Vuln.A8.28_1</w:t>
            </w:r>
          </w:p>
          <w:p>
            <w:pPr>
              <w:pStyle w:val="Normal0"/>
              <w:spacing w:lineRule="auto" w:line="259"/>
              <w:jc w:val="both"/>
              <w:rPr>
                <w:color w:val="000000"/>
              </w:rPr>
            </w:pPr>
            <w:r>
              <w:rPr>
                <w:color w:val="00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8.29 </w:t>
            </w:r>
            <w:r>
              <w:rPr/>
              <w:t>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Vuln.A8.29_1</w:t>
            </w:r>
          </w:p>
          <w:p>
            <w:pPr>
              <w:pStyle w:val="Normal0"/>
              <w:spacing w:lineRule="auto" w:line="259"/>
              <w:jc w:val="both"/>
              <w:rPr>
                <w:color w:val="000000"/>
              </w:rPr>
            </w:pPr>
            <w:r>
              <w:rPr>
                <w:color w:val="00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8.30 </w:t>
            </w:r>
            <w:r>
              <w:rPr/>
              <w:t>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Vuln.A8.30_1</w:t>
            </w:r>
          </w:p>
          <w:p>
            <w:pPr>
              <w:pStyle w:val="Normal0"/>
              <w:spacing w:lineRule="auto" w:line="259"/>
              <w:jc w:val="both"/>
              <w:rPr>
                <w:color w:val="000000"/>
              </w:rPr>
            </w:pPr>
            <w:r>
              <w:rPr>
                <w:color w:val="00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lang w:val="en-US"/>
              </w:rPr>
              <w:t xml:space="preserve">8.31 </w:t>
            </w:r>
            <w:r>
              <w:rPr/>
              <w:t>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Vuln.A8.31_1</w:t>
            </w:r>
          </w:p>
          <w:p>
            <w:pPr>
              <w:pStyle w:val="Normal0"/>
              <w:spacing w:lineRule="auto" w:line="259"/>
              <w:jc w:val="both"/>
              <w:rPr>
                <w:color w:val="000000"/>
              </w:rPr>
            </w:pPr>
            <w:r>
              <w:rPr>
                <w:color w:val="00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8.32 </w:t>
            </w:r>
            <w:r>
              <w:rPr/>
              <w:t>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Vuln.A8.32_1</w:t>
            </w:r>
          </w:p>
          <w:p>
            <w:pPr>
              <w:pStyle w:val="Normal0"/>
              <w:spacing w:lineRule="auto" w:line="259"/>
              <w:jc w:val="both"/>
              <w:rPr>
                <w:color w:val="000000"/>
              </w:rPr>
            </w:pPr>
            <w:r>
              <w:rPr>
                <w:color w:val="00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8.33 </w:t>
            </w:r>
            <w:r>
              <w:rPr/>
              <w:t>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Vuln.A8.33_1</w:t>
            </w:r>
          </w:p>
          <w:p>
            <w:pPr>
              <w:pStyle w:val="Normal0"/>
              <w:spacing w:lineRule="auto" w:line="259"/>
              <w:jc w:val="both"/>
              <w:rPr>
                <w:color w:val="000000"/>
              </w:rPr>
            </w:pPr>
            <w:r>
              <w:rPr>
                <w:color w:val="00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8.34 </w:t>
            </w:r>
            <w:r>
              <w:rPr/>
              <w:t>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754"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b/>
                <w:bCs/>
              </w:rPr>
            </w:pPr>
            <w:r>
              <w:rPr>
                <w:b/>
                <w:bCs/>
                <w:color w:val="000000"/>
              </w:rPr>
              <w:t>Vulnérabilité  – Vuln.A8.34_1</w:t>
            </w:r>
          </w:p>
          <w:p>
            <w:pPr>
              <w:pStyle w:val="Normal0"/>
              <w:spacing w:lineRule="auto" w:line="259"/>
              <w:jc w:val="both"/>
              <w:rPr>
                <w:color w:val="000000"/>
              </w:rPr>
            </w:pPr>
            <w:r>
              <w:rPr>
                <w:color w:val="000000"/>
              </w:rPr>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25"/>
          <w:headerReference w:type="first" r:id="rId26"/>
          <w:footerReference w:type="default" r:id="rId27"/>
          <w:footerReference w:type="first" r:id="rId28"/>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p>
      <w:pPr>
        <w:pStyle w:val="Normal"/>
        <w:rPr>
          <w:rFonts w:ascii="Calibri" w:hAnsi="Calibri" w:eastAsia="Calibri" w:cs="Calibri"/>
          <w:b/>
          <w:bCs/>
          <w:i w:val="false"/>
          <w:i w:val="false"/>
          <w:iCs w:val="false"/>
          <w:caps w:val="false"/>
          <w:smallCaps w:val="false"/>
          <w:color w:val="FF0000"/>
          <w:sz w:val="22"/>
          <w:szCs w:val="22"/>
          <w:u w:val="single"/>
          <w:lang w:val="fr-FR"/>
        </w:rPr>
      </w:pPr>
      <w:r>
        <w:rPr>
          <w:rFonts w:eastAsia="Calibri" w:cs="Calibri"/>
          <w:b/>
          <w:bCs/>
          <w:i w:val="false"/>
          <w:iCs w:val="false"/>
          <w:caps w:val="false"/>
          <w:smallCaps w:val="false"/>
          <w:color w:val="FF0000"/>
          <w:sz w:val="22"/>
          <w:szCs w:val="22"/>
          <w:u w:val="single"/>
          <w:lang w:val="fr-FR"/>
        </w:rPr>
      </w:r>
    </w:p>
    <w:p>
      <w:pPr>
        <w:pStyle w:val="Normal"/>
        <w:rPr/>
      </w:pPr>
      <w:r>
        <w:rPr/>
      </w:r>
    </w:p>
    <w:p>
      <w:pPr>
        <w:pStyle w:val="Normal"/>
        <w:widowControl w:val="false"/>
        <w:rPr>
          <w:rFonts w:ascii="Calibri" w:hAnsi="Calibri" w:eastAsia="Calibri" w:cs="Calibri"/>
          <w:b/>
          <w:bCs/>
          <w:i w:val="false"/>
          <w:i w:val="false"/>
          <w:iCs w:val="false"/>
          <w:caps w:val="false"/>
          <w:smallCaps w:val="false"/>
          <w:color w:val="FF0000"/>
          <w:sz w:val="22"/>
          <w:szCs w:val="22"/>
          <w:u w:val="single"/>
          <w:lang w:val="fr-FR"/>
        </w:rPr>
      </w:pPr>
      <w:r>
        <w:rPr>
          <w:rFonts w:eastAsia="Calibri" w:cs="Calibri"/>
          <w:b/>
          <w:bCs/>
          <w:i w:val="false"/>
          <w:iCs w:val="false"/>
          <w:caps w:val="false"/>
          <w:smallCaps w:val="false"/>
          <w:color w:val="FF0000"/>
          <w:sz w:val="22"/>
          <w:szCs w:val="22"/>
          <w:u w:val="single"/>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Vul1-SYS-SERVEURS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hautement exploitables par malwares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Composante(s) du SI impactée(s) :</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 xml:space="preserve">Appliquer </w:t>
            </w:r>
            <w:r>
              <w:rPr>
                <w:rFonts w:eastAsia="Calibri" w:cs="Calibri"/>
                <w:b/>
                <w:bCs/>
                <w:i w:val="false"/>
                <w:iCs w:val="false"/>
                <w:color w:themeColor="text1" w:val="000000"/>
                <w:kern w:val="0"/>
                <w:sz w:val="20"/>
                <w:szCs w:val="20"/>
                <w:lang w:val="fr-FR" w:eastAsia="en-US" w:bidi="ar-SA"/>
              </w:rPr>
              <w:t xml:space="preserve">immédiatement </w:t>
            </w:r>
            <w:r>
              <w:rPr>
                <w:rFonts w:eastAsia="Calibri" w:cs="Calibri"/>
                <w:b w:val="false"/>
                <w:bCs w:val="false"/>
                <w:i w:val="false"/>
                <w:iCs w:val="false"/>
                <w:color w:themeColor="text1" w:val="000000"/>
                <w:kern w:val="0"/>
                <w:sz w:val="20"/>
                <w:szCs w:val="20"/>
                <w:lang w:val="fr-FR" w:eastAsia="en-US" w:bidi="ar-SA"/>
              </w:rPr>
              <w:t>les patches nécessaires ou désactiver les ports concernés (toute autres solutions de confinement restent aussi possibles)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Vul2-SYS-SERVEURS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exploitables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Composante(s) du SI impactée(s) :</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5"/>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Planifier l’installation des patches nécessaires ou désactiver les ports concernés (toute autres solutions de confinement restent aussi possibles)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Vul3-Conf-SERVEURS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Mauvaise configuration du Système SERVEURS</w:t>
            </w:r>
          </w:p>
        </w:tc>
      </w:tr>
      <w:tr>
        <w:trPr>
          <w:trHeight w:val="375"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Composante(s) du SI impactée(s) : </w:t>
            </w:r>
            <w:r>
              <w:rPr>
                <w:rFonts w:eastAsia="Calibri" w:cs="Calibri"/>
                <w:b w:val="false"/>
                <w:bCs w:val="false"/>
                <w:i w:val="false"/>
                <w:iCs w:val="false"/>
                <w:color w:themeColor="text1" w:val="000000"/>
                <w:kern w:val="0"/>
                <w:sz w:val="20"/>
                <w:szCs w:val="20"/>
                <w:lang w:val="fr-FR" w:eastAsia="en-US" w:bidi="ar-SA"/>
              </w:rPr>
              <w:t>Configuration de différents SERVEURS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4"/>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rPr>
            </w:pPr>
            <w:r>
              <w:rPr>
                <w:rFonts w:eastAsia="Calibri" w:cs="Calibri"/>
                <w:b w:val="false"/>
                <w:bCs w:val="false"/>
                <w:i w:val="false"/>
                <w:iCs w:val="false"/>
                <w:color w:themeColor="text1" w:val="000000"/>
                <w:kern w:val="0"/>
                <w:sz w:val="20"/>
                <w:szCs w:val="20"/>
                <w:lang w:val="fr-FR" w:eastAsia="en-US" w:bidi="ar-SA"/>
              </w:rPr>
              <w:t>Il est recommandé de suivre les bonnes pratiques de CIS Benchmark pour la configuration du système OS du SERVEURS.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p>
      <w:pPr>
        <w:pStyle w:val="Normal"/>
        <w:rPr/>
      </w:pPr>
      <w:r>
        <w:rPr/>
      </w:r>
    </w:p>
    <w:p>
      <w:pPr>
        <w:pStyle w:val="Normal"/>
        <w:rPr/>
      </w:pPr>
      <w: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Vul1-SYS-APP</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hautement exploitables par malwares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applications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Composante(s) du SI impactée(s) :</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3"/>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 xml:space="preserve">Appliquer </w:t>
            </w:r>
            <w:r>
              <w:rPr>
                <w:rFonts w:eastAsia="Calibri" w:cs="Calibri"/>
                <w:b/>
                <w:bCs/>
                <w:i w:val="false"/>
                <w:iCs w:val="false"/>
                <w:color w:themeColor="text1" w:val="000000"/>
                <w:kern w:val="0"/>
                <w:sz w:val="20"/>
                <w:szCs w:val="20"/>
                <w:lang w:val="fr-FR" w:eastAsia="en-US" w:bidi="ar-SA"/>
              </w:rPr>
              <w:t xml:space="preserve">immédiatement </w:t>
            </w:r>
            <w:r>
              <w:rPr>
                <w:rFonts w:eastAsia="Calibri" w:cs="Calibri"/>
                <w:b w:val="false"/>
                <w:bCs w:val="false"/>
                <w:i w:val="false"/>
                <w:iCs w:val="false"/>
                <w:color w:themeColor="text1" w:val="000000"/>
                <w:kern w:val="0"/>
                <w:sz w:val="20"/>
                <w:szCs w:val="20"/>
                <w:lang w:val="fr-FR" w:eastAsia="en-US" w:bidi="ar-SA"/>
              </w:rPr>
              <w:t>les patches nécessaires ou désactiver les ports concernés (toute autres solutions de confinement restent aussi possibles)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Vul2-SYS-APP</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exploitables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applications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Composante(s) du SI impactée(s) :</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2"/>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Planifier l’installation des patches nécessaires ou désactiver les ports concernés (toute autres solutions de confinement restent aussi possibles)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Vul3-Conf-APP</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mbria" w:cs="" w:ascii="Cambria" w:hAnsi="Cambria" w:asciiTheme="minorAscii" w:cstheme="minorBidi" w:eastAsiaTheme="minorAscii" w:hAnsiTheme="minorAscii"/>
                <w:b w:val="false"/>
                <w:bCs w:val="false"/>
                <w:i w:val="false"/>
                <w:iCs w:val="false"/>
                <w:color w:themeColor="text1" w:val="000000"/>
                <w:kern w:val="0"/>
                <w:sz w:val="20"/>
                <w:szCs w:val="20"/>
                <w:lang w:val="fr-FR" w:eastAsia="en-US" w:bidi="ar-SA"/>
              </w:rPr>
              <w:t>Présences des mauv</w:t>
            </w:r>
            <w:r>
              <w:rPr>
                <w:rFonts w:eastAsia="Calibri" w:cs="Calibri"/>
                <w:b w:val="false"/>
                <w:bCs w:val="false"/>
                <w:i w:val="false"/>
                <w:iCs w:val="false"/>
                <w:color w:themeColor="text1" w:val="000000"/>
                <w:kern w:val="0"/>
                <w:sz w:val="20"/>
                <w:szCs w:val="20"/>
                <w:lang w:val="fr-FR" w:eastAsia="en-US" w:bidi="ar-SA"/>
              </w:rPr>
              <w:t>aises configurations au niveau des applications utilisées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applications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Composante(s) du SI impactée(s) :</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1"/>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Il est recommandé de suivre les bonnes pratiques de CIS Benchmark pour la configuration du système OS des applications.</w:t>
            </w:r>
          </w:p>
        </w:tc>
      </w:tr>
    </w:tbl>
    <w:p>
      <w:pPr>
        <w:pStyle w:val="Normal"/>
        <w:rPr/>
      </w:pPr>
      <w: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Vul1-SYS-INFRA</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hautement exploitables par malwares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 l’infrastructure de SI</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Composante(s) du SI impactée(s) :</w:t>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bCs/>
                <w:i w:val="false"/>
                <w:i w:val="false"/>
                <w:iCs w:val="false"/>
                <w:color w:themeColor="text1" w:val="000000"/>
                <w:sz w:val="20"/>
                <w:szCs w:val="20"/>
                <w:lang w:val="fr-FR"/>
              </w:rPr>
            </w:pPr>
            <w:r>
              <w:rPr>
                <w:rFonts w:eastAsia="Calibri" w:cs="Calibri"/>
                <w:b/>
                <w:bCs/>
                <w:i w:val="false"/>
                <w:iCs w:val="false"/>
                <w:color w:themeColor="text1" w:val="000000"/>
                <w:sz w:val="20"/>
                <w:szCs w:val="20"/>
                <w:lang w:val="fr-FR"/>
              </w:rPr>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0"/>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 xml:space="preserve">Appliquer </w:t>
            </w:r>
            <w:r>
              <w:rPr>
                <w:rFonts w:eastAsia="Calibri" w:cs="Calibri"/>
                <w:b/>
                <w:bCs/>
                <w:i w:val="false"/>
                <w:iCs w:val="false"/>
                <w:color w:themeColor="text1" w:val="000000"/>
                <w:kern w:val="0"/>
                <w:sz w:val="20"/>
                <w:szCs w:val="20"/>
                <w:lang w:val="fr-FR" w:eastAsia="en-US" w:bidi="ar-SA"/>
              </w:rPr>
              <w:t xml:space="preserve">immédiatement </w:t>
            </w:r>
            <w:r>
              <w:rPr>
                <w:rFonts w:eastAsia="Calibri" w:cs="Calibri"/>
                <w:b w:val="false"/>
                <w:bCs w:val="false"/>
                <w:i w:val="false"/>
                <w:iCs w:val="false"/>
                <w:color w:themeColor="text1" w:val="000000"/>
                <w:kern w:val="0"/>
                <w:sz w:val="20"/>
                <w:szCs w:val="20"/>
                <w:lang w:val="fr-FR" w:eastAsia="en-US" w:bidi="ar-SA"/>
              </w:rPr>
              <w:t>les patches nécessaires ou désactiver les ports concernés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Vul2-SYS-INFRA</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exploitables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 l’infrastructure de SI</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Composante(s) du SI impactée(s) :</w:t>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bCs/>
                <w:i w:val="false"/>
                <w:i w:val="false"/>
                <w:iCs w:val="false"/>
                <w:color w:themeColor="text1" w:val="000000"/>
                <w:sz w:val="20"/>
                <w:szCs w:val="20"/>
                <w:lang w:val="fr-FR"/>
              </w:rPr>
            </w:pPr>
            <w:r>
              <w:rPr>
                <w:rFonts w:eastAsia="Calibri" w:cs="Calibri"/>
                <w:b/>
                <w:bCs/>
                <w:i w:val="false"/>
                <w:iCs w:val="false"/>
                <w:color w:themeColor="text1" w:val="000000"/>
                <w:sz w:val="20"/>
                <w:szCs w:val="20"/>
                <w:lang w:val="fr-FR"/>
              </w:rPr>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9"/>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Planifier l’installation des patches nécessaires ou désactiver les ports concernés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Vul3-Conf-INFRA</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Mauvaise configuration de l’infrastructure de SI</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 xml:space="preserve"> Rapport Annexe Technique Partie Audit de l’infrastructure de SI</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Composante(s) du SI impactée(s) : </w:t>
            </w:r>
            <w:r>
              <w:rPr>
                <w:rFonts w:eastAsia="Calibri" w:cs="Calibri"/>
                <w:b w:val="false"/>
                <w:bCs w:val="false"/>
                <w:i w:val="false"/>
                <w:iCs w:val="false"/>
                <w:color w:themeColor="text1" w:val="000000"/>
                <w:kern w:val="0"/>
                <w:sz w:val="20"/>
                <w:szCs w:val="20"/>
                <w:lang w:val="fr-FR" w:eastAsia="en-US" w:bidi="ar-SA"/>
              </w:rPr>
              <w:t>Configuration des différents équipements de l’infrastructure de SI</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8"/>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Il est recommandé de suivre les bonnes pratiques de CIS Benchmark pour la configuration des équipements de l’infrastructure de SI.</w:t>
            </w:r>
          </w:p>
        </w:tc>
      </w:tr>
    </w:tbl>
    <w:p>
      <w:pPr>
        <w:pStyle w:val="Normal"/>
        <w:widowControl w:val="false"/>
        <w:rPr>
          <w:rFonts w:ascii="Calibri" w:hAnsi="Calibri" w:eastAsia="Calibri" w:cs="Calibri"/>
          <w:b/>
          <w:bCs/>
          <w:i w:val="false"/>
          <w:i w:val="false"/>
          <w:iCs w:val="false"/>
          <w:caps w:val="false"/>
          <w:smallCaps w:val="false"/>
          <w:color w:val="FF0000"/>
          <w:sz w:val="22"/>
          <w:szCs w:val="22"/>
          <w:u w:val="single"/>
          <w:lang w:val="fr-FR"/>
        </w:rPr>
      </w:pPr>
      <w:r>
        <w:rPr>
          <w:rFonts w:eastAsia="Calibri" w:cs="Calibri"/>
          <w:b/>
          <w:bCs/>
          <w:i w:val="false"/>
          <w:iCs w:val="false"/>
          <w:caps w:val="false"/>
          <w:smallCaps w:val="false"/>
          <w:color w:val="FF0000"/>
          <w:sz w:val="22"/>
          <w:szCs w:val="22"/>
          <w:u w:val="single"/>
          <w:lang w:val="fr-FR"/>
        </w:rPr>
      </w:r>
    </w:p>
    <w:p>
      <w:pPr>
        <w:pStyle w:val="Normal"/>
        <w:rPr/>
      </w:pPr>
      <w: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Vul1-sys-PC</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val="FF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hautement exploitables par malwares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PCs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Composante(s) du SI impactée(s) :</w:t>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bCs/>
                <w:i w:val="false"/>
                <w:i w:val="false"/>
                <w:iCs w:val="false"/>
                <w:color w:themeColor="text1" w:val="000000"/>
                <w:sz w:val="20"/>
                <w:szCs w:val="20"/>
                <w:lang w:val="fr-FR"/>
              </w:rPr>
            </w:pPr>
            <w:r>
              <w:rPr>
                <w:rFonts w:eastAsia="Calibri" w:cs="Calibri"/>
                <w:b/>
                <w:bCs/>
                <w:i w:val="false"/>
                <w:iCs w:val="false"/>
                <w:color w:themeColor="text1" w:val="000000"/>
                <w:sz w:val="20"/>
                <w:szCs w:val="20"/>
                <w:lang w:val="fr-FR"/>
              </w:rPr>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5"/>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Appliquer immédiatement les patches nécessaires ou désactiver les ports concernés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Vul2-sys-PC</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Présence des vulnérabilités exploitables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PCs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Composante(s) du SI impactée(s) :</w:t>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p>
            <w:pPr>
              <w:pStyle w:val="Normal"/>
              <w:widowControl w:val="false"/>
              <w:spacing w:lineRule="auto" w:line="252" w:before="0" w:after="160"/>
              <w:jc w:val="left"/>
              <w:rPr>
                <w:rFonts w:ascii="Calibri" w:hAnsi="Calibri" w:eastAsia="Calibri" w:cs="Calibri"/>
                <w:b/>
                <w:bCs/>
                <w:i w:val="false"/>
                <w:i w:val="false"/>
                <w:iCs w:val="false"/>
                <w:color w:themeColor="text1" w:val="000000"/>
                <w:sz w:val="20"/>
                <w:szCs w:val="20"/>
                <w:lang w:val="fr-FR"/>
              </w:rPr>
            </w:pPr>
            <w:r>
              <w:rPr>
                <w:rFonts w:eastAsia="Calibri" w:cs="Calibri"/>
                <w:b/>
                <w:bCs/>
                <w:i w:val="false"/>
                <w:iCs w:val="false"/>
                <w:color w:themeColor="text1" w:val="000000"/>
                <w:sz w:val="20"/>
                <w:szCs w:val="20"/>
                <w:lang w:val="fr-FR"/>
              </w:rPr>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4"/>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kern w:val="0"/>
                <w:sz w:val="20"/>
                <w:szCs w:val="20"/>
                <w:lang w:val="fr-FR" w:eastAsia="en-US" w:bidi="ar-SA"/>
              </w:rPr>
              <w:t>Appliquer immédiatement les patches nécessaires ou désactiver les ports concernés</w:t>
            </w:r>
          </w:p>
        </w:tc>
      </w:tr>
    </w:tbl>
    <w:p>
      <w:pPr>
        <w:pStyle w:val="Normal"/>
        <w:widowControl w:val="false"/>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9015"/>
      </w:tblGrid>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Référence de la vulnérabilité :</w:t>
            </w:r>
            <w:r>
              <w:rPr>
                <w:rFonts w:eastAsia="Calibri" w:cs="Calibri"/>
                <w:b w:val="false"/>
                <w:bCs w:val="false"/>
                <w:i w:val="false"/>
                <w:iCs w:val="false"/>
                <w:kern w:val="0"/>
                <w:sz w:val="22"/>
                <w:szCs w:val="22"/>
                <w:lang w:val="fr-FR" w:eastAsia="en-US" w:bidi="ar-SA"/>
              </w:rPr>
              <w:t xml:space="preserve"> </w:t>
            </w:r>
            <w:r>
              <w:rPr>
                <w:rFonts w:eastAsia="Calibri" w:cs="Calibri"/>
                <w:b w:val="false"/>
                <w:bCs w:val="false"/>
                <w:i w:val="false"/>
                <w:iCs w:val="false"/>
                <w:color w:themeColor="text1" w:val="000000"/>
                <w:kern w:val="0"/>
                <w:sz w:val="20"/>
                <w:szCs w:val="20"/>
                <w:lang w:val="fr-FR" w:eastAsia="en-US" w:bidi="ar-SA"/>
              </w:rPr>
              <w:t>Vul3-Conf-PC</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 xml:space="preserve">Description : </w:t>
            </w:r>
            <w:r>
              <w:rPr>
                <w:rFonts w:eastAsia="Calibri" w:cs="Calibri"/>
                <w:b w:val="false"/>
                <w:bCs w:val="false"/>
                <w:i w:val="false"/>
                <w:iCs w:val="false"/>
                <w:color w:themeColor="text1" w:val="000000"/>
                <w:kern w:val="0"/>
                <w:sz w:val="20"/>
                <w:szCs w:val="20"/>
                <w:lang w:val="fr-FR" w:eastAsia="en-US" w:bidi="ar-SA"/>
              </w:rPr>
              <w:t>Mauvaise configuration du Système PC</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Preuve(s) d’audit : </w:t>
            </w:r>
            <w:r>
              <w:rPr>
                <w:rFonts w:eastAsia="Calibri" w:cs="Calibri"/>
                <w:b w:val="false"/>
                <w:bCs w:val="false"/>
                <w:i w:val="false"/>
                <w:iCs w:val="false"/>
                <w:color w:themeColor="text1" w:val="000000"/>
                <w:kern w:val="0"/>
                <w:sz w:val="20"/>
                <w:szCs w:val="20"/>
                <w:lang w:val="fr-FR" w:eastAsia="en-US" w:bidi="ar-SA"/>
              </w:rPr>
              <w:t>Rapport Annexe Technique Partie Audit des PCs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bCs/>
                <w:i w:val="false"/>
                <w:iCs w:val="false"/>
                <w:color w:themeColor="text1" w:val="000000"/>
                <w:kern w:val="0"/>
                <w:sz w:val="20"/>
                <w:szCs w:val="20"/>
                <w:lang w:val="fr-FR" w:eastAsia="en-US" w:bidi="ar-SA"/>
              </w:rPr>
              <w:t xml:space="preserve">Composante(s) du SI impactée(s) : </w:t>
            </w:r>
            <w:r>
              <w:rPr>
                <w:rFonts w:eastAsia="Calibri" w:cs="Calibri"/>
                <w:b w:val="false"/>
                <w:bCs w:val="false"/>
                <w:i w:val="false"/>
                <w:iCs w:val="false"/>
                <w:color w:themeColor="text1" w:val="000000"/>
                <w:kern w:val="0"/>
                <w:sz w:val="20"/>
                <w:szCs w:val="20"/>
                <w:lang w:val="fr-FR" w:eastAsia="en-US" w:bidi="ar-SA"/>
              </w:rPr>
              <w:t>Configuration de différents PCs</w:t>
            </w:r>
          </w:p>
        </w:tc>
      </w:tr>
      <w:tr>
        <w:trPr>
          <w:trHeight w:val="300" w:hRule="atLeast"/>
        </w:trPr>
        <w:tc>
          <w:tcPr>
            <w:tcW w:w="9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bCs/>
                <w:i w:val="false"/>
                <w:iCs w:val="false"/>
                <w:color w:themeColor="text1" w:val="000000"/>
                <w:kern w:val="0"/>
                <w:sz w:val="20"/>
                <w:szCs w:val="20"/>
                <w:lang w:val="fr-FR" w:eastAsia="en-US" w:bidi="ar-SA"/>
              </w:rPr>
              <w:t>Recommandation :</w:t>
            </w:r>
          </w:p>
          <w:p>
            <w:pPr>
              <w:pStyle w:val="ListParagraph"/>
              <w:widowControl w:val="false"/>
              <w:numPr>
                <w:ilvl w:val="0"/>
                <w:numId w:val="16"/>
              </w:numPr>
              <w:spacing w:lineRule="auto" w:line="252" w:before="0" w:after="160"/>
              <w:contextualSpacing/>
              <w:jc w:val="left"/>
              <w:rPr>
                <w:rFonts w:ascii="Calibri" w:hAnsi="Calibri" w:eastAsia="Calibri" w:cs="Calibri"/>
                <w:b w:val="false"/>
                <w:bCs w:val="false"/>
                <w:i w:val="false"/>
                <w:i w:val="false"/>
                <w:iCs w:val="false"/>
                <w:color w:themeColor="text1" w:val="000000"/>
                <w:sz w:val="20"/>
                <w:szCs w:val="20"/>
              </w:rPr>
            </w:pPr>
            <w:r>
              <w:rPr>
                <w:rFonts w:eastAsia="Calibri" w:cs="Calibri"/>
                <w:b w:val="false"/>
                <w:bCs w:val="false"/>
                <w:i w:val="false"/>
                <w:iCs w:val="false"/>
                <w:color w:themeColor="text1" w:val="000000"/>
                <w:kern w:val="0"/>
                <w:sz w:val="20"/>
                <w:szCs w:val="20"/>
                <w:lang w:val="fr-FR" w:eastAsia="en-US" w:bidi="ar-SA"/>
              </w:rPr>
              <w:t>Il est recommandé de suivre  les bonnes pratiques de CIS Benchmark pour la configuration du système OS du PC.</w:t>
            </w:r>
          </w:p>
        </w:tc>
      </w:tr>
    </w:tbl>
    <w:p>
      <w:pPr>
        <w:pStyle w:val="Normal"/>
        <w:widowControl w:val="false"/>
        <w:rPr>
          <w:rFonts w:ascii="Calibri" w:hAnsi="Calibri" w:eastAsia="Calibri" w:cs="Calibri"/>
          <w:b/>
          <w:bCs/>
          <w:i w:val="false"/>
          <w:i w:val="false"/>
          <w:iCs w:val="false"/>
          <w:caps w:val="false"/>
          <w:smallCaps w:val="false"/>
          <w:color w:val="FF0000"/>
          <w:sz w:val="22"/>
          <w:szCs w:val="22"/>
          <w:u w:val="single"/>
          <w:lang w:val="fr-FR"/>
        </w:rPr>
      </w:pPr>
      <w:r>
        <w:rPr>
          <w:rFonts w:eastAsia="Calibri" w:cs="Calibri"/>
          <w:b/>
          <w:bCs/>
          <w:i w:val="false"/>
          <w:iCs w:val="false"/>
          <w:caps w:val="false"/>
          <w:smallCaps w:val="false"/>
          <w:color w:val="FF0000"/>
          <w:sz w:val="22"/>
          <w:szCs w:val="22"/>
          <w:u w:val="single"/>
          <w:lang w:val="fr-FR"/>
        </w:rPr>
      </w:r>
    </w:p>
    <w:p>
      <w:pPr>
        <w:pStyle w:val="Normal"/>
        <w:numPr>
          <w:ilvl w:val="0"/>
          <w:numId w:val="0"/>
        </w:numPr>
        <w:ind w:hanging="0" w:left="1800"/>
        <w:rPr/>
      </w:pPr>
      <w:r>
        <w:rPr/>
      </w:r>
    </w:p>
    <w:tbl>
      <w:tblPr>
        <w:tblStyle w:val="TableNormal"/>
        <w:tblW w:w="9015" w:type="dxa"/>
        <w:jc w:val="left"/>
        <w:tblInd w:w="97" w:type="dxa"/>
        <w:tblLayout w:type="fixed"/>
        <w:tblCellMar>
          <w:top w:w="0" w:type="dxa"/>
          <w:left w:w="90" w:type="dxa"/>
          <w:bottom w:w="0" w:type="dxa"/>
          <w:right w:w="90" w:type="dxa"/>
        </w:tblCellMar>
        <w:tblLook w:firstRow="0" w:noVBand="1" w:lastRow="0" w:firstColumn="0" w:lastColumn="0" w:noHBand="0" w:val="0400"/>
      </w:tblPr>
      <w:tblGrid>
        <w:gridCol w:w="545"/>
        <w:gridCol w:w="8469"/>
      </w:tblGrid>
      <w:tr>
        <w:trPr>
          <w:trHeight w:val="300" w:hRule="atLeast"/>
        </w:trPr>
        <w:tc>
          <w:tcPr>
            <w:tcW w:w="9014" w:type="dxa"/>
            <w:gridSpan w:val="2"/>
            <w:tcBorders>
              <w:left w:val="single" w:sz="6" w:space="0" w:color="000000"/>
              <w:right w:val="single" w:sz="6" w:space="0" w:color="000000"/>
            </w:tcBorders>
          </w:tcPr>
          <w:p>
            <w:pPr>
              <w:pStyle w:val="Normal0"/>
              <w:rPr>
                <w:b/>
                <w:bCs/>
              </w:rPr>
            </w:pPr>
            <w:r>
              <w:rPr>
                <w:b/>
                <w:bCs/>
              </w:rPr>
            </w:r>
          </w:p>
        </w:tc>
      </w:tr>
      <w:tr>
        <w:trPr>
          <w:trHeight w:val="300" w:hRule="atLeast"/>
        </w:trPr>
        <w:tc>
          <w:tcPr>
            <w:tcW w:w="545" w:type="dxa"/>
            <w:vMerge w:val="restart"/>
            <w:tcBorders>
              <w:left w:val="single" w:sz="6" w:space="0" w:color="000000"/>
            </w:tcBorders>
          </w:tcPr>
          <w:p>
            <w:pPr>
              <w:pStyle w:val="Normal0"/>
              <w:rPr>
                <w:color w:val="FFFFFF"/>
              </w:rPr>
            </w:pPr>
            <w:r>
              <w:rPr>
                <w:b/>
                <w:bCs/>
                <w:color w:val="FFFFFF"/>
              </w:rPr>
              <w:t>${RowNumber}</w:t>
            </w:r>
          </w:p>
        </w:tc>
        <w:tc>
          <w:tcPr>
            <w:tcW w:w="8469" w:type="dxa"/>
            <w:tcBorders>
              <w:right w:val="single" w:sz="6" w:space="0" w:color="000000"/>
            </w:tcBorders>
          </w:tcPr>
          <w:p>
            <w:pPr>
              <w:pStyle w:val="Normal0"/>
              <w:rPr>
                <w:rFonts w:ascii="Calibri" w:hAnsi="Calibri" w:eastAsia="Calibri" w:cs="Calibri"/>
                <w:b/>
                <w:bCs/>
                <w:i w:val="false"/>
                <w:i w:val="false"/>
                <w:iCs w:val="false"/>
                <w:color w:themeColor="text1" w:val="000000"/>
                <w:kern w:val="0"/>
                <w:sz w:val="20"/>
                <w:szCs w:val="20"/>
                <w:lang w:val="fr-FR" w:eastAsia="en-US" w:bidi="ar-SA"/>
              </w:rPr>
            </w:pPr>
            <w:r>
              <w:rPr>
                <w:rFonts w:eastAsia="Calibri" w:cs="Calibri"/>
                <w:b/>
                <w:bCs/>
                <w:i w:val="false"/>
                <w:iCs w:val="false"/>
                <w:color w:themeColor="text1" w:val="000000"/>
                <w:kern w:val="0"/>
                <w:sz w:val="20"/>
                <w:szCs w:val="20"/>
                <w:lang w:val="fr-FR" w:eastAsia="en-US" w:bidi="ar-SA"/>
              </w:rPr>
              <w:t>Référence de la vulnérabilité:</w:t>
            </w:r>
          </w:p>
          <w:p>
            <w:pPr>
              <w:pStyle w:val="Normal0"/>
              <w:rPr>
                <w:rFonts w:ascii="Calibri" w:hAnsi="Calibri" w:eastAsia="Calibri" w:cs="Calibri"/>
                <w:b w:val="false"/>
                <w:bCs w:val="false"/>
                <w:i w:val="false"/>
                <w:i w:val="false"/>
                <w:iCs w:val="false"/>
                <w:color w:themeColor="text1" w:val="000000"/>
                <w:kern w:val="0"/>
                <w:sz w:val="20"/>
                <w:szCs w:val="20"/>
                <w:lang w:val="fr-FR" w:eastAsia="en-US" w:bidi="ar-SA"/>
              </w:rPr>
            </w:pPr>
            <w:r>
              <w:rPr>
                <w:rFonts w:eastAsia="Calibri" w:cs="Calibri"/>
                <w:b w:val="false"/>
                <w:bCs w:val="false"/>
                <w:i w:val="false"/>
                <w:iCs w:val="false"/>
                <w:color w:themeColor="text1" w:val="000000"/>
                <w:kern w:val="0"/>
                <w:sz w:val="20"/>
                <w:szCs w:val="20"/>
                <w:lang w:val="fr-FR" w:eastAsia="en-US" w:bidi="ar-SA"/>
              </w:rPr>
              <w:t>${Vuln_ref}</w:t>
            </w:r>
          </w:p>
        </w:tc>
      </w:tr>
      <w:tr>
        <w:trPr>
          <w:trHeight w:val="300" w:hRule="atLeast"/>
        </w:trPr>
        <w:tc>
          <w:tcPr>
            <w:tcW w:w="545" w:type="dxa"/>
            <w:vMerge w:val="continue"/>
            <w:tcBorders>
              <w:lef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val="false"/>
                <w:bCs w:val="false"/>
                <w:i w:val="false"/>
                <w:iCs w:val="false"/>
                <w:color w:themeColor="text1" w:val="000000"/>
                <w:sz w:val="20"/>
                <w:szCs w:val="20"/>
              </w:rPr>
            </w:r>
          </w:p>
        </w:tc>
        <w:tc>
          <w:tcPr>
            <w:tcW w:w="8469" w:type="dxa"/>
            <w:tcBorders>
              <w:right w:val="single" w:sz="6" w:space="0" w:color="000000"/>
            </w:tcBorders>
          </w:tcPr>
          <w:p>
            <w:pPr>
              <w:pStyle w:val="Normal0"/>
              <w:rPr>
                <w:rFonts w:ascii="Calibri" w:hAnsi="Calibri" w:eastAsia="Calibri" w:cs="Calibri"/>
                <w:b/>
                <w:bCs/>
                <w:i w:val="false"/>
                <w:i w:val="false"/>
                <w:iCs w:val="false"/>
                <w:color w:themeColor="text1" w:val="000000"/>
                <w:kern w:val="0"/>
                <w:sz w:val="20"/>
                <w:szCs w:val="20"/>
                <w:lang w:val="fr-FR" w:eastAsia="en-US" w:bidi="ar-SA"/>
              </w:rPr>
            </w:pPr>
            <w:r>
              <w:rPr>
                <w:rFonts w:eastAsia="Calibri" w:cs="Calibri"/>
                <w:b/>
                <w:bCs/>
                <w:i w:val="false"/>
                <w:iCs w:val="false"/>
                <w:color w:themeColor="text1" w:val="000000"/>
                <w:kern w:val="0"/>
                <w:sz w:val="20"/>
                <w:szCs w:val="20"/>
                <w:lang w:val="fr-FR" w:eastAsia="en-US" w:bidi="ar-SA"/>
              </w:rPr>
              <w:t>Description :</w:t>
            </w:r>
          </w:p>
          <w:p>
            <w:pPr>
              <w:pStyle w:val="Normal0"/>
              <w:rPr>
                <w:rFonts w:ascii="Calibri" w:hAnsi="Calibri" w:eastAsia="Calibri" w:cs="Calibri"/>
                <w:b w:val="false"/>
                <w:bCs w:val="false"/>
                <w:i w:val="false"/>
                <w:i w:val="false"/>
                <w:iCs w:val="false"/>
                <w:color w:themeColor="text1" w:val="000000"/>
                <w:kern w:val="0"/>
                <w:sz w:val="20"/>
                <w:szCs w:val="20"/>
                <w:lang w:val="fr-FR" w:eastAsia="en-US" w:bidi="ar-SA"/>
              </w:rPr>
            </w:pPr>
            <w:r>
              <w:rPr>
                <w:rFonts w:eastAsia="Calibri" w:cs="Calibri"/>
                <w:b w:val="false"/>
                <w:bCs w:val="false"/>
                <w:i w:val="false"/>
                <w:iCs w:val="false"/>
                <w:color w:themeColor="text1" w:val="000000"/>
                <w:kern w:val="0"/>
                <w:sz w:val="20"/>
                <w:szCs w:val="20"/>
                <w:lang w:val="fr-FR" w:eastAsia="en-US" w:bidi="ar-SA"/>
              </w:rPr>
              <w:t>${Vuln_desc}</w:t>
            </w:r>
          </w:p>
        </w:tc>
      </w:tr>
      <w:tr>
        <w:trPr>
          <w:trHeight w:val="300" w:hRule="atLeast"/>
        </w:trPr>
        <w:tc>
          <w:tcPr>
            <w:tcW w:w="545" w:type="dxa"/>
            <w:vMerge w:val="continue"/>
            <w:tcBorders>
              <w:lef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val="false"/>
                <w:bCs w:val="false"/>
                <w:i w:val="false"/>
                <w:iCs w:val="false"/>
                <w:color w:themeColor="text1" w:val="000000"/>
                <w:sz w:val="20"/>
                <w:szCs w:val="20"/>
              </w:rPr>
            </w:r>
          </w:p>
        </w:tc>
        <w:tc>
          <w:tcPr>
            <w:tcW w:w="8469" w:type="dxa"/>
            <w:tcBorders>
              <w:right w:val="single" w:sz="6" w:space="0" w:color="000000"/>
            </w:tcBorders>
          </w:tcPr>
          <w:p>
            <w:pPr>
              <w:pStyle w:val="Normal0"/>
              <w:rPr>
                <w:rFonts w:ascii="Calibri" w:hAnsi="Calibri" w:eastAsia="Calibri" w:cs="Calibri"/>
                <w:b/>
                <w:bCs/>
                <w:i w:val="false"/>
                <w:i w:val="false"/>
                <w:iCs w:val="false"/>
                <w:color w:themeColor="text1" w:val="000000"/>
                <w:kern w:val="0"/>
                <w:sz w:val="20"/>
                <w:szCs w:val="20"/>
                <w:lang w:val="fr-FR" w:eastAsia="en-US" w:bidi="ar-SA"/>
              </w:rPr>
            </w:pPr>
            <w:r>
              <w:rPr>
                <w:rFonts w:eastAsia="Calibri" w:cs="Calibri"/>
                <w:b/>
                <w:bCs/>
                <w:i w:val="false"/>
                <w:iCs w:val="false"/>
                <w:color w:themeColor="text1" w:val="000000"/>
                <w:kern w:val="0"/>
                <w:sz w:val="20"/>
                <w:szCs w:val="20"/>
                <w:lang w:val="fr-FR" w:eastAsia="en-US" w:bidi="ar-SA"/>
              </w:rPr>
              <w:t>Preuve(s) d’audit :</w:t>
            </w:r>
          </w:p>
          <w:p>
            <w:pPr>
              <w:pStyle w:val="Normal0"/>
              <w:rPr>
                <w:rFonts w:ascii="Calibri" w:hAnsi="Calibri" w:eastAsia="Calibri" w:cs="Calibri"/>
                <w:b w:val="false"/>
                <w:bCs w:val="false"/>
                <w:i w:val="false"/>
                <w:i w:val="false"/>
                <w:iCs w:val="false"/>
                <w:color w:themeColor="text1" w:val="000000"/>
                <w:kern w:val="0"/>
                <w:sz w:val="20"/>
                <w:szCs w:val="20"/>
                <w:lang w:val="fr-FR" w:eastAsia="en-US" w:bidi="ar-SA"/>
              </w:rPr>
            </w:pPr>
            <w:r>
              <w:rPr>
                <w:rFonts w:eastAsia="Calibri" w:cs="Calibri"/>
                <w:b w:val="false"/>
                <w:bCs w:val="false"/>
                <w:i w:val="false"/>
                <w:iCs w:val="false"/>
                <w:color w:themeColor="text1" w:val="000000"/>
                <w:kern w:val="0"/>
                <w:sz w:val="20"/>
                <w:szCs w:val="20"/>
                <w:lang w:val="fr-FR" w:eastAsia="en-US" w:bidi="ar-SA"/>
              </w:rPr>
              <w:t xml:space="preserve">Discution concernant le questionnaire MEHARI </w:t>
            </w:r>
            <w:r>
              <w:rPr>
                <w:rFonts w:eastAsia="Calibri" w:cs="Calibri"/>
                <w:b/>
                <w:bCs/>
                <w:i w:val="false"/>
                <w:iCs w:val="false"/>
                <w:color w:themeColor="text1" w:val="000000"/>
                <w:kern w:val="0"/>
                <w:sz w:val="20"/>
                <w:szCs w:val="20"/>
                <w:lang w:val="fr-FR" w:eastAsia="en-US" w:bidi="ar-SA"/>
              </w:rPr>
              <w:t>${Vuln_ref}</w:t>
            </w:r>
          </w:p>
        </w:tc>
      </w:tr>
      <w:tr>
        <w:trPr>
          <w:trHeight w:val="300" w:hRule="atLeast"/>
        </w:trPr>
        <w:tc>
          <w:tcPr>
            <w:tcW w:w="545" w:type="dxa"/>
            <w:vMerge w:val="continue"/>
            <w:tcBorders>
              <w:lef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lang w:val="fr-FR"/>
              </w:rPr>
            </w:pPr>
            <w:r>
              <w:rPr>
                <w:rFonts w:eastAsia="Calibri" w:cs="Calibri"/>
                <w:b w:val="false"/>
                <w:bCs w:val="false"/>
                <w:i w:val="false"/>
                <w:iCs w:val="false"/>
                <w:color w:themeColor="text1" w:val="000000"/>
                <w:sz w:val="20"/>
                <w:szCs w:val="20"/>
                <w:lang w:val="fr-FR"/>
              </w:rPr>
            </w:r>
          </w:p>
        </w:tc>
        <w:tc>
          <w:tcPr>
            <w:tcW w:w="8469" w:type="dxa"/>
            <w:tcBorders>
              <w:right w:val="single" w:sz="6" w:space="0" w:color="000000"/>
            </w:tcBorders>
          </w:tcPr>
          <w:p>
            <w:pPr>
              <w:pStyle w:val="Normal0"/>
              <w:rPr>
                <w:rFonts w:ascii="Calibri" w:hAnsi="Calibri" w:eastAsia="Calibri" w:cs="Calibri"/>
                <w:b/>
                <w:bCs/>
                <w:i w:val="false"/>
                <w:i w:val="false"/>
                <w:iCs w:val="false"/>
                <w:color w:themeColor="text1" w:val="000000"/>
                <w:kern w:val="0"/>
                <w:sz w:val="20"/>
                <w:szCs w:val="20"/>
                <w:lang w:val="fr-FR" w:eastAsia="en-US" w:bidi="ar-SA"/>
              </w:rPr>
            </w:pPr>
            <w:r>
              <w:rPr>
                <w:rFonts w:eastAsia="Calibri" w:cs="Calibri"/>
                <w:b/>
                <w:bCs/>
                <w:i w:val="false"/>
                <w:iCs w:val="false"/>
                <w:color w:themeColor="text1" w:val="000000"/>
                <w:kern w:val="0"/>
                <w:sz w:val="20"/>
                <w:szCs w:val="20"/>
                <w:lang w:val="fr-FR" w:eastAsia="en-US" w:bidi="ar-SA"/>
              </w:rPr>
              <w:t>Composante(s) du SI impactée(s) :</w:t>
            </w:r>
          </w:p>
          <w:p>
            <w:pPr>
              <w:pStyle w:val="Normal0"/>
              <w:rPr/>
            </w:pPr>
            <w:r>
              <w:rPr/>
              <w:t>${Vuln_si}</w:t>
            </w:r>
          </w:p>
        </w:tc>
      </w:tr>
      <w:tr>
        <w:trPr>
          <w:trHeight w:val="300" w:hRule="atLeast"/>
        </w:trPr>
        <w:tc>
          <w:tcPr>
            <w:tcW w:w="545" w:type="dxa"/>
            <w:vMerge w:val="continue"/>
            <w:tcBorders>
              <w:lef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val="false"/>
                <w:bCs w:val="false"/>
                <w:i w:val="false"/>
                <w:iCs w:val="false"/>
                <w:color w:themeColor="text1" w:val="000000"/>
                <w:sz w:val="20"/>
                <w:szCs w:val="20"/>
              </w:rPr>
            </w:r>
          </w:p>
        </w:tc>
        <w:tc>
          <w:tcPr>
            <w:tcW w:w="8469" w:type="dxa"/>
            <w:tcBorders>
              <w:right w:val="single" w:sz="6" w:space="0" w:color="000000"/>
            </w:tcBorders>
          </w:tcPr>
          <w:p>
            <w:pPr>
              <w:pStyle w:val="Normal0"/>
              <w:rPr>
                <w:rFonts w:ascii="Calibri" w:hAnsi="Calibri" w:eastAsia="Calibri" w:cs="Calibri"/>
                <w:b/>
                <w:bCs/>
                <w:i w:val="false"/>
                <w:i w:val="false"/>
                <w:iCs w:val="false"/>
                <w:color w:themeColor="text1" w:val="000000"/>
                <w:kern w:val="0"/>
                <w:sz w:val="20"/>
                <w:szCs w:val="20"/>
                <w:lang w:val="fr-FR" w:eastAsia="en-US" w:bidi="ar-SA"/>
              </w:rPr>
            </w:pPr>
            <w:r>
              <w:rPr>
                <w:rFonts w:eastAsia="Calibri" w:cs="Calibri"/>
                <w:b/>
                <w:bCs/>
                <w:i w:val="false"/>
                <w:iCs w:val="false"/>
                <w:color w:themeColor="text1" w:val="000000"/>
                <w:kern w:val="0"/>
                <w:sz w:val="20"/>
                <w:szCs w:val="20"/>
                <w:lang w:val="fr-FR" w:eastAsia="en-US" w:bidi="ar-SA"/>
              </w:rPr>
              <w:t>Recommandation :</w:t>
            </w:r>
          </w:p>
          <w:p>
            <w:pPr>
              <w:pStyle w:val="Normal0"/>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${Vuln_recom}</w:t>
            </w:r>
          </w:p>
        </w:tc>
      </w:tr>
      <w:tr>
        <w:trPr>
          <w:trHeight w:val="300" w:hRule="atLeast"/>
        </w:trPr>
        <w:tc>
          <w:tcPr>
            <w:tcW w:w="545" w:type="dxa"/>
            <w:vMerge w:val="continue"/>
            <w:tcBorders>
              <w:lef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val="false"/>
                <w:bCs w:val="false"/>
                <w:i w:val="false"/>
                <w:iCs w:val="false"/>
                <w:color w:themeColor="text1" w:val="000000"/>
                <w:sz w:val="20"/>
                <w:szCs w:val="20"/>
              </w:rPr>
            </w:r>
          </w:p>
        </w:tc>
        <w:tc>
          <w:tcPr>
            <w:tcW w:w="8469" w:type="dxa"/>
            <w:tcBorders>
              <w:right w:val="single" w:sz="6" w:space="0" w:color="000000"/>
            </w:tcBorders>
          </w:tcPr>
          <w:p>
            <w:pPr>
              <w:pStyle w:val="Normal0"/>
              <w:rPr>
                <w:rFonts w:ascii="Calibri" w:hAnsi="Calibri" w:eastAsia="Calibri" w:cs="Calibri"/>
                <w:b/>
                <w:bCs/>
                <w:i w:val="false"/>
                <w:i w:val="false"/>
                <w:iCs w:val="false"/>
                <w:color w:themeColor="text1" w:val="000000"/>
                <w:kern w:val="0"/>
                <w:sz w:val="20"/>
                <w:szCs w:val="20"/>
                <w:lang w:val="fr-FR" w:eastAsia="en-US" w:bidi="ar-SA"/>
              </w:rPr>
            </w:pPr>
            <w:r>
              <w:rPr>
                <w:rFonts w:eastAsia="Calibri" w:cs="Calibri"/>
                <w:b/>
                <w:bCs/>
                <w:i w:val="false"/>
                <w:iCs w:val="false"/>
                <w:color w:themeColor="text1" w:val="000000"/>
                <w:kern w:val="0"/>
                <w:sz w:val="20"/>
                <w:szCs w:val="20"/>
                <w:lang w:val="fr-FR" w:eastAsia="en-US" w:bidi="ar-SA"/>
              </w:rPr>
            </w:r>
          </w:p>
        </w:tc>
      </w:tr>
      <w:tr>
        <w:trPr>
          <w:trHeight w:val="300" w:hRule="atLeast"/>
        </w:trPr>
        <w:tc>
          <w:tcPr>
            <w:tcW w:w="9014" w:type="dxa"/>
            <w:gridSpan w:val="2"/>
            <w:tcBorders>
              <w:left w:val="single" w:sz="6" w:space="0" w:color="000000"/>
              <w:right w:val="single" w:sz="6" w:space="0" w:color="000000"/>
            </w:tcBorders>
          </w:tcPr>
          <w:p>
            <w:pPr>
              <w:pStyle w:val="Normal"/>
              <w:widowControl w:val="false"/>
              <w:spacing w:lineRule="auto" w:line="252" w:before="0" w:after="160"/>
              <w:jc w:val="left"/>
              <w:rPr>
                <w:rFonts w:ascii="Calibri" w:hAnsi="Calibri" w:eastAsia="Calibri" w:cs="Calibri"/>
                <w:b w:val="false"/>
                <w:bCs w:val="false"/>
                <w:i w:val="false"/>
                <w:i w:val="false"/>
                <w:iCs w:val="false"/>
                <w:color w:themeColor="text1" w:val="000000"/>
                <w:sz w:val="20"/>
                <w:szCs w:val="20"/>
              </w:rPr>
            </w:pPr>
            <w:r>
              <w:rPr>
                <w:rFonts w:eastAsia="Calibri" w:cs="Calibri"/>
                <w:b w:val="false"/>
                <w:bCs w:val="false"/>
                <w:i w:val="false"/>
                <w:iCs w:val="false"/>
                <w:color w:themeColor="text1" w:val="000000"/>
                <w:sz w:val="20"/>
                <w:szCs w:val="20"/>
              </w:rPr>
            </w:r>
          </w:p>
        </w:tc>
      </w:tr>
    </w:tbl>
    <w:p>
      <w:pPr>
        <w:pStyle w:val="Normal"/>
        <w:rPr/>
      </w:pPr>
      <w:r>
        <w:rPr/>
      </w:r>
      <w:bookmarkStart w:id="26" w:name="docs-internal-guid-6759b59b-7fff-a328-aa"/>
      <w:bookmarkStart w:id="27" w:name="docs-internal-guid-6759b59b-7fff-a328-aa"/>
      <w:bookmarkEnd w:id="27"/>
    </w:p>
    <w:p>
      <w:pPr>
        <w:pStyle w:val="BodyText"/>
        <w:rPr/>
      </w:pPr>
      <w:r>
        <w:rPr/>
        <w:br/>
      </w:r>
    </w:p>
    <w:p>
      <w:pPr>
        <w:pStyle w:val="Normal"/>
        <w:numPr>
          <w:ilvl w:val="0"/>
          <w:numId w:val="0"/>
        </w:numPr>
        <w:ind w:hanging="0" w:left="180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annexes d’audit Technique.</w:t>
      </w:r>
    </w:p>
    <w:p>
      <w:pPr>
        <w:pStyle w:val="Normal"/>
        <w:rPr>
          <w:color w:themeColor="text1" w:val="000000"/>
        </w:rPr>
      </w:pPr>
      <w:r>
        <w:rPr>
          <w:color w:themeColor="text1" w:val="000000"/>
        </w:rPr>
      </w:r>
    </w:p>
    <w:p>
      <w:pPr>
        <w:pStyle w:val="SS-Titre1"/>
        <w:numPr>
          <w:ilvl w:val="0"/>
          <w:numId w:val="20"/>
        </w:numPr>
        <w:rPr/>
      </w:pPr>
      <w:bookmarkStart w:id="28" w:name="_Toc106872401"/>
      <w:r>
        <w:rPr/>
        <w:t>Appréciation des risques</w:t>
      </w:r>
      <w:bookmarkEnd w:id="28"/>
    </w:p>
    <w:p>
      <w:pPr>
        <w:pStyle w:val="Normal"/>
        <w:rPr>
          <w:color w:themeColor="text1" w:val="000000"/>
        </w:rPr>
      </w:pPr>
      <w:r>
        <w:rPr>
          <w:color w:themeColor="text1" w:val="000000"/>
        </w:rPr>
      </w:r>
    </w:p>
    <w:p>
      <w:pPr>
        <w:pStyle w:val="SS-Titre2"/>
        <w:numPr>
          <w:ilvl w:val="1"/>
          <w:numId w:val="20"/>
        </w:numPr>
        <w:rPr/>
      </w:pPr>
      <w:bookmarkStart w:id="29" w:name="_Toc106872402"/>
      <w:r>
        <w:rPr/>
        <w:t>La démarche d’appréciation des risques adoptée</w:t>
      </w:r>
      <w:bookmarkEnd w:id="29"/>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30" w:name="_Toc106872403"/>
      <w:r>
        <w:rPr/>
        <w:t>Présentation du processus d’appréciation du risque en sécurité de l’information</w:t>
      </w:r>
      <w:bookmarkEnd w:id="30"/>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9"/>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31" w:name="_Toc106872404"/>
      <w:r>
        <w:rPr/>
        <w:t>Evaluation des Risques</w:t>
      </w:r>
      <w:bookmarkEnd w:id="31"/>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30"/>
          <w:headerReference w:type="first" r:id="rId31"/>
          <w:footerReference w:type="default" r:id="rId32"/>
          <w:footerReference w:type="first" r:id="rId33"/>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34"/>
          <w:headerReference w:type="first" r:id="rId35"/>
          <w:footerReference w:type="default" r:id="rId36"/>
          <w:footerReference w:type="first" r:id="rId37"/>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2" w:name="_Toc1699547027"/>
      <w:bookmarkStart w:id="33" w:name="_Toc106870827"/>
      <w:bookmarkStart w:id="34" w:name="_Toc106872405"/>
      <w:r>
        <w:rPr/>
        <w:t>Identification des menaces, des vulnérabilités et des impacts des processus traités</w:t>
      </w:r>
      <w:bookmarkEnd w:id="32"/>
      <w:bookmarkEnd w:id="33"/>
      <w:bookmarkEnd w:id="34"/>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5" w:name="_heading=h.147n2zr"/>
      <w:bookmarkEnd w:id="35"/>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6" w:name="_Toc1351769451"/>
      <w:bookmarkStart w:id="37" w:name="_Toc106870828"/>
      <w:bookmarkStart w:id="38" w:name="_Toc106872406"/>
      <w:r>
        <w:rPr/>
        <w:t>Plan d’action</w:t>
      </w:r>
      <w:bookmarkEnd w:id="36"/>
      <w:bookmarkEnd w:id="37"/>
      <w:bookmarkEnd w:id="38"/>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9" w:name="_heading=h.28h4qwu"/>
      <w:bookmarkEnd w:id="39"/>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lang w:val="en-US"/>
        </w:rPr>
        <w:t>${SN}</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40" w:name="_Toc106872407"/>
      <w:r>
        <w:rPr/>
        <w:t>Le plan d’action</w:t>
      </w:r>
      <w:bookmarkEnd w:id="40"/>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Planification</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1.${AP_5_numero} :${AP_5}</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2 : Améliorer des mesures de sécurité liées aux personnes</w:t>
            </w:r>
          </w:p>
          <w:p>
            <w:pPr>
              <w:pStyle w:val="Normal"/>
              <w:spacing w:lineRule="auto" w:line="259"/>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2.${AP_6_numero} :${AP_6}</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3 : Améliorer des mesures physiques</w:t>
            </w:r>
          </w:p>
          <w:p>
            <w:pPr>
              <w:pStyle w:val="Normal"/>
              <w:spacing w:lineRule="auto" w:line="259"/>
              <w:rPr>
                <w:color w:val="auto"/>
              </w:rPr>
            </w:pPr>
            <w:r>
              <w:rPr>
                <w:color w:val="auto"/>
              </w:rPr>
            </w:r>
          </w:p>
          <w:p>
            <w:pPr>
              <w:pStyle w:val="Normal"/>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Action 3.${AP_7_numero} :${AP_7}</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Action 4.${AP_8_numero} :${AP_8}</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38"/>
      <w:headerReference w:type="first" r:id="rId39"/>
      <w:footerReference w:type="default" r:id="rId40"/>
      <w:footerReference w:type="first" r:id="rId41"/>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 </w:t>
          </w:r>
          <w:r>
            <w:rPr>
              <w:b/>
              <w:bCs/>
              <w:color w:val="000000"/>
            </w:rPr>
            <w:t xml:space="preserve">2016 </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22</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43</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41</w:t>
          </w:r>
          <w:r>
            <w:rPr/>
            <w:fldChar w:fldCharType="end"/>
          </w:r>
        </w:p>
      </w:tc>
      <w:tc>
        <w:tcPr>
          <w:tcW w:w="8094"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54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53</w:t>
          </w:r>
          <w:r>
            <w:rPr/>
            <w:fldChar w:fldCharType="end"/>
          </w:r>
        </w:p>
      </w:tc>
      <w:tc>
        <w:tcPr>
          <w:tcW w:w="8094"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57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55</w:t>
          </w:r>
          <w:r>
            <w:rPr/>
            <w:fldChar w:fldCharType="end"/>
          </w:r>
        </w:p>
      </w:tc>
      <w:tc>
        <w:tcPr>
          <w:tcW w:w="8094"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2" name="image1.png Copie 1 Copie 1 Copie 1 Copie 1 Copi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Copie 1 Copie 1 Copie 1 Copie 1 Copie 1 Copy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1.0</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3.png"/><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Relationship Id="rId50" Type="http://schemas.openxmlformats.org/officeDocument/2006/relationships/customXml" Target="../customXml/item5.xml"/><Relationship Id="rId51"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5236</TotalTime>
  <Application>LibreOffice/7.6.2.1$Windows_X86_64 LibreOffice_project/56f7684011345957bbf33a7ee678afaf4d2ba333</Application>
  <AppVersion>15.0000</AppVersion>
  <Pages>57</Pages>
  <Words>8645</Words>
  <Characters>59587</Characters>
  <CharactersWithSpaces>66427</CharactersWithSpaces>
  <Paragraphs>2135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2024-05-28T09:54:15Z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