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numPr>
          <w:ilvl w:val="0"/>
          <w:numId w:val="0"/>
        </w:numPr>
        <w:spacing w:before="0" w:after="0"/>
        <w:ind w:left="720" w:right="552" w:hanging="0"/>
        <w:rPr/>
      </w:pPr>
      <w:r>
        <w:rPr/>
      </w:r>
    </w:p>
    <w:p>
      <w:pPr>
        <w:pStyle w:val="Titre1"/>
        <w:numPr>
          <w:ilvl w:val="0"/>
          <w:numId w:val="2"/>
        </w:numPr>
        <w:ind w:left="720" w:right="552" w:hanging="360"/>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
      <w:bookmarkEnd w:id="3"/>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Titre1"/>
        <w:numPr>
          <w:ilvl w:val="0"/>
          <w:numId w:val="0"/>
        </w:numPr>
        <w:ind w:left="0" w:right="552" w:hanging="0"/>
        <w:rPr/>
      </w:pPr>
      <w:bookmarkStart w:id="4" w:name="__RefHeading___Toc963_1071293927"/>
      <w:bookmarkStart w:id="5" w:name="_Toc576578888"/>
      <w:bookmarkEnd w:id="4"/>
      <w:r>
        <w:rPr/>
        <w:t>1. Analyse récapitulati</w:t>
      </w:r>
      <w:bookmarkEnd w:id="5"/>
      <w:r>
        <w:rPr/>
        <w:t>ve</w:t>
      </w:r>
    </w:p>
    <w:p>
      <w:pPr>
        <w:pStyle w:val="Titre1"/>
        <w:numPr>
          <w:ilvl w:val="0"/>
          <w:numId w:val="0"/>
        </w:numPr>
        <w:ind w:left="0" w:right="552" w:hanging="0"/>
        <w:rPr/>
      </w:pPr>
      <w:r>
        <w:rPr/>
      </w:r>
    </w:p>
    <w:p>
      <w:pPr>
        <w:pStyle w:val="Titre1"/>
        <w:numPr>
          <w:ilvl w:val="0"/>
          <w:numId w:val="0"/>
        </w:numPr>
        <w:ind w:left="0" w:right="552" w:hanging="0"/>
        <w:rPr/>
      </w:pPr>
      <w:bookmarkStart w:id="6" w:name="_Toc1093378815"/>
      <w:r>
        <w:rPr/>
        <w:t>2. Scan des Vulnérabilités</w:t>
      </w:r>
      <w:bookmarkEnd w:id="6"/>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7"/>
        <w:gridCol w:w="1960"/>
        <w:gridCol w:w="2149"/>
        <w:gridCol w:w="4200"/>
        <w:gridCol w:w="1126"/>
        <w:gridCol w:w="574"/>
        <w:gridCol w:w="626"/>
        <w:gridCol w:w="592"/>
        <w:gridCol w:w="453"/>
        <w:gridCol w:w="402"/>
        <w:gridCol w:w="410"/>
        <w:gridCol w:w="356"/>
        <w:gridCol w:w="675"/>
        <w:gridCol w:w="625"/>
      </w:tblGrid>
      <w:tr>
        <w:trPr>
          <w:trHeight w:val="300" w:hRule="atLeast"/>
        </w:trPr>
        <w:tc>
          <w:tcPr>
            <w:tcW w:w="14175"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7" w:name="_GoBack"/>
            <w:bookmarkStart w:id="8" w:name="_GoBack"/>
            <w:bookmarkEnd w:id="8"/>
          </w:p>
        </w:tc>
      </w:tr>
      <w:tr>
        <w:trPr>
          <w:trHeight w:val="300" w:hRule="atLeast"/>
        </w:trPr>
        <w:tc>
          <w:tcPr>
            <w:tcW w:w="27"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r>
          </w:p>
        </w:tc>
        <w:tc>
          <w:tcPr>
            <w:tcW w:w="196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8"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1"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300"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7"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96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126"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val="FFFFFF" w:themeColor="background1"/>
              </w:rPr>
            </w:pPr>
            <w:r>
              <w:rPr>
                <w:rFonts w:eastAsia="Calibri"/>
                <w:b/>
                <w:bCs/>
                <w:color w:val="FFFFFF" w:themeColor="background1"/>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val="FFFFFF" w:themeColor="background1"/>
                <w:sz w:val="20"/>
                <w:szCs w:val="20"/>
              </w:rPr>
            </w:pPr>
            <w:r>
              <w:rPr>
                <w:rFonts w:eastAsia="Calibri"/>
                <w:b/>
                <w:bCs/>
                <w:color w:val="FFFFFF" w:themeColor="background1"/>
                <w:kern w:val="0"/>
                <w:sz w:val="20"/>
                <w:szCs w:val="20"/>
                <w:lang w:bidi="ar-SA"/>
              </w:rPr>
              <w:t>C</w:t>
            </w:r>
          </w:p>
        </w:tc>
        <w:tc>
          <w:tcPr>
            <w:tcW w:w="626"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val="FFFFFF" w:themeColor="background1"/>
                <w:sz w:val="20"/>
                <w:szCs w:val="20"/>
              </w:rPr>
            </w:pPr>
            <w:r>
              <w:rPr>
                <w:rFonts w:eastAsia="Calibri"/>
                <w:b/>
                <w:bCs/>
                <w:color w:val="FFFFFF" w:themeColor="background1"/>
                <w:kern w:val="0"/>
                <w:sz w:val="20"/>
                <w:szCs w:val="20"/>
                <w:lang w:bidi="ar-SA"/>
              </w:rPr>
              <w:t>E</w:t>
            </w:r>
          </w:p>
        </w:tc>
        <w:tc>
          <w:tcPr>
            <w:tcW w:w="592"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6"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5"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7"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 w:cs="" w:cstheme="minorBidi" w:eastAsiaTheme="minorEastAsia"/>
                <w:b/>
                <w:color w:val="000000" w:themeColor="text1"/>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${SRV_OS}</w:t>
            </w:r>
          </w:p>
        </w:tc>
        <w:tc>
          <w:tcPr>
            <w:tcW w:w="1126"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val="FFFFFF" w:themeColor="background1"/>
              </w:rPr>
            </w:pPr>
            <w:r>
              <w:rPr>
                <w:rFonts w:eastAsia="Calibri" w:cs="" w:cstheme="minorBidi"/>
                <w:color w:val="FFFFFF" w:themeColor="background1"/>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${SRV_CR_Exp}</w:t>
            </w:r>
          </w:p>
        </w:tc>
        <w:tc>
          <w:tcPr>
            <w:tcW w:w="626"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${SRV_HI_Exp}</w:t>
            </w:r>
          </w:p>
        </w:tc>
        <w:tc>
          <w:tcPr>
            <w:tcW w:w="592"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b/>
                <w:bCs/>
                <w:color w:val="000000" w:themeColor="text1"/>
                <w:kern w:val="0"/>
                <w:sz w:val="20"/>
                <w:szCs w:val="20"/>
                <w:lang w:bidi="ar-SA"/>
              </w:rPr>
              <w:t xml:space="preserve"> </w:t>
            </w:r>
            <w:r>
              <w:rPr>
                <w:rFonts w:eastAsia="Times New Roman" w:cs="" w:cstheme="minorBidi"/>
                <w:color w:val="000000" w:themeColor="text1"/>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color w:val="000000" w:themeColor="text1"/>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${SRV_ME}</w:t>
            </w:r>
          </w:p>
        </w:tc>
        <w:tc>
          <w:tcPr>
            <w:tcW w:w="356"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${SRV_LO}</w:t>
            </w:r>
          </w:p>
        </w:tc>
        <w:tc>
          <w:tcPr>
            <w:tcW w:w="675"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${SRV_CF}</w:t>
            </w:r>
          </w:p>
        </w:tc>
      </w:tr>
      <w:tr>
        <w:trPr>
          <w:trHeight w:val="300" w:hRule="atLeast"/>
        </w:trPr>
        <w:tc>
          <w:tcPr>
            <w:tcW w:w="27"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eastAsia="Calibri" w:cs="" w:cstheme="minorBidi"/>
                <w:b/>
                <w:bCs/>
                <w:color w:val="C9211E"/>
                <w:kern w:val="0"/>
                <w:sz w:val="20"/>
                <w:szCs w:val="20"/>
                <w:lang w:bidi="ar-SA"/>
              </w:rPr>
            </w:r>
          </w:p>
        </w:tc>
        <w:tc>
          <w:tcPr>
            <w:tcW w:w="8309"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6"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${TLT_SRV_CR_Ex}</w:t>
            </w:r>
          </w:p>
        </w:tc>
        <w:tc>
          <w:tcPr>
            <w:tcW w:w="626"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${TLT_SRV_HI_Ex</w:t>
            </w:r>
          </w:p>
        </w:tc>
        <w:tc>
          <w:tcPr>
            <w:tcW w:w="592"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6"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5"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Titre1"/>
        <w:numPr>
          <w:ilvl w:val="0"/>
          <w:numId w:val="0"/>
        </w:numPr>
        <w:spacing w:before="0" w:after="0"/>
        <w:ind w:left="0" w:right="552" w:hanging="0"/>
        <w:rPr>
          <w:rFonts w:eastAsia="Times New Roman" w:cs="" w:cstheme="minorBidi"/>
        </w:rPr>
      </w:pPr>
      <w:bookmarkStart w:id="9" w:name="__RefHeading___Toc971_1071293927"/>
      <w:bookmarkEnd w:id="9"/>
      <w:r>
        <w:rPr/>
        <w:t>3. Vulnérabilités exploitables détectées</w:t>
      </w:r>
      <w:bookmarkStart w:id="10" w:name="_Toc2124445969"/>
      <w:bookmarkEnd w:id="10"/>
    </w:p>
    <w:p>
      <w:pPr>
        <w:pStyle w:val="Normal"/>
        <w:ind w:right="552" w:hanging="0"/>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60"/>
        <w:gridCol w:w="1104"/>
        <w:gridCol w:w="5011"/>
        <w:gridCol w:w="1287"/>
        <w:gridCol w:w="878"/>
        <w:gridCol w:w="1621"/>
      </w:tblGrid>
      <w:tr>
        <w:trPr>
          <w:trHeight w:val="300" w:hRule="atLeast"/>
        </w:trPr>
        <w:tc>
          <w:tcPr>
            <w:tcW w:w="560"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eastAsia="Calibri" w:cs="Calibri" w:cstheme="minorHAnsi"/>
                <w:b/>
                <w:kern w:val="0"/>
                <w:sz w:val="20"/>
                <w:szCs w:val="20"/>
                <w:lang w:bidi="ar-SA"/>
              </w:rPr>
            </w:r>
          </w:p>
        </w:tc>
        <w:tc>
          <w:tcPr>
            <w:tcW w:w="1104"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60"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s="Calibri" w:cstheme="minorHAnsi"/>
                <w:b/>
                <w:color w:val="FFFFFF" w:themeColor="background1"/>
                <w:kern w:val="0"/>
                <w:sz w:val="12"/>
                <w:szCs w:val="12"/>
                <w:shd w:fill="FFFFFF" w:val="clear"/>
                <w:lang w:bidi="ar-SA"/>
              </w:rPr>
              <w:t>${id_c_serv}</w:t>
            </w:r>
          </w:p>
        </w:tc>
        <w:tc>
          <w:tcPr>
            <w:tcW w:w="1104"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60"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${id_h_serv}</w:t>
            </w:r>
          </w:p>
        </w:tc>
        <w:tc>
          <w:tcPr>
            <w:tcW w:w="1104"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60"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${id_m_serv}</w:t>
            </w:r>
          </w:p>
        </w:tc>
        <w:tc>
          <w:tcPr>
            <w:tcW w:w="1104"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 w:cstheme="minorBidi"/>
          <w:b/>
          <w:bCs/>
          <w:sz w:val="20"/>
          <w:szCs w:val="20"/>
        </w:rPr>
      </w:pPr>
      <w:r>
        <w:rPr>
          <w:rFonts w:eastAsia="Times New Roman" w:cs="" w:cstheme="minorBidi"/>
          <w:b/>
          <w:bCs/>
          <w:sz w:val="20"/>
          <w:szCs w:val="20"/>
        </w:rPr>
      </w:r>
      <w:r>
        <w:br w:type="page"/>
      </w:r>
    </w:p>
    <w:p>
      <w:pPr>
        <w:pStyle w:val="Titre1"/>
        <w:numPr>
          <w:ilvl w:val="0"/>
          <w:numId w:val="0"/>
        </w:numPr>
        <w:spacing w:before="0" w:after="0"/>
        <w:ind w:left="0" w:right="552" w:hanging="0"/>
        <w:rPr>
          <w:rFonts w:eastAsia="Times New Roman" w:cs="" w:cstheme="minorBidi"/>
        </w:rPr>
      </w:pPr>
      <w:bookmarkStart w:id="11" w:name="__RefHeading___Toc975_1071293927"/>
      <w:bookmarkStart w:id="12" w:name="_Toc63404768"/>
      <w:bookmarkEnd w:id="11"/>
      <w:r>
        <w:rPr/>
        <w:t>4. Détails des Vulnérabilités</w:t>
      </w:r>
      <w:bookmarkEnd w:id="12"/>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97"/>
        <w:gridCol w:w="109"/>
        <w:gridCol w:w="1653"/>
        <w:gridCol w:w="242"/>
        <w:gridCol w:w="260"/>
        <w:gridCol w:w="608"/>
        <w:gridCol w:w="247"/>
        <w:gridCol w:w="851"/>
        <w:gridCol w:w="330"/>
        <w:gridCol w:w="230"/>
        <w:gridCol w:w="754"/>
        <w:gridCol w:w="94"/>
        <w:gridCol w:w="1416"/>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ID de Plugin</w:t>
            </w:r>
          </w:p>
        </w:tc>
        <w:tc>
          <w:tcPr>
            <w:tcW w:w="2101"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b/>
                <w:bCs/>
                <w:color w:val="000000"/>
                <w:kern w:val="0"/>
                <w:sz w:val="20"/>
                <w:szCs w:val="20"/>
                <w:lang w:bidi="ar-SA"/>
              </w:rPr>
              <w:t>${SRV_VULN_ID}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RISQUE</w:t>
            </w:r>
          </w:p>
        </w:tc>
        <w:tc>
          <w:tcPr>
            <w:tcW w:w="1098"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val="FFFFFF" w:themeColor="background1"/>
                <w:kern w:val="0"/>
                <w:sz w:val="18"/>
                <w:szCs w:val="18"/>
                <w:lang w:bidi="ar-SA"/>
              </w:rPr>
              <w:t>Synopsis</w:t>
            </w:r>
          </w:p>
        </w:tc>
        <w:tc>
          <w:tcPr>
            <w:tcW w:w="6891"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ÉLÉMENTS IMPACTÉS</w:t>
            </w:r>
          </w:p>
        </w:tc>
        <w:tc>
          <w:tcPr>
            <w:tcW w:w="6891"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447" w:hRule="atLeast"/>
        </w:trPr>
        <w:tc>
          <w:tcPr>
            <w:tcW w:w="2265"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2266"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Par Malware :</w:t>
            </w:r>
          </w:p>
        </w:tc>
        <w:tc>
          <w:tcPr>
            <w:tcW w:w="2264" w:type="dxa"/>
            <w:gridSpan w:val="3"/>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Metasploit</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drawing>
              <wp:inline distT="0" distB="0" distL="0" distR="0">
                <wp:extent cx="977265" cy="535940"/>
                <wp:effectExtent l="0" t="0" r="0" b="0"/>
                <wp:docPr id="1"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pPr>
          <w:r>
            <w:rPr/>
            <w:t>${icon:200:200}</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val="fr-FR" w:eastAsia="fr-FR" w:bidi="ar-SA"/>
    </w:rPr>
  </w:style>
  <w:style w:type="paragraph" w:styleId="Titre1">
    <w:name w:val="Heading 1"/>
    <w:basedOn w:val="Normal"/>
    <w:next w:val="Normal"/>
    <w:link w:val="Titre1Car"/>
    <w:autoRedefine/>
    <w:uiPriority w:val="9"/>
    <w:qFormat/>
    <w:rsid w:val="00554c7f"/>
    <w:pPr>
      <w:keepNext w:val="true"/>
      <w:keepLines/>
      <w:widowControl/>
      <w:numPr>
        <w:ilvl w:val="0"/>
        <w:numId w:val="1"/>
      </w:numPr>
      <w:spacing w:before="240" w:after="0"/>
      <w:ind w:right="552" w:hanging="0"/>
      <w:outlineLvl w:val="0"/>
    </w:pPr>
    <w:rPr>
      <w:rFonts w:eastAsia="Cambria" w:cs="Cambria"/>
      <w:b/>
      <w:bCs/>
      <w:sz w:val="24"/>
      <w:szCs w:val="24"/>
    </w:rPr>
  </w:style>
  <w:style w:type="paragraph" w:styleId="Titre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val="2F5496" w:themeColor="accent1" w:themeShade="bf"/>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hanging="0"/>
      <w:contextualSpacing/>
    </w:pPr>
    <w:rPr/>
  </w:style>
  <w:style w:type="paragraph" w:styleId="Pieddepage">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LibreOffice/7.5.4.2$Windows_X86_64 LibreOffice_project/36ccfdc35048b057fd9854c757a8b67ec53977b6</Application>
  <AppVersion>15.0000</AppVersion>
  <Pages>6</Pages>
  <Words>312</Words>
  <Characters>2332</Characters>
  <CharactersWithSpaces>2541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2023-09-25T12:21:22Z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