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0" w:after="0"/>
        <w:ind w:hanging="0" w:left="720" w:right="552"/>
        <w:rPr/>
      </w:pPr>
      <w:r>
        <w:rPr/>
      </w:r>
    </w:p>
    <w:p>
      <w:pPr>
        <w:pStyle w:val="Heading1"/>
        <w:numPr>
          <w:ilvl w:val="0"/>
          <w:numId w:val="2"/>
        </w:numPr>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ascii="Calibri" w:hAnsi="Calibri" w:eastAsia="Times New Roman" w:cs="Calibri" w:asciiTheme="minorHAnsi" w:cstheme="minorHAnsi" w:hAnsiTheme="minorHAnsi"/>
        </w:rPr>
      </w:pPr>
      <w:r>
        <w:rPr>
          <w:rFonts w:eastAsia="Times New Roman" w:cs="Calibri" w:cstheme="minorHAns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et ses utilisateurs.  Cette phase a été effectuée en Trois étapes : </w:t>
      </w:r>
    </w:p>
    <w:p>
      <w:pPr>
        <w:pStyle w:val="Normal"/>
        <w:tabs>
          <w:tab w:val="clear" w:pos="720"/>
          <w:tab w:val="left" w:pos="716" w:leader="none"/>
          <w:tab w:val="left" w:pos="717" w:leader="none"/>
        </w:tabs>
        <w:spacing w:lineRule="auto" w:line="360"/>
        <w:jc w:val="both"/>
        <w:rPr>
          <w:rFonts w:ascii="Calibri" w:hAnsi="Calibri" w:eastAsia="Times New Roman" w:cs="" w:asciiTheme="minorHAnsi" w:cstheme="minorBidi" w:hAnsiTheme="minorHAns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ascii="Calibri" w:hAnsi="Calibri" w:eastAsia="Times New Roman" w:cs="Calibri" w:asciiTheme="minorHAnsi" w:cstheme="minorHAnsi" w:hAnsi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ascii="Calibri" w:hAnsi="Calibri" w:eastAsia="Times New Roman" w:cs="" w:asciiTheme="minorHAnsi" w:cstheme="minorBidi" w:hAnsiTheme="minorHAnsi"/>
        </w:rPr>
      </w:pPr>
      <w:r>
        <w:rPr>
          <w:rFonts w:eastAsia="Times New Roman" w:cs="" w:cstheme="minorBidi"/>
        </w:rPr>
      </w:r>
    </w:p>
    <w:p>
      <w:pPr>
        <w:pStyle w:val="Heading1"/>
        <w:numPr>
          <w:ilvl w:val="0"/>
          <w:numId w:val="0"/>
        </w:numPr>
        <w:ind w:hanging="0" w:left="0" w:right="552"/>
        <w:rPr/>
      </w:pPr>
      <w:bookmarkStart w:id="2" w:name="__RefHeading___Toc963_1071293927"/>
      <w:bookmarkStart w:id="3" w:name="_Toc576578888"/>
      <w:bookmarkEnd w:id="2"/>
      <w:r>
        <w:rPr/>
        <w:t>1. Analyse récapitulative</w:t>
      </w:r>
      <w:bookmarkEnd w:id="3"/>
    </w:p>
    <w:p>
      <w:pPr>
        <w:pStyle w:val="Normal"/>
        <w:rPr>
          <w:rFonts w:ascii="Calibri" w:hAnsi="Calibri" w:eastAsia="Times New Roman" w:cs="" w:asciiTheme="minorHAnsi" w:cstheme="minorBidi" w:hAnsiTheme="minorHAnsi"/>
          <w:b/>
          <w:bCs/>
          <w:sz w:val="24"/>
          <w:szCs w:val="24"/>
        </w:rPr>
      </w:pPr>
      <w:r>
        <w:rPr>
          <w:rFonts w:eastAsia="Times New Roman" w:cs="" w:cstheme="minorBidi"/>
          <w:b/>
          <w:bCs/>
          <w:sz w:val="24"/>
          <w:szCs w:val="24"/>
        </w:rPr>
      </w:r>
    </w:p>
    <w:p>
      <w:pPr>
        <w:pStyle w:val="Heading2"/>
        <w:rPr>
          <w:color w:val="auto"/>
        </w:rPr>
      </w:pPr>
      <w:bookmarkStart w:id="4" w:name="__RefHeading___Toc965_1071293927"/>
      <w:bookmarkEnd w:id="4"/>
      <w:r>
        <w:rPr>
          <w:color w:val="auto"/>
        </w:rPr>
        <w:t xml:space="preserve">      </w:t>
      </w:r>
      <w:bookmarkStart w:id="5" w:name="_Toc1399899181"/>
      <w:r>
        <w:rPr>
          <w:color w:val="auto"/>
        </w:rPr>
        <w:t>1.1 Top 5 des systèmes d'exploitation détectés lors de l'analyse</w:t>
      </w:r>
      <w:bookmarkEnd w:id="5"/>
    </w:p>
    <w:p>
      <w:pPr>
        <w:pStyle w:val="Normal"/>
        <w:rPr>
          <w:rFonts w:ascii="Calibri" w:hAnsi="Calibri" w:eastAsia="Times New Roman" w:cs="" w:asciiTheme="minorHAnsi" w:cstheme="minorBidi" w:hAnsiTheme="minorHAnsi"/>
          <w:b/>
          <w:bCs/>
          <w:sz w:val="24"/>
          <w:szCs w:val="24"/>
        </w:rPr>
      </w:pPr>
      <w:r>
        <w:rPr>
          <w:rFonts w:eastAsia="Times New Roman" w:cs="" w:cstheme="minorBidi"/>
          <w:b/>
          <w:bCs/>
          <w:sz w:val="24"/>
          <w:szCs w:val="24"/>
        </w:rPr>
      </w:r>
    </w:p>
    <w:p>
      <w:pPr>
        <w:pStyle w:val="Normal"/>
        <w:jc w:val="center"/>
        <w:rPr/>
      </w:pPr>
      <w:r>
        <w:rPr/>
      </w:r>
    </w:p>
    <w:p>
      <w:pPr>
        <w:pStyle w:val="Heading2"/>
        <w:rPr>
          <w:rFonts w:ascii="Calibri" w:hAnsi="Calibri" w:eastAsia="Times New Roman" w:cs="" w:asciiTheme="minorHAnsi" w:cstheme="minorBidi" w:hAnsiTheme="minorHAnsi"/>
          <w:color w:val="auto"/>
        </w:rPr>
      </w:pPr>
      <w:bookmarkStart w:id="6" w:name="__RefHeading___Toc967_1071293927"/>
      <w:bookmarkEnd w:id="6"/>
      <w:r>
        <w:rPr>
          <w:color w:val="auto"/>
        </w:rPr>
        <w:t xml:space="preserve">       </w:t>
      </w:r>
      <w:bookmarkStart w:id="7" w:name="_Toc240614122"/>
      <w:r>
        <w:rPr>
          <w:color w:val="auto"/>
        </w:rPr>
        <w:t>1.2 Synthèse de Scan des Vulnérabilité</w:t>
      </w:r>
      <w:bookmarkEnd w:id="7"/>
      <w:r>
        <w:rPr>
          <w:rFonts w:eastAsia="Times New Roman" w:cs="" w:cstheme="minorBidi"/>
          <w:color w:val="auto"/>
        </w:rPr>
        <w:t>s</w:t>
      </w:r>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16384"/>
        </w:sectPr>
        <w:pStyle w:val="Normal"/>
        <w:jc w:val="center"/>
        <w:rPr/>
      </w:pPr>
      <w:r>
        <w:rPr/>
      </w:r>
    </w:p>
    <w:p>
      <w:pPr>
        <w:pStyle w:val="Heading1"/>
        <w:numPr>
          <w:ilvl w:val="0"/>
          <w:numId w:val="0"/>
        </w:numPr>
        <w:ind w:hanging="0" w:left="0" w:right="552"/>
        <w:rPr/>
      </w:pPr>
      <w:r>
        <w:rPr/>
      </w:r>
      <w:bookmarkStart w:id="8" w:name="__RefHeading___Toc969_1071293927"/>
      <w:bookmarkStart w:id="9" w:name="__RefHeading___Toc969_1071293927"/>
      <w:bookmarkEnd w:id="9"/>
    </w:p>
    <w:p>
      <w:pPr>
        <w:pStyle w:val="Heading1"/>
        <w:numPr>
          <w:ilvl w:val="0"/>
          <w:numId w:val="0"/>
        </w:numPr>
        <w:ind w:hanging="0" w:left="0" w:right="552"/>
        <w:rPr/>
      </w:pPr>
      <w:bookmarkStart w:id="10" w:name="_Toc1093378815"/>
      <w:r>
        <w:rPr/>
        <w:t>2. Scan des Vulnérabilités</w:t>
      </w:r>
      <w:bookmarkEnd w:id="10"/>
      <w:r>
        <w:rPr/>
        <w:t xml:space="preserve"> et Configurations {SRV_TITLE}: Vue d’ensemble</w:t>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t>Dans les deux cellules « Critique » et « Élevé » la 1ére valeur en gras représente le nombre des vulnérabilités dont un exploit est disponible (Metasploite, Core Impact ou CANVAS),</w:t>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t>Exemple :</w:t>
      </w:r>
    </w:p>
    <w:p>
      <w:pPr>
        <w:pStyle w:val="Normal"/>
        <w:rPr>
          <w:rFonts w:ascii="Calibri" w:hAnsi="Calibri" w:eastAsia="Times New Roman" w:cs="" w:asciiTheme="minorHAnsi" w:cstheme="minorBidi" w:hAnsiTheme="minorHAnsi"/>
          <w:sz w:val="24"/>
          <w:szCs w:val="24"/>
        </w:rPr>
      </w:pPr>
      <w:r>
        <w:rPr>
          <w:rFonts w:eastAsia="Times New Roman" w:cs="" w:cstheme="minorBidi"/>
          <w:b/>
          <w:bCs/>
          <w:sz w:val="24"/>
          <w:szCs w:val="24"/>
        </w:rPr>
        <w:t>26</w:t>
      </w:r>
      <w:r>
        <w:rPr>
          <w:rFonts w:eastAsia="Times New Roman" w:cs="" w:cstheme="minorBidi"/>
          <w:sz w:val="24"/>
          <w:szCs w:val="24"/>
        </w:rPr>
        <w:t>/1250 : 26 vulnérabilités exploitable sur 1250 vulnérabilités de même criticité.</w:t>
      </w:r>
    </w:p>
    <w:p>
      <w:pPr>
        <w:pStyle w:val="Normal"/>
        <w:rPr>
          <w:rFonts w:ascii="Calibri" w:hAnsi="Calibri" w:eastAsia="Times New Roman" w:cs="" w:asciiTheme="minorHAnsi" w:cstheme="minorBidi" w:hAnsiTheme="minorHAnsi"/>
          <w:sz w:val="24"/>
          <w:szCs w:val="24"/>
        </w:rPr>
      </w:pPr>
      <w:r>
        <w:rPr>
          <w:rFonts w:eastAsia="Times New Roman" w:cs="" w:cstheme="minorBidi"/>
          <w:sz w:val="24"/>
          <w:szCs w:val="24"/>
        </w:rPr>
      </w:r>
    </w:p>
    <w:p>
      <w:pPr>
        <w:pStyle w:val="Normal"/>
        <w:tabs>
          <w:tab w:val="clear" w:pos="720"/>
          <w:tab w:val="left" w:pos="716" w:leader="none"/>
          <w:tab w:val="left" w:pos="717" w:leader="none"/>
        </w:tabs>
        <w:spacing w:lineRule="auto" w:line="360"/>
        <w:jc w:val="both"/>
        <w:rPr>
          <w:color w:val="FF0000"/>
        </w:rPr>
      </w:pPr>
      <w:r>
        <w:rPr>
          <w:color w:val="FF0000"/>
        </w:rPr>
      </w:r>
    </w:p>
    <w:tbl>
      <w:tblPr>
        <w:tblStyle w:val="Grilledutableau"/>
        <w:tblW w:w="1541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58"/>
        <w:gridCol w:w="1851"/>
        <w:gridCol w:w="3509"/>
        <w:gridCol w:w="3514"/>
        <w:gridCol w:w="989"/>
        <w:gridCol w:w="898"/>
        <w:gridCol w:w="810"/>
        <w:gridCol w:w="811"/>
        <w:gridCol w:w="812"/>
        <w:gridCol w:w="1081"/>
        <w:gridCol w:w="1079"/>
      </w:tblGrid>
      <w:tr>
        <w:trPr>
          <w:trHeight w:val="300" w:hRule="atLeast"/>
        </w:trPr>
        <w:tc>
          <w:tcPr>
            <w:tcW w:w="58"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spacing w:before="0" w:after="0"/>
              <w:jc w:val="center"/>
              <w:rPr>
                <w:rFonts w:ascii="Calibri" w:hAnsi="Calibri" w:cs="" w:asciiTheme="minorHAnsi" w:cstheme="minorBidi" w:hAnsiTheme="minorHAnsi"/>
                <w:b/>
                <w:bCs/>
              </w:rPr>
            </w:pPr>
            <w:r>
              <w:rPr>
                <w:rFonts w:cs="" w:cstheme="minorBidi"/>
                <w:b/>
                <w:bCs/>
              </w:rPr>
            </w:r>
          </w:p>
        </w:tc>
        <w:tc>
          <w:tcPr>
            <w:tcW w:w="15354" w:type="dxa"/>
            <w:gridSpan w:val="10"/>
            <w:tcBorders/>
            <w:shd w:color="auto" w:fill="FFFFFF" w:themeFill="background1" w:val="clear"/>
            <w:tcMar>
              <w:left w:w="108" w:type="dxa"/>
              <w:right w:w="108" w:type="dxa"/>
            </w:tcMar>
          </w:tcPr>
          <w:p>
            <w:pPr>
              <w:pStyle w:val="Normal"/>
              <w:spacing w:before="0" w:after="0"/>
              <w:jc w:val="center"/>
              <w:rPr>
                <w:rFonts w:eastAsia="Times New Roman" w:cs="" w:cstheme="minorBidi"/>
                <w:b/>
                <w:bCs/>
              </w:rPr>
            </w:pPr>
            <w:r>
              <w:rPr>
                <w:rFonts w:eastAsia="Times New Roman" w:cs="" w:cstheme="minorBidi"/>
                <w:b/>
                <w:bCs/>
                <w:kern w:val="0"/>
                <w:sz w:val="20"/>
                <w:szCs w:val="20"/>
                <w:lang w:bidi="ar-SA"/>
              </w:rPr>
              <w:t>Synthèse de Scan de {SRV_TITLE}</w:t>
            </w:r>
          </w:p>
        </w:tc>
      </w:tr>
      <w:tr>
        <w:trPr>
          <w:trHeight w:val="300" w:hRule="atLeast"/>
        </w:trPr>
        <w:tc>
          <w:tcPr>
            <w:tcW w:w="58"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center"/>
              <w:rPr>
                <w:rFonts w:ascii="Calibri" w:hAnsi="Calibri" w:cs="" w:asciiTheme="minorHAnsi" w:cstheme="minorBidi" w:hAnsiTheme="minorHAnsi"/>
                <w:b/>
                <w:bCs/>
              </w:rPr>
            </w:pPr>
            <w:r>
              <w:rPr>
                <w:rFonts w:cs="" w:cstheme="minorBidi"/>
                <w:b/>
                <w:bCs/>
              </w:rPr>
            </w:r>
          </w:p>
        </w:tc>
        <w:tc>
          <w:tcPr>
            <w:tcW w:w="1851" w:type="dxa"/>
            <w:vMerge w:val="restart"/>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Nom du Serveur</w:t>
            </w:r>
          </w:p>
        </w:tc>
        <w:tc>
          <w:tcPr>
            <w:tcW w:w="3509" w:type="dxa"/>
            <w:vMerge w:val="restart"/>
            <w:tcBorders>
              <w:right w:val="nil"/>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@IP</w:t>
            </w:r>
          </w:p>
        </w:tc>
        <w:tc>
          <w:tcPr>
            <w:tcW w:w="3514" w:type="dxa"/>
            <w:vMerge w:val="restart"/>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Système d’exploitation</w:t>
            </w:r>
          </w:p>
        </w:tc>
        <w:tc>
          <w:tcPr>
            <w:tcW w:w="4320" w:type="dxa"/>
            <w:gridSpan w:val="5"/>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cs="" w:cstheme="minorBidi"/>
                <w:b/>
                <w:bCs/>
              </w:rPr>
            </w:r>
          </w:p>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Vulnérabilité</w:t>
            </w:r>
          </w:p>
        </w:tc>
        <w:tc>
          <w:tcPr>
            <w:tcW w:w="2160" w:type="dxa"/>
            <w:gridSpan w:val="2"/>
            <w:tcBorders/>
            <w:shd w:color="auto" w:fill="A6A6A6" w:themeFill="background1" w:themeFillShade="a6" w:val="clear"/>
          </w:tcPr>
          <w:p>
            <w:pPr>
              <w:pStyle w:val="Normal"/>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58"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851" w:type="dxa"/>
            <w:vMerge w:val="continue"/>
            <w:tcBorders/>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509" w:type="dxa"/>
            <w:vMerge w:val="continue"/>
            <w:tcBorders>
              <w:right w:val="nil"/>
            </w:tcBorders>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514" w:type="dxa"/>
            <w:vMerge w:val="continue"/>
            <w:tcBorders/>
            <w:shd w:color="auto" w:fill="A6A6A6" w:themeFill="background1" w:themeFillShade="a6" w:val="clear"/>
            <w:tcMar>
              <w:left w:w="108" w:type="dxa"/>
              <w:right w:w="108" w:type="dxa"/>
            </w:tcM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989" w:type="dxa"/>
            <w:tcBorders>
              <w:right w:val="nil"/>
            </w:tcBorders>
            <w:shd w:color="auto" w:fill="FF0000" w:val="clear"/>
            <w:tcMar>
              <w:left w:w="108" w:type="dxa"/>
              <w:right w:w="108" w:type="dxa"/>
            </w:tcMar>
          </w:tcPr>
          <w:p>
            <w:pPr>
              <w:pStyle w:val="Normal"/>
              <w:spacing w:before="0" w:after="0"/>
              <w:jc w:val="center"/>
              <w:rPr>
                <w:kern w:val="0"/>
                <w:sz w:val="20"/>
                <w:szCs w:val="20"/>
                <w:lang w:bidi="ar-SA"/>
              </w:rPr>
            </w:pPr>
            <w:r>
              <w:rPr>
                <w:kern w:val="0"/>
                <w:sz w:val="20"/>
                <w:szCs w:val="20"/>
                <w:lang w:bidi="ar-SA"/>
              </w:rPr>
              <w:t>Malware</w:t>
            </w:r>
          </w:p>
        </w:tc>
        <w:tc>
          <w:tcPr>
            <w:tcW w:w="898" w:type="dxa"/>
            <w:tcBorders/>
            <w:shd w:color="auto" w:fill="FF0000"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Critique</w:t>
            </w:r>
          </w:p>
        </w:tc>
        <w:tc>
          <w:tcPr>
            <w:tcW w:w="810" w:type="dxa"/>
            <w:tcBorders/>
            <w:shd w:color="auto" w:fill="FFC000" w:themeFill="accent4"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Élevé</w:t>
            </w:r>
          </w:p>
        </w:tc>
        <w:tc>
          <w:tcPr>
            <w:tcW w:w="811" w:type="dxa"/>
            <w:tcBorders/>
            <w:shd w:color="auto" w:fill="FFFF00"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Moyenne</w:t>
            </w:r>
          </w:p>
        </w:tc>
        <w:tc>
          <w:tcPr>
            <w:tcW w:w="812" w:type="dxa"/>
            <w:tcBorders/>
            <w:shd w:color="auto" w:fill="00B050" w:val="clear"/>
            <w:tcMar>
              <w:left w:w="108" w:type="dxa"/>
              <w:right w:w="108" w:type="dxa"/>
            </w:tcMar>
          </w:tcPr>
          <w:p>
            <w:pPr>
              <w:pStyle w:val="Normal"/>
              <w:spacing w:before="0" w:after="0"/>
              <w:jc w:val="center"/>
              <w:rPr>
                <w:kern w:val="0"/>
                <w:sz w:val="20"/>
                <w:szCs w:val="20"/>
                <w:lang w:bidi="ar-SA"/>
              </w:rPr>
            </w:pPr>
            <w:r>
              <w:rPr>
                <w:rFonts w:eastAsia="Times New Roman" w:cs="" w:cstheme="minorBidi"/>
                <w:kern w:val="0"/>
                <w:sz w:val="20"/>
                <w:szCs w:val="20"/>
                <w:lang w:bidi="ar-SA"/>
              </w:rPr>
              <w:t>Faible</w:t>
            </w:r>
          </w:p>
        </w:tc>
        <w:tc>
          <w:tcPr>
            <w:tcW w:w="1081" w:type="dxa"/>
            <w:tcBorders>
              <w:top w:val="single" w:sz="6" w:space="0" w:color="000000"/>
              <w:left w:val="single" w:sz="6" w:space="0" w:color="000000"/>
              <w:bottom w:val="single" w:sz="6" w:space="0" w:color="000000"/>
              <w:right w:val="single" w:sz="6" w:space="0" w:color="000000"/>
            </w:tcBorders>
            <w:shd w:color="auto" w:fill="FF0000" w:val="clear"/>
          </w:tcPr>
          <w:p>
            <w:pPr>
              <w:pStyle w:val="Normal"/>
              <w:spacing w:before="0" w:after="0"/>
              <w:jc w:val="center"/>
              <w:rPr>
                <w:kern w:val="0"/>
                <w:sz w:val="20"/>
                <w:szCs w:val="20"/>
                <w:lang w:bidi="ar-SA"/>
              </w:rPr>
            </w:pPr>
            <w:r>
              <w:rPr>
                <w:kern w:val="0"/>
                <w:sz w:val="19"/>
                <w:szCs w:val="19"/>
                <w:highlight w:val="red"/>
                <w:lang w:bidi="ar-SA"/>
              </w:rPr>
              <w:t>Non Conforme</w:t>
            </w:r>
          </w:p>
        </w:tc>
        <w:tc>
          <w:tcPr>
            <w:tcW w:w="1079" w:type="dxa"/>
            <w:tcBorders>
              <w:top w:val="single" w:sz="6" w:space="0" w:color="000000"/>
              <w:left w:val="single" w:sz="6" w:space="0" w:color="000000"/>
              <w:bottom w:val="single" w:sz="6" w:space="0" w:color="000000"/>
              <w:right w:val="single" w:sz="6" w:space="0" w:color="000000"/>
            </w:tcBorders>
            <w:shd w:color="auto" w:fill="00B050" w:val="clear"/>
          </w:tcPr>
          <w:p>
            <w:pPr>
              <w:pStyle w:val="Normal"/>
              <w:spacing w:before="0" w:after="0"/>
              <w:jc w:val="center"/>
              <w:rPr>
                <w:kern w:val="0"/>
                <w:sz w:val="20"/>
                <w:szCs w:val="20"/>
                <w:lang w:bidi="ar-SA"/>
              </w:rPr>
            </w:pPr>
            <w:r>
              <w:rPr>
                <w:kern w:val="0"/>
                <w:sz w:val="19"/>
                <w:szCs w:val="19"/>
                <w:lang w:bidi="ar-SA"/>
              </w:rPr>
              <w:t>Conforme</w:t>
            </w:r>
          </w:p>
        </w:tc>
      </w:tr>
      <w:tr>
        <w:trPr>
          <w:trHeight w:val="1052" w:hRule="atLeast"/>
        </w:trPr>
        <w:tc>
          <w:tcPr>
            <w:tcW w:w="58"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keepLines/>
              <w:spacing w:before="0" w:after="0"/>
              <w:jc w:val="center"/>
              <w:rPr>
                <w:color w:val="FFFFFF"/>
              </w:rPr>
            </w:pPr>
            <w:r>
              <w:rPr>
                <w:rFonts w:eastAsia="Times New Roman" w:cs="Calibri" w:cstheme="minorHAnsi"/>
                <w:b/>
                <w:color w:val="FFFFFF"/>
                <w:kern w:val="0"/>
                <w:sz w:val="20"/>
                <w:szCs w:val="20"/>
                <w:lang w:bidi="ar-SA"/>
              </w:rPr>
              <w:t>${id}</w:t>
            </w:r>
          </w:p>
        </w:tc>
        <w:tc>
          <w:tcPr>
            <w:tcW w:w="1851" w:type="dxa"/>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 w:cs="" w:cstheme="minorBidi" w:eastAsiaTheme="minorEastAsia"/>
                <w:b/>
                <w:color w:themeColor="text1" w:val="000000"/>
                <w:kern w:val="0"/>
                <w:sz w:val="20"/>
                <w:szCs w:val="20"/>
                <w:lang w:bidi="ar-SA"/>
              </w:rPr>
              <w:t>${SRV_Name}</w:t>
            </w:r>
          </w:p>
        </w:tc>
        <w:tc>
          <w:tcPr>
            <w:tcW w:w="3509" w:type="dxa"/>
            <w:tcBorders>
              <w:right w:val="nil"/>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Calibri" w:cstheme="minorHAnsi"/>
                <w:b/>
                <w:color w:themeColor="text1" w:val="000000"/>
                <w:kern w:val="0"/>
                <w:sz w:val="20"/>
                <w:szCs w:val="20"/>
                <w:lang w:bidi="ar-SA"/>
              </w:rPr>
              <w:t>${SRV_IP}</w:t>
            </w:r>
          </w:p>
        </w:tc>
        <w:tc>
          <w:tcPr>
            <w:tcW w:w="3514" w:type="dxa"/>
            <w:tcBorders/>
            <w:shd w:color="auto" w:fill="D9D9D9" w:themeFill="background1" w:themeFillShade="d9" w:val="clear"/>
            <w:tcMar>
              <w:left w:w="108" w:type="dxa"/>
              <w:right w:w="108" w:type="dxa"/>
            </w:tcMar>
            <w:vAlign w:val="cente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Calibri" w:cstheme="minorHAnsi"/>
                <w:b/>
                <w:color w:themeColor="text1" w:val="000000"/>
                <w:kern w:val="0"/>
                <w:sz w:val="20"/>
                <w:szCs w:val="20"/>
                <w:lang w:bidi="ar-SA"/>
              </w:rPr>
              <w:t>${SRV_OS}</w:t>
            </w:r>
          </w:p>
        </w:tc>
        <w:tc>
          <w:tcPr>
            <w:tcW w:w="989" w:type="dxa"/>
            <w:tcBorders>
              <w:right w:val="nil"/>
            </w:tcBorders>
            <w:shd w:color="auto" w:fill="FF0000" w:val="clear"/>
            <w:tcMar>
              <w:left w:w="108" w:type="dxa"/>
              <w:right w:w="108" w:type="dxa"/>
            </w:tcMa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cs="" w:cstheme="minorBidi"/>
                <w:bCs/>
                <w:kern w:val="0"/>
                <w:sz w:val="20"/>
                <w:szCs w:val="20"/>
                <w:lang w:bidi="ar-SA"/>
              </w:rPr>
              <w:t>${SRV_MLW}</w:t>
            </w:r>
          </w:p>
        </w:tc>
        <w:tc>
          <w:tcPr>
            <w:tcW w:w="898" w:type="dxa"/>
            <w:tcBorders/>
            <w:shd w:color="auto" w:fill="FF0000" w:val="clear"/>
            <w:tcMar>
              <w:left w:w="108" w:type="dxa"/>
              <w:right w:w="108" w:type="dxa"/>
            </w:tcMa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b/>
                <w:bCs/>
                <w:color w:themeColor="text1" w:val="000000"/>
                <w:kern w:val="0"/>
                <w:sz w:val="20"/>
                <w:szCs w:val="20"/>
                <w:lang w:bidi="ar-SA"/>
              </w:rPr>
              <w:t>${SRV_CR_Exp}</w:t>
            </w:r>
            <w:r>
              <w:rPr>
                <w:rFonts w:eastAsia="Times New Roman" w:cs="" w:cstheme="minorBidi"/>
                <w:color w:themeColor="text1" w:val="000000"/>
                <w:kern w:val="0"/>
                <w:sz w:val="20"/>
                <w:szCs w:val="20"/>
                <w:lang w:bidi="ar-SA"/>
              </w:rPr>
              <w:t>/${SRV_CR}</w:t>
            </w:r>
          </w:p>
        </w:tc>
        <w:tc>
          <w:tcPr>
            <w:tcW w:w="810" w:type="dxa"/>
            <w:tcBorders/>
            <w:shd w:color="auto" w:fill="FFC000" w:themeFill="accent4" w:val="clear"/>
            <w:tcMar>
              <w:left w:w="108" w:type="dxa"/>
              <w:right w:w="108" w:type="dxa"/>
            </w:tcMar>
          </w:tcPr>
          <w:p>
            <w:pPr>
              <w:pStyle w:val="Normal"/>
              <w:keepLines/>
              <w:spacing w:before="0" w:after="0"/>
              <w:jc w:val="center"/>
              <w:rPr>
                <w:rFonts w:ascii="Calibri" w:hAnsi="Calibri" w:eastAsia="Times New Roman" w:cs="Calibri" w:asciiTheme="minorHAnsi" w:cstheme="minorHAnsi" w:hAnsiTheme="minorHAnsi"/>
                <w:b/>
                <w:color w:themeColor="text1" w:val="000000"/>
              </w:rPr>
            </w:pPr>
            <w:r>
              <w:rPr>
                <w:rFonts w:eastAsia="Times New Roman" w:cs="" w:cstheme="minorBidi"/>
                <w:b/>
                <w:bCs/>
                <w:color w:themeColor="text1" w:val="000000"/>
                <w:kern w:val="0"/>
                <w:sz w:val="20"/>
                <w:szCs w:val="20"/>
                <w:lang w:bidi="ar-SA"/>
              </w:rPr>
              <w:t>${SRV_HI_Exp}</w:t>
            </w:r>
            <w:r>
              <w:rPr>
                <w:rFonts w:eastAsia="Times New Roman" w:cs="" w:cstheme="minorBidi"/>
                <w:color w:themeColor="text1" w:val="000000"/>
                <w:kern w:val="0"/>
                <w:sz w:val="20"/>
                <w:szCs w:val="20"/>
                <w:lang w:bidi="ar-SA"/>
              </w:rPr>
              <w:t>/${SRV_HI}</w:t>
            </w:r>
          </w:p>
        </w:tc>
        <w:tc>
          <w:tcPr>
            <w:tcW w:w="811" w:type="dxa"/>
            <w:tcBorders/>
            <w:shd w:color="auto" w:fill="FFFF00" w:val="clear"/>
            <w:tcMar>
              <w:left w:w="108" w:type="dxa"/>
              <w:right w:w="108" w:type="dxa"/>
            </w:tcMar>
          </w:tcPr>
          <w:p>
            <w:pPr>
              <w:pStyle w:val="Normal"/>
              <w:keepLines/>
              <w:spacing w:before="0" w:after="0"/>
              <w:jc w:val="center"/>
              <w:rPr>
                <w:kern w:val="0"/>
                <w:sz w:val="20"/>
                <w:szCs w:val="20"/>
                <w:lang w:bidi="ar-SA"/>
              </w:rPr>
            </w:pPr>
            <w:r>
              <w:rPr>
                <w:rFonts w:eastAsia="Times New Roman" w:cs="" w:cstheme="minorBidi"/>
                <w:b/>
                <w:bCs/>
                <w:color w:themeColor="text1" w:val="000000"/>
                <w:kern w:val="0"/>
                <w:sz w:val="20"/>
                <w:szCs w:val="20"/>
                <w:lang w:bidi="ar-SA"/>
              </w:rPr>
              <w:t>${SRV_MO_Exp}</w:t>
            </w:r>
            <w:r>
              <w:rPr>
                <w:rFonts w:eastAsia="Times New Roman" w:cs="" w:cstheme="minorBidi"/>
                <w:color w:themeColor="text1" w:val="000000"/>
                <w:kern w:val="0"/>
                <w:sz w:val="20"/>
                <w:szCs w:val="20"/>
                <w:lang w:bidi="ar-SA"/>
              </w:rPr>
              <w:t>/${SRV_ME}</w:t>
            </w:r>
          </w:p>
        </w:tc>
        <w:tc>
          <w:tcPr>
            <w:tcW w:w="812" w:type="dxa"/>
            <w:tcBorders/>
            <w:shd w:color="auto" w:fill="00B050" w:val="clear"/>
            <w:tcMar>
              <w:left w:w="108" w:type="dxa"/>
              <w:right w:w="108" w:type="dxa"/>
            </w:tcMar>
          </w:tcPr>
          <w:p>
            <w:pPr>
              <w:pStyle w:val="Normal"/>
              <w:keepLines/>
              <w:spacing w:before="0" w:after="0"/>
              <w:jc w:val="center"/>
              <w:rPr>
                <w:kern w:val="0"/>
                <w:sz w:val="20"/>
                <w:szCs w:val="20"/>
                <w:lang w:bidi="ar-SA"/>
              </w:rPr>
            </w:pPr>
            <w:r>
              <w:rPr>
                <w:rFonts w:eastAsia="Times New Roman" w:cs="" w:cstheme="minorBidi"/>
                <w:color w:themeColor="text1" w:val="000000"/>
                <w:kern w:val="0"/>
                <w:sz w:val="20"/>
                <w:szCs w:val="20"/>
                <w:lang w:bidi="ar-SA"/>
              </w:rPr>
              <w:t>${SRV_LO}</w:t>
            </w:r>
          </w:p>
        </w:tc>
        <w:tc>
          <w:tcPr>
            <w:tcW w:w="1081" w:type="dxa"/>
            <w:tcBorders>
              <w:top w:val="single" w:sz="6" w:space="0" w:color="000000"/>
              <w:left w:val="single" w:sz="6" w:space="0" w:color="000000"/>
              <w:bottom w:val="single" w:sz="6" w:space="0" w:color="000000"/>
              <w:right w:val="single" w:sz="6" w:space="0" w:color="000000"/>
            </w:tcBorders>
            <w:shd w:color="auto" w:fill="FF0000" w:val="clear"/>
          </w:tcPr>
          <w:p>
            <w:pPr>
              <w:pStyle w:val="Normal"/>
              <w:keepLines/>
              <w:spacing w:before="0" w:after="0"/>
              <w:jc w:val="center"/>
              <w:rPr>
                <w:kern w:val="0"/>
                <w:sz w:val="20"/>
                <w:szCs w:val="20"/>
                <w:lang w:bidi="ar-SA"/>
              </w:rPr>
            </w:pPr>
            <w:r>
              <w:rPr>
                <w:rFonts w:eastAsia="Times New Roman" w:cs="" w:cstheme="minorBidi"/>
                <w:color w:themeColor="text1" w:val="000000"/>
                <w:kern w:val="0"/>
                <w:sz w:val="20"/>
                <w:szCs w:val="20"/>
                <w:lang w:bidi="ar-SA"/>
              </w:rPr>
              <w:t>${SRV_NC}</w:t>
            </w:r>
          </w:p>
        </w:tc>
        <w:tc>
          <w:tcPr>
            <w:tcW w:w="1079" w:type="dxa"/>
            <w:tcBorders>
              <w:top w:val="single" w:sz="6" w:space="0" w:color="000000"/>
              <w:left w:val="single" w:sz="6" w:space="0" w:color="000000"/>
              <w:bottom w:val="single" w:sz="6" w:space="0" w:color="000000"/>
              <w:right w:val="single" w:sz="6" w:space="0" w:color="000000"/>
            </w:tcBorders>
            <w:shd w:color="auto" w:fill="00B050" w:val="clear"/>
          </w:tcPr>
          <w:p>
            <w:pPr>
              <w:pStyle w:val="Normal"/>
              <w:keepLines/>
              <w:spacing w:before="0" w:after="0"/>
              <w:jc w:val="center"/>
              <w:rPr>
                <w:kern w:val="0"/>
                <w:sz w:val="20"/>
                <w:szCs w:val="20"/>
                <w:lang w:bidi="ar-SA"/>
              </w:rPr>
            </w:pPr>
            <w:r>
              <w:rPr>
                <w:rFonts w:eastAsia="Times New Roman" w:cs="" w:cstheme="minorBidi"/>
                <w:color w:themeColor="text1" w:val="000000"/>
                <w:kern w:val="0"/>
                <w:sz w:val="20"/>
                <w:szCs w:val="20"/>
                <w:lang w:bidi="ar-SA"/>
              </w:rPr>
              <w:t>${SRV_CF}</w:t>
            </w:r>
          </w:p>
        </w:tc>
      </w:tr>
      <w:tr>
        <w:trPr>
          <w:trHeight w:val="300" w:hRule="atLeast"/>
        </w:trPr>
        <w:tc>
          <w:tcPr>
            <w:tcW w:w="58" w:type="dxa"/>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center"/>
              <w:rPr>
                <w:rFonts w:ascii="Calibri" w:hAnsi="Calibri" w:cs="" w:asciiTheme="minorHAnsi" w:cstheme="minorBidi" w:hAnsiTheme="minorHAnsi"/>
                <w:b/>
                <w:bCs/>
                <w:color w:val="C9211E"/>
              </w:rPr>
            </w:pPr>
            <w:r>
              <w:rPr>
                <w:rFonts w:cs="" w:cstheme="minorBidi"/>
                <w:b/>
                <w:bCs/>
                <w:color w:val="C9211E"/>
              </w:rPr>
            </w:r>
          </w:p>
        </w:tc>
        <w:tc>
          <w:tcPr>
            <w:tcW w:w="8874" w:type="dxa"/>
            <w:gridSpan w:val="3"/>
            <w:tcBorders/>
            <w:shd w:color="auto" w:fill="A6A6A6" w:themeFill="background1" w:themeFillShade="a6"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Total ({TLT_SRV})</w:t>
            </w:r>
          </w:p>
        </w:tc>
        <w:tc>
          <w:tcPr>
            <w:tcW w:w="989" w:type="dxa"/>
            <w:tcBorders>
              <w:right w:val="nil"/>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kern w:val="0"/>
                <w:sz w:val="20"/>
                <w:szCs w:val="20"/>
                <w:lang w:bidi="ar-SA"/>
              </w:rPr>
              <w:t>${TLT_SRV_MLW}</w:t>
            </w:r>
          </w:p>
        </w:tc>
        <w:tc>
          <w:tcPr>
            <w:tcW w:w="898"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${TLT_SRV_CR_Ex}/</w:t>
            </w:r>
            <w:r>
              <w:rPr>
                <w:rFonts w:eastAsia="Times New Roman" w:cs="" w:cstheme="minorBidi"/>
                <w:kern w:val="0"/>
                <w:sz w:val="20"/>
                <w:szCs w:val="20"/>
                <w:lang w:bidi="ar-SA"/>
              </w:rPr>
              <w:t>${TLT_SRV_CR}</w:t>
            </w:r>
          </w:p>
        </w:tc>
        <w:tc>
          <w:tcPr>
            <w:tcW w:w="810"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${TLT_SRV_HI_Ex}/</w:t>
            </w:r>
            <w:r>
              <w:rPr>
                <w:rFonts w:eastAsia="Times New Roman" w:cs="" w:cstheme="minorBidi"/>
                <w:kern w:val="0"/>
                <w:sz w:val="20"/>
                <w:szCs w:val="20"/>
                <w:lang w:bidi="ar-SA"/>
              </w:rPr>
              <w:t>${TLT_SRV_HI}</w:t>
            </w:r>
          </w:p>
        </w:tc>
        <w:tc>
          <w:tcPr>
            <w:tcW w:w="811"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${TLT_SRV_MO_Ex}/${TLT_SRV_ME}</w:t>
            </w:r>
          </w:p>
        </w:tc>
        <w:tc>
          <w:tcPr>
            <w:tcW w:w="812" w:type="dxa"/>
            <w:tcBorders/>
            <w:shd w:color="auto" w:fill="D9D9D9" w:themeFill="background1" w:themeFillShade="d9" w:val="clear"/>
            <w:tcMar>
              <w:left w:w="108" w:type="dxa"/>
              <w:right w:w="108" w:type="dxa"/>
            </w:tcMar>
          </w:tcPr>
          <w:p>
            <w:pPr>
              <w:pStyle w:val="Normal"/>
              <w:spacing w:before="0" w:after="0"/>
              <w:jc w:val="center"/>
              <w:rPr>
                <w:rFonts w:ascii="Calibri" w:hAnsi="Calibri" w:cs="" w:asciiTheme="minorHAnsi" w:cstheme="minorBidi" w:hAnsiTheme="minorHAnsi"/>
                <w:b/>
                <w:bCs/>
              </w:rPr>
            </w:pPr>
            <w:r>
              <w:rPr>
                <w:rFonts w:eastAsia="Times New Roman" w:cs="" w:cstheme="minorBidi"/>
                <w:b/>
                <w:bCs/>
                <w:kern w:val="0"/>
                <w:sz w:val="20"/>
                <w:szCs w:val="20"/>
                <w:lang w:bidi="ar-SA"/>
              </w:rPr>
              <w:t>${TLT_SRV_LO}</w:t>
            </w:r>
          </w:p>
        </w:tc>
        <w:tc>
          <w:tcPr>
            <w:tcW w:w="1081" w:type="dxa"/>
            <w:tcBorders/>
            <w:shd w:color="auto" w:fill="D9D9D9" w:themeFill="background1" w:themeFillShade="d9" w:val="clear"/>
          </w:tcPr>
          <w:p>
            <w:pPr>
              <w:pStyle w:val="Normal"/>
              <w:spacing w:before="0" w:after="0"/>
              <w:jc w:val="center"/>
              <w:rPr>
                <w:b/>
                <w:bCs/>
              </w:rPr>
            </w:pPr>
            <w:r>
              <w:rPr>
                <w:b/>
                <w:bCs/>
                <w:kern w:val="0"/>
                <w:sz w:val="20"/>
                <w:szCs w:val="20"/>
                <w:lang w:bidi="ar-SA"/>
              </w:rPr>
              <w:t>${TLT_SRV_NC}</w:t>
            </w:r>
          </w:p>
        </w:tc>
        <w:tc>
          <w:tcPr>
            <w:tcW w:w="1079" w:type="dxa"/>
            <w:tcBorders/>
            <w:shd w:color="auto" w:fill="D9D9D9" w:themeFill="background1" w:themeFillShade="d9" w:val="clear"/>
          </w:tcPr>
          <w:p>
            <w:pPr>
              <w:pStyle w:val="Normal"/>
              <w:spacing w:before="0" w:after="0"/>
              <w:jc w:val="center"/>
              <w:rPr>
                <w:b/>
                <w:bCs/>
              </w:rPr>
            </w:pPr>
            <w:r>
              <w:rPr>
                <w:b/>
                <w:bCs/>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16384"/>
        </w:sectPr>
      </w:pPr>
    </w:p>
    <w:p>
      <w:pPr>
        <w:pStyle w:val="Heading1"/>
        <w:numPr>
          <w:ilvl w:val="0"/>
          <w:numId w:val="0"/>
        </w:numPr>
        <w:spacing w:before="0" w:after="0"/>
        <w:ind w:hanging="0" w:left="0" w:right="552"/>
        <w:rPr>
          <w:rFonts w:ascii="Calibri" w:hAnsi="Calibri" w:eastAsia="Times New Roman" w:cs="" w:asciiTheme="minorHAnsi" w:cstheme="minorBidi" w:hAnsiTheme="minorHAnsi"/>
        </w:rPr>
      </w:pPr>
      <w:bookmarkStart w:id="11" w:name="__RefHeading___Toc971_1071293927"/>
      <w:bookmarkEnd w:id="11"/>
      <w:r>
        <w:rPr/>
        <w:t>3. Vulnérabilités exploitables détectées</w:t>
      </w:r>
      <w:bookmarkStart w:id="12" w:name="_Toc2124445969"/>
      <w:bookmarkEnd w:id="12"/>
    </w:p>
    <w:p>
      <w:pPr>
        <w:pStyle w:val="Normal"/>
        <w:ind w:right="552"/>
        <w:rPr>
          <w:rFonts w:ascii="Calibri" w:hAnsi="Calibri" w:eastAsia="Times New Roman" w:cs="" w:asciiTheme="minorHAnsi" w:cstheme="minorBidi" w:hAnsiTheme="minorHAns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565"/>
        <w:gridCol w:w="1099"/>
        <w:gridCol w:w="5012"/>
        <w:gridCol w:w="1287"/>
        <w:gridCol w:w="876"/>
        <w:gridCol w:w="1623"/>
      </w:tblGrid>
      <w:tr>
        <w:trPr>
          <w:trHeight w:val="300" w:hRule="atLeast"/>
        </w:trPr>
        <w:tc>
          <w:tcPr>
            <w:tcW w:w="565" w:type="dxa"/>
            <w:tcBorders>
              <w:top w:val="single" w:sz="4" w:space="0" w:color="FFFFFF"/>
              <w:left w:val="single" w:sz="4" w:space="0" w:color="FFFFFF"/>
              <w:bottom w:val="single" w:sz="4" w:space="0" w:color="FFFFFF"/>
              <w:right w:val="single" w:sz="4" w:space="0" w:color="FFFFFF"/>
            </w:tcBorders>
            <w:shd w:color="auto" w:fill="FFFFFF" w:val="clear"/>
          </w:tcPr>
          <w:p>
            <w:pPr>
              <w:pStyle w:val="Normal"/>
              <w:spacing w:before="0" w:after="0"/>
              <w:jc w:val="both"/>
              <w:rPr>
                <w:rFonts w:ascii="Calibri" w:hAnsi="Calibri" w:cs="Calibri" w:asciiTheme="minorHAnsi" w:cstheme="minorHAnsi" w:hAnsiTheme="minorHAnsi"/>
                <w:b/>
              </w:rPr>
            </w:pPr>
            <w:r>
              <w:rPr>
                <w:rFonts w:cs="Calibri" w:cstheme="minorHAnsi"/>
                <w:b/>
              </w:rPr>
            </w:r>
          </w:p>
        </w:tc>
        <w:tc>
          <w:tcPr>
            <w:tcW w:w="1099"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Gravité (CVSS v3.0)</w:t>
            </w:r>
          </w:p>
        </w:tc>
        <w:tc>
          <w:tcPr>
            <w:tcW w:w="5012" w:type="dxa"/>
            <w:tcBorders>
              <w:right w:val="nil"/>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Vulnérabilité</w:t>
            </w:r>
          </w:p>
        </w:tc>
        <w:tc>
          <w:tcPr>
            <w:tcW w:w="1287"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cs="Calibri" w:cstheme="minorHAnsi"/>
                <w:b/>
              </w:rPr>
              <w:t>Exploitabilité</w:t>
            </w:r>
          </w:p>
        </w:tc>
        <w:tc>
          <w:tcPr>
            <w:tcW w:w="876" w:type="dxa"/>
            <w:tcBorders/>
            <w:shd w:color="auto" w:fill="F2F2F2" w:themeFill="background1" w:themeFillShade="f2" w:val="clear"/>
            <w:tcMar>
              <w:left w:w="108"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Nbr des hôtes</w:t>
            </w:r>
          </w:p>
        </w:tc>
        <w:tc>
          <w:tcPr>
            <w:tcW w:w="1623" w:type="dxa"/>
            <w:tcBorders/>
            <w:shd w:color="auto" w:fill="F2F2F2" w:themeFill="background1" w:themeFillShade="f2" w:val="clear"/>
            <w:tcMar>
              <w:left w:w="108"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Adresses IP</w:t>
            </w:r>
          </w:p>
        </w:tc>
      </w:tr>
      <w:tr>
        <w:trPr>
          <w:trHeight w:val="300" w:hRule="atLeast"/>
        </w:trPr>
        <w:tc>
          <w:tcPr>
            <w:tcW w:w="565" w:type="dxa"/>
            <w:tcBorders>
              <w:top w:val="single" w:sz="6" w:space="0" w:color="FFFFFF"/>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rFonts w:cs="Calibri" w:cstheme="minorHAnsi"/>
                <w:b/>
                <w:color w:themeColor="background1" w:val="FFFFFF"/>
                <w:kern w:val="0"/>
                <w:sz w:val="12"/>
                <w:szCs w:val="12"/>
                <w:shd w:fill="FFFFFF" w:val="clear"/>
                <w:lang w:bidi="ar-SA"/>
              </w:rPr>
              <w:t>${id_c_serv}</w:t>
            </w:r>
          </w:p>
        </w:tc>
        <w:tc>
          <w:tcPr>
            <w:tcW w:w="1099"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Calibri" w:asciiTheme="minorHAnsi" w:cstheme="minorHAnsi" w:hAnsiTheme="minorHAnsi"/>
                <w:b/>
              </w:rPr>
            </w:pPr>
            <w:r>
              <w:rPr>
                <w:rFonts w:eastAsia="Times New Roman" w:cs="Calibri" w:cstheme="minorHAnsi"/>
                <w:b/>
                <w:kern w:val="0"/>
                <w:sz w:val="20"/>
                <w:szCs w:val="20"/>
                <w:lang w:bidi="ar-SA"/>
              </w:rPr>
              <w:t>${SRV_Risk_Factor_Critical}</w:t>
            </w:r>
          </w:p>
        </w:tc>
        <w:tc>
          <w:tcPr>
            <w:tcW w:w="5012"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7"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theme="minorBidi"/>
                <w:kern w:val="0"/>
                <w:sz w:val="20"/>
                <w:szCs w:val="20"/>
                <w:lang w:bidi="ar-SA"/>
              </w:rPr>
              <w:t>${SRV_</w:t>
            </w:r>
            <w:r>
              <w:rPr>
                <w:rFonts w:eastAsia="Times New Roman" w:cs="Calibri" w:cstheme="minorHAnsi"/>
                <w:kern w:val="0"/>
                <w:sz w:val="20"/>
                <w:szCs w:val="20"/>
                <w:lang w:bidi="ar-SA"/>
              </w:rPr>
              <w:t>exploi</w:t>
            </w:r>
            <w:r>
              <w:rPr>
                <w:rFonts w:eastAsia="Times New Roman" w:cstheme="minorBidi"/>
                <w:kern w:val="0"/>
                <w:sz w:val="20"/>
                <w:szCs w:val="20"/>
                <w:lang w:bidi="ar-SA"/>
              </w:rPr>
              <w:t>}</w:t>
            </w:r>
          </w:p>
        </w:tc>
        <w:tc>
          <w:tcPr>
            <w:tcW w:w="876" w:type="dxa"/>
            <w:tcBorders>
              <w:right w:val="nil"/>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${SRV_count</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c>
          <w:tcPr>
            <w:tcW w:w="1623" w:type="dxa"/>
            <w:tcBorders/>
            <w:shd w:color="auto" w:fill="FF0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65" w:type="dxa"/>
            <w:tcBorders>
              <w:top w:val="nil"/>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color w:themeColor="background1" w:val="FFFFFF"/>
                <w:kern w:val="0"/>
                <w:sz w:val="12"/>
                <w:szCs w:val="12"/>
                <w:shd w:fill="FFFFFF" w:val="clear"/>
                <w:lang w:bidi="ar-SA"/>
              </w:rPr>
              <w:t>${id_h_serv}</w:t>
            </w:r>
          </w:p>
        </w:tc>
        <w:tc>
          <w:tcPr>
            <w:tcW w:w="1099" w:type="dxa"/>
            <w:tcBorders>
              <w:top w:val="nil"/>
              <w:right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Calibri" w:cstheme="minorHAnsi"/>
                <w:b/>
                <w:kern w:val="0"/>
                <w:sz w:val="20"/>
                <w:szCs w:val="20"/>
                <w:lang w:bidi="ar-SA"/>
              </w:rPr>
              <w:t>${SRV_Risk_Factor_High}</w:t>
            </w:r>
          </w:p>
        </w:tc>
        <w:tc>
          <w:tcPr>
            <w:tcW w:w="5012" w:type="dxa"/>
            <w:tcBorders>
              <w:top w:val="nil"/>
              <w:right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7" w:type="dxa"/>
            <w:tcBorders>
              <w:top w:val="nil"/>
              <w:right w:val="nil"/>
            </w:tcBorders>
            <w:shd w:color="auto" w:fill="FF80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6" w:type="dxa"/>
            <w:tcBorders>
              <w:top w:val="nil"/>
              <w:right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${SRV_count</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c>
          <w:tcPr>
            <w:tcW w:w="1623" w:type="dxa"/>
            <w:tcBorders>
              <w:top w:val="nil"/>
            </w:tcBorders>
            <w:shd w:color="auto" w:fill="FF80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65" w:type="dxa"/>
            <w:tcBorders>
              <w:top w:val="nil"/>
              <w:left w:val="single" w:sz="6" w:space="0" w:color="FFFFFF"/>
              <w:bottom w:val="single" w:sz="6" w:space="0" w:color="FFFFFF"/>
              <w:right w:val="single" w:sz="6" w:space="0" w:color="FFFFFF"/>
            </w:tcBorders>
            <w:shd w:color="auto" w:fill="FFFFFF" w:val="clear"/>
          </w:tcPr>
          <w:p>
            <w:pPr>
              <w:pStyle w:val="Normal"/>
              <w:spacing w:before="0" w:after="0"/>
              <w:jc w:val="both"/>
              <w:rPr>
                <w:color w:themeColor="background1" w:val="FFFFFF"/>
                <w:shd w:fill="FFFFFF" w:val="clear"/>
              </w:rPr>
            </w:pPr>
            <w:r>
              <w:rPr>
                <w:color w:themeColor="background1" w:val="FFFFFF"/>
                <w:kern w:val="0"/>
                <w:sz w:val="12"/>
                <w:szCs w:val="12"/>
                <w:shd w:fill="FFFFFF" w:val="clear"/>
                <w:lang w:bidi="ar-SA"/>
              </w:rPr>
              <w:t>${id_m_serv}</w:t>
            </w:r>
          </w:p>
        </w:tc>
        <w:tc>
          <w:tcPr>
            <w:tcW w:w="1099" w:type="dxa"/>
            <w:tcBorders>
              <w:top w:val="nil"/>
              <w:right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Calibri" w:cstheme="minorHAnsi"/>
                <w:b/>
                <w:kern w:val="0"/>
                <w:sz w:val="20"/>
                <w:szCs w:val="20"/>
                <w:lang w:bidi="ar-SA"/>
              </w:rPr>
              <w:t>${SRV_Risk_Factor_Medium}</w:t>
            </w:r>
          </w:p>
        </w:tc>
        <w:tc>
          <w:tcPr>
            <w:tcW w:w="5012" w:type="dxa"/>
            <w:tcBorders>
              <w:top w:val="nil"/>
              <w:right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7" w:type="dxa"/>
            <w:tcBorders>
              <w:top w:val="nil"/>
              <w:right w:val="nil"/>
            </w:tcBorders>
            <w:shd w:color="auto" w:fill="FFFF00" w:val="clear"/>
            <w:tcMar>
              <w:top w:w="55" w:type="dxa"/>
              <w:left w:w="108" w:type="dxa"/>
              <w:bottom w:w="55" w:type="dxa"/>
              <w:right w:w="108" w:type="dxa"/>
            </w:tcMar>
          </w:tcPr>
          <w:p>
            <w:pPr>
              <w:pStyle w:val="Normal"/>
              <w:spacing w:before="0" w:after="0"/>
              <w:jc w:val="both"/>
              <w:rPr>
                <w:rFonts w:ascii="Calibri" w:hAnsi="Calibri" w:cs="" w:asciiTheme="minorHAnsi" w:cstheme="minorBidi" w:hAnsiTheme="minorHAns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6" w:type="dxa"/>
            <w:tcBorders>
              <w:top w:val="nil"/>
              <w:right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${SRV_count</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lang w:bidi="ar-SA"/>
              </w:rPr>
              <w:t>Medium</w:t>
            </w:r>
            <w:r>
              <w:rPr>
                <w:rFonts w:eastAsia="Times New Roman" w:cs="" w:cstheme="minorBidi"/>
                <w:b/>
                <w:bCs/>
                <w:kern w:val="0"/>
                <w:sz w:val="20"/>
                <w:szCs w:val="20"/>
                <w:lang w:bidi="ar-SA"/>
              </w:rPr>
              <w:t>}</w:t>
            </w:r>
          </w:p>
        </w:tc>
        <w:tc>
          <w:tcPr>
            <w:tcW w:w="1623" w:type="dxa"/>
            <w:tcBorders>
              <w:top w:val="nil"/>
            </w:tcBorders>
            <w:shd w:color="auto" w:fill="FFFF00" w:val="clear"/>
            <w:tcMar>
              <w:top w:w="55" w:type="dxa"/>
              <w:left w:w="108" w:type="dxa"/>
              <w:bottom w:w="55" w:type="dxa"/>
              <w:right w:w="108" w:type="dxa"/>
            </w:tcMar>
          </w:tcPr>
          <w:p>
            <w:pPr>
              <w:pStyle w:val="Normal"/>
              <w:spacing w:before="0" w:after="0"/>
              <w:jc w:val="both"/>
              <w:rPr>
                <w:kern w:val="0"/>
                <w:sz w:val="20"/>
                <w:szCs w:val="20"/>
                <w:lang w:bidi="ar-SA"/>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r>
        <w:br w:type="page"/>
      </w:r>
    </w:p>
    <w:p>
      <w:pPr>
        <w:pStyle w:val="Heading1"/>
        <w:numPr>
          <w:ilvl w:val="0"/>
          <w:numId w:val="0"/>
        </w:numPr>
        <w:spacing w:before="0" w:after="0"/>
        <w:ind w:hanging="0" w:left="0" w:right="552"/>
        <w:rPr>
          <w:rFonts w:ascii="Calibri" w:hAnsi="Calibri" w:eastAsia="Times New Roman" w:cs="" w:asciiTheme="minorHAnsi" w:cstheme="minorBidi" w:hAnsiTheme="minorHAnsi"/>
        </w:rPr>
      </w:pPr>
      <w:bookmarkStart w:id="13" w:name="__RefHeading___Toc975_1071293927"/>
      <w:bookmarkStart w:id="14" w:name="_Toc63404768"/>
      <w:bookmarkEnd w:id="13"/>
      <w:r>
        <w:rPr/>
        <w:t>4. Détails des Vulnérabilités</w:t>
      </w:r>
      <w:bookmarkEnd w:id="14"/>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t>${Block_Vun}</w:t>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t xml:space="preserve">Vulnérabilité </w:t>
      </w:r>
      <w:r>
        <w:rPr>
          <w:b/>
          <w:bCs/>
          <w:color w:val="000000"/>
          <w:sz w:val="20"/>
          <w:szCs w:val="20"/>
        </w:rPr>
        <w:t>${SRV_VULN_ID}</w:t>
      </w:r>
      <w:r>
        <w:rPr>
          <w:rFonts w:eastAsia="Times New Roman" w:cs=""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7"/>
        <w:gridCol w:w="207"/>
        <w:gridCol w:w="1652"/>
        <w:gridCol w:w="243"/>
        <w:gridCol w:w="867"/>
        <w:gridCol w:w="247"/>
        <w:gridCol w:w="852"/>
        <w:gridCol w:w="330"/>
        <w:gridCol w:w="984"/>
        <w:gridCol w:w="94"/>
        <w:gridCol w:w="1416"/>
      </w:tblGrid>
      <w:tr>
        <w:trPr>
          <w:trHeight w:val="315" w:hRule="atLeast"/>
        </w:trPr>
        <w:tc>
          <w:tcPr>
            <w:tcW w:w="2167" w:type="dxa"/>
            <w:tcBorders>
              <w:top w:val="single" w:sz="6" w:space="0" w:color="000000"/>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ID DE LA VULNÉRABILITÉ</w:t>
            </w:r>
          </w:p>
        </w:tc>
        <w:tc>
          <w:tcPr>
            <w:tcW w:w="2102" w:type="dxa"/>
            <w:gridSpan w:val="3"/>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spacing w:before="0" w:after="0"/>
              <w:jc w:val="both"/>
              <w:rPr>
                <w:color w:val="000000"/>
              </w:rPr>
            </w:pPr>
            <w:r>
              <w:rPr>
                <w:b/>
                <w:bCs/>
                <w:color w:val="000000"/>
                <w:kern w:val="0"/>
                <w:sz w:val="20"/>
                <w:szCs w:val="20"/>
                <w:lang w:bidi="ar-SA"/>
              </w:rPr>
              <w:t>${SRV_VULN_ID}</w:t>
            </w:r>
          </w:p>
        </w:tc>
        <w:tc>
          <w:tcPr>
            <w:tcW w:w="867" w:type="dxa"/>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RISQUE</w:t>
            </w:r>
          </w:p>
        </w:tc>
        <w:tc>
          <w:tcPr>
            <w:tcW w:w="1099"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spacing w:before="0" w:after="0"/>
              <w:jc w:val="both"/>
              <w:rPr>
                <w:color w:val="000000"/>
              </w:rPr>
            </w:pPr>
            <w:r>
              <w:rPr>
                <w:color w:val="000000"/>
                <w:kern w:val="0"/>
                <w:sz w:val="20"/>
                <w:szCs w:val="20"/>
                <w:lang w:bidi="ar-SA"/>
              </w:rPr>
              <w:t>${</w:t>
            </w:r>
            <w:r>
              <w:rPr>
                <w:b/>
                <w:bCs/>
                <w:color w:val="000000"/>
                <w:kern w:val="0"/>
                <w:sz w:val="20"/>
                <w:szCs w:val="20"/>
                <w:lang w:bidi="ar-SA"/>
              </w:rPr>
              <w:t>SRV</w:t>
            </w:r>
            <w:r>
              <w:rPr>
                <w:color w:val="000000"/>
                <w:kern w:val="0"/>
                <w:sz w:val="20"/>
                <w:szCs w:val="20"/>
                <w:lang w:bidi="ar-SA"/>
              </w:rPr>
              <w:t>_VULN_RISK}</w:t>
            </w:r>
          </w:p>
        </w:tc>
        <w:tc>
          <w:tcPr>
            <w:tcW w:w="1408" w:type="dxa"/>
            <w:gridSpan w:val="3"/>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CVSS score</w:t>
            </w:r>
          </w:p>
        </w:tc>
        <w:tc>
          <w:tcPr>
            <w:tcW w:w="1416"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spacing w:before="0" w:after="0"/>
              <w:jc w:val="center"/>
              <w:rPr>
                <w:color w:val="000000"/>
              </w:rPr>
            </w:pPr>
            <w:r>
              <w:rPr>
                <w:color w:val="000000"/>
                <w:kern w:val="0"/>
                <w:sz w:val="20"/>
                <w:szCs w:val="20"/>
                <w:lang w:bidi="ar-SA"/>
              </w:rPr>
              <w:t>${SRV_VULN_CVSS}</w:t>
            </w:r>
          </w:p>
        </w:tc>
      </w:tr>
      <w:tr>
        <w:trPr>
          <w:trHeight w:val="315" w:hRule="atLeast"/>
        </w:trPr>
        <w:tc>
          <w:tcPr>
            <w:tcW w:w="2167" w:type="dxa"/>
            <w:tcBorders>
              <w:top w:val="single" w:sz="6" w:space="0" w:color="95B3D7"/>
              <w:left w:val="single" w:sz="6" w:space="0" w:color="95B3D7"/>
              <w:bottom w:val="single" w:sz="6" w:space="0" w:color="95B3D7"/>
              <w:right w:val="nil"/>
            </w:tcBorders>
            <w:shd w:color="auto" w:fill="366091" w:val="clear"/>
            <w:vAlign w:val="center"/>
          </w:tcPr>
          <w:p>
            <w:pPr>
              <w:pStyle w:val="Normal"/>
              <w:spacing w:lineRule="auto" w:line="259" w:before="0" w:after="0"/>
              <w:jc w:val="both"/>
              <w:rPr>
                <w:kern w:val="0"/>
                <w:sz w:val="20"/>
                <w:szCs w:val="20"/>
                <w:lang w:bidi="ar-SA"/>
              </w:rPr>
            </w:pPr>
            <w:r>
              <w:rPr>
                <w:b/>
                <w:bCs/>
                <w:color w:themeColor="background1" w:val="FFFFFF"/>
                <w:kern w:val="0"/>
                <w:sz w:val="18"/>
                <w:szCs w:val="18"/>
                <w:lang w:bidi="ar-SA"/>
              </w:rPr>
              <w:t>Synopsis</w:t>
            </w:r>
          </w:p>
        </w:tc>
        <w:tc>
          <w:tcPr>
            <w:tcW w:w="6892" w:type="dxa"/>
            <w:gridSpan w:val="10"/>
            <w:tcBorders>
              <w:top w:val="single" w:sz="6" w:space="0" w:color="95B3D7"/>
              <w:left w:val="nil"/>
              <w:bottom w:val="single" w:sz="6" w:space="0" w:color="95B3D7"/>
              <w:right w:val="single" w:sz="6" w:space="0" w:color="95B3D7"/>
            </w:tcBorders>
            <w:shd w:color="auto" w:fill="DBE5F1" w:val="clear"/>
            <w:vAlign w:val="center"/>
          </w:tcPr>
          <w:p>
            <w:pPr>
              <w:pStyle w:val="Normal"/>
              <w:spacing w:before="0" w:after="0"/>
              <w:jc w:val="both"/>
              <w:rPr>
                <w:kern w:val="0"/>
                <w:sz w:val="20"/>
                <w:szCs w:val="20"/>
                <w:lang w:bidi="ar-SA"/>
              </w:rPr>
            </w:pPr>
            <w:r>
              <w:rPr>
                <w:b/>
                <w:bCs/>
                <w:color w:val="000000"/>
                <w:kern w:val="0"/>
                <w:sz w:val="20"/>
                <w:szCs w:val="20"/>
                <w:lang w:bidi="ar-SA"/>
              </w:rPr>
              <w:t>${SRV_VULN_Synopsis}</w:t>
            </w:r>
          </w:p>
        </w:tc>
      </w:tr>
      <w:tr>
        <w:trPr>
          <w:trHeight w:val="315" w:hRule="atLeast"/>
        </w:trPr>
        <w:tc>
          <w:tcPr>
            <w:tcW w:w="2167" w:type="dxa"/>
            <w:tcBorders>
              <w:top w:val="single" w:sz="6" w:space="0" w:color="95B3D7"/>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ÉLÉMENTS IMPACTÉS</w:t>
            </w:r>
          </w:p>
        </w:tc>
        <w:tc>
          <w:tcPr>
            <w:tcW w:w="6892" w:type="dxa"/>
            <w:gridSpan w:val="10"/>
            <w:tcBorders>
              <w:top w:val="single" w:sz="6" w:space="0" w:color="95B3D7"/>
              <w:left w:val="nil"/>
              <w:bottom w:val="single" w:sz="6" w:space="0" w:color="95B3D7"/>
              <w:right w:val="single" w:sz="6" w:space="0" w:color="95B3D7"/>
            </w:tcBorders>
            <w:shd w:color="auto" w:fill="EDF2F8" w:val="clear"/>
            <w:vAlign w:val="center"/>
          </w:tcPr>
          <w:p>
            <w:pPr>
              <w:pStyle w:val="Normal"/>
              <w:spacing w:before="0" w:after="0"/>
              <w:jc w:val="both"/>
              <w:rPr>
                <w:kern w:val="0"/>
                <w:sz w:val="20"/>
                <w:szCs w:val="20"/>
                <w:lang w:bidi="ar-SA"/>
              </w:rPr>
            </w:pPr>
            <w:r>
              <w:rPr>
                <w:b/>
                <w:bCs/>
                <w:color w:val="000000"/>
                <w:kern w:val="0"/>
                <w:sz w:val="20"/>
                <w:szCs w:val="20"/>
                <w:lang w:bidi="ar-SA"/>
              </w:rPr>
              <w:t>${SRV_VULN_Hosts}</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Exploitable par :</w:t>
            </w:r>
          </w:p>
        </w:tc>
      </w:tr>
      <w:tr>
        <w:trPr>
          <w:trHeight w:val="315" w:hRule="atLeast"/>
        </w:trPr>
        <w:tc>
          <w:tcPr>
            <w:tcW w:w="2374" w:type="dxa"/>
            <w:gridSpan w:val="2"/>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Metasploit</w:t>
            </w:r>
          </w:p>
        </w:tc>
        <w:tc>
          <w:tcPr>
            <w:tcW w:w="1652" w:type="dxa"/>
            <w:tcBorders>
              <w:top w:val="nil"/>
              <w:left w:val="single" w:sz="6" w:space="0" w:color="95B3D7"/>
              <w:bottom w:val="single" w:sz="6" w:space="0" w:color="95B3D7"/>
              <w:right w:val="nil"/>
            </w:tcBorders>
            <w:vAlign w:val="center"/>
          </w:tcPr>
          <w:p>
            <w:pPr>
              <w:pStyle w:val="Normal"/>
              <w:spacing w:before="0" w:after="0"/>
              <w:jc w:val="both"/>
              <w:rPr>
                <w:kern w:val="0"/>
                <w:sz w:val="20"/>
                <w:szCs w:val="20"/>
                <w:lang w:bidi="ar-SA"/>
              </w:rPr>
            </w:pPr>
            <w:r>
              <w:rPr>
                <w:color w:val="000000"/>
                <w:kern w:val="0"/>
                <w:sz w:val="20"/>
                <w:szCs w:val="20"/>
                <w:lang w:bidi="ar-SA"/>
              </w:rPr>
              <w:t>${SRV_VULN_Metasploit}</w:t>
            </w:r>
          </w:p>
        </w:tc>
        <w:tc>
          <w:tcPr>
            <w:tcW w:w="1357" w:type="dxa"/>
            <w:gridSpan w:val="3"/>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Core Impact</w:t>
            </w:r>
          </w:p>
        </w:tc>
        <w:tc>
          <w:tcPr>
            <w:tcW w:w="1182" w:type="dxa"/>
            <w:gridSpan w:val="2"/>
            <w:tcBorders>
              <w:top w:val="nil"/>
              <w:left w:val="single" w:sz="6" w:space="0" w:color="95B3D7"/>
              <w:bottom w:val="single" w:sz="6" w:space="0" w:color="95B3D7"/>
              <w:right w:val="nil"/>
            </w:tcBorders>
            <w:vAlign w:val="center"/>
          </w:tcPr>
          <w:p>
            <w:pPr>
              <w:pStyle w:val="Normal"/>
              <w:spacing w:before="0" w:after="0"/>
              <w:jc w:val="both"/>
              <w:rPr>
                <w:kern w:val="0"/>
                <w:sz w:val="20"/>
                <w:szCs w:val="20"/>
                <w:lang w:bidi="ar-SA"/>
              </w:rPr>
            </w:pPr>
            <w:r>
              <w:rPr>
                <w:color w:val="000000"/>
                <w:kern w:val="0"/>
                <w:sz w:val="20"/>
                <w:szCs w:val="20"/>
                <w:lang w:bidi="ar-SA"/>
              </w:rPr>
              <w:t>${SRV_VULN_Core_Impact}</w:t>
            </w:r>
          </w:p>
        </w:tc>
        <w:tc>
          <w:tcPr>
            <w:tcW w:w="984" w:type="dxa"/>
            <w:tcBorders>
              <w:top w:val="nil"/>
              <w:left w:val="single" w:sz="6" w:space="0" w:color="95B3D7"/>
              <w:bottom w:val="single" w:sz="6" w:space="0" w:color="95B3D7"/>
              <w:right w:val="nil"/>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spacing w:before="0" w:after="0"/>
              <w:jc w:val="both"/>
              <w:rPr>
                <w:color w:val="000000"/>
              </w:rPr>
            </w:pPr>
            <w:r>
              <w:rPr>
                <w:color w:val="000000"/>
                <w:kern w:val="0"/>
                <w:sz w:val="20"/>
                <w:szCs w:val="20"/>
                <w:lang w:bidi="ar-SA"/>
              </w:rPr>
              <w:t>${SRV_VULN_CANVAS}</w:t>
            </w:r>
          </w:p>
        </w:tc>
      </w:tr>
      <w:tr>
        <w:trPr>
          <w:trHeight w:val="315" w:hRule="atLeast"/>
        </w:trPr>
        <w:tc>
          <w:tcPr>
            <w:tcW w:w="9059" w:type="dxa"/>
            <w:gridSpan w:val="11"/>
            <w:tcBorders>
              <w:top w:val="nil"/>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DESCRIPTION</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spacing w:before="0" w:after="0"/>
              <w:jc w:val="both"/>
              <w:rPr>
                <w:kern w:val="0"/>
                <w:sz w:val="20"/>
                <w:szCs w:val="20"/>
                <w:lang w:bidi="ar-SA"/>
              </w:rPr>
            </w:pPr>
            <w:r>
              <w:rPr>
                <w:color w:val="000000"/>
                <w:kern w:val="0"/>
                <w:sz w:val="20"/>
                <w:szCs w:val="20"/>
                <w:lang w:bidi="ar-SA"/>
              </w:rPr>
              <w:t>${</w:t>
            </w:r>
            <w:r>
              <w:rPr>
                <w:b/>
                <w:bCs/>
                <w:color w:val="000000"/>
                <w:kern w:val="0"/>
                <w:sz w:val="20"/>
                <w:szCs w:val="20"/>
                <w:lang w:bidi="ar-SA"/>
              </w:rPr>
              <w:t>SRV</w:t>
            </w:r>
            <w:r>
              <w:rPr>
                <w:color w:val="000000"/>
                <w:kern w:val="0"/>
                <w:sz w:val="20"/>
                <w:szCs w:val="20"/>
                <w:lang w:bidi="ar-SA"/>
              </w:rPr>
              <w:t>_VULN_Desc}</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RÉFÉRENCES</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spacing w:before="0" w:after="0"/>
              <w:jc w:val="both"/>
              <w:rPr>
                <w:kern w:val="0"/>
                <w:sz w:val="20"/>
                <w:szCs w:val="20"/>
                <w:lang w:bidi="ar-SA"/>
              </w:rPr>
            </w:pPr>
            <w:r>
              <w:rPr>
                <w:b/>
                <w:bCs/>
                <w:color w:val="000000"/>
                <w:kern w:val="0"/>
                <w:sz w:val="20"/>
                <w:szCs w:val="20"/>
                <w:lang w:bidi="ar-SA"/>
              </w:rPr>
              <w:t>${SRV_VULN_ref}</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spacing w:before="0" w:after="0"/>
              <w:jc w:val="both"/>
              <w:rPr>
                <w:b/>
                <w:bCs/>
                <w:color w:themeColor="background1" w:val="FFFFFF"/>
                <w:sz w:val="18"/>
                <w:szCs w:val="18"/>
              </w:rPr>
            </w:pPr>
            <w:r>
              <w:rPr>
                <w:b/>
                <w:bCs/>
                <w:color w:themeColor="background1" w:val="FFFFFF"/>
                <w:kern w:val="0"/>
                <w:sz w:val="18"/>
                <w:szCs w:val="18"/>
                <w:lang w:bidi="ar-SA"/>
              </w:rPr>
              <w:t>RECOMMENDATIONS</w:t>
            </w:r>
          </w:p>
        </w:tc>
      </w:tr>
      <w:tr>
        <w:trPr>
          <w:trHeight w:val="315" w:hRule="atLeast"/>
        </w:trPr>
        <w:tc>
          <w:tcPr>
            <w:tcW w:w="9059" w:type="dxa"/>
            <w:gridSpan w:val="11"/>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spacing w:before="0" w:after="0"/>
              <w:jc w:val="both"/>
              <w:rPr>
                <w:kern w:val="0"/>
                <w:sz w:val="20"/>
                <w:szCs w:val="20"/>
                <w:lang w:bidi="ar-SA"/>
              </w:rPr>
            </w:pPr>
            <w:r>
              <w:rPr>
                <w:b/>
                <w:bCs/>
                <w:color w:val="000000"/>
                <w:kern w:val="0"/>
                <w:sz w:val="20"/>
                <w:szCs w:val="20"/>
                <w:lang w:bidi="ar-SA"/>
              </w:rPr>
              <w:t>${SRV_VULN_Recomendations}</w:t>
            </w:r>
          </w:p>
        </w:tc>
      </w:tr>
    </w:tbl>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lang w:val="en-US"/>
        </w:rPr>
        <w:t>${/Block_Vun}</w:t>
      </w:r>
    </w:p>
    <w:p>
      <w:pPr>
        <w:pStyle w:val="Normal"/>
        <w:rPr>
          <w:rFonts w:ascii="Calibri" w:hAnsi="Calibri" w:eastAsia="Times New Roman" w:cs="" w:asciiTheme="minorHAnsi" w:cstheme="minorBidi" w:hAnsiTheme="minorHAnsi"/>
          <w:b/>
          <w:bCs/>
          <w:sz w:val="20"/>
          <w:szCs w:val="20"/>
          <w:lang w:val="en-US"/>
        </w:rPr>
      </w:pPr>
      <w:r>
        <w:rPr>
          <w:rFonts w:eastAsia="Times New Roman" w:cs="" w:cstheme="minorBidi"/>
          <w:b/>
          <w:bCs/>
          <w:sz w:val="20"/>
          <w:szCs w:val="20"/>
          <w:lang w:val="en-US"/>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rFonts w:ascii="Calibri" w:hAnsi="Calibri" w:eastAsia="Times New Roman" w:cs="" w:asciiTheme="minorHAnsi" w:cstheme="minorBidi" w:hAnsiTheme="minorHAnsi"/>
          <w:b/>
          <w:bCs/>
          <w:sz w:val="20"/>
          <w:szCs w:val="20"/>
        </w:rPr>
      </w:pPr>
      <w:r>
        <w:rPr>
          <w:rFonts w:eastAsia="Times New Roman" w:cs="" w:cstheme="minorBidi"/>
          <w:b/>
          <w:bCs/>
          <w:sz w:val="20"/>
          <w:szCs w:val="20"/>
        </w:rPr>
      </w:r>
    </w:p>
    <w:p>
      <w:pPr>
        <w:pStyle w:val="Normal"/>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5009"/>
      <w:gridCol w:w="2286"/>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pPr>
          <w:r>
            <w:rPr/>
            <w:drawing>
              <wp:inline distT="0" distB="0" distL="0" distR="0">
                <wp:extent cx="977265" cy="535940"/>
                <wp:effectExtent l="0" t="0" r="0" b="0"/>
                <wp:docPr id="1"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pPr>
            <w:pStyle w:val="Normal"/>
            <w:rPr/>
          </w:pPr>
          <w:r>
            <w:rPr/>
            <w:t>Projet : 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rPr/>
          </w:pPr>
          <w:r>
            <w:rPr/>
            <w:t>${icon:200:200}</w:t>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5009" w:type="dxa"/>
          <w:tcBorders>
            <w:top w:val="single" w:sz="4" w:space="0" w:color="000000"/>
            <w:left w:val="single" w:sz="4" w:space="0" w:color="000000"/>
            <w:bottom w:val="single" w:sz="4" w:space="0" w:color="000000"/>
            <w:right w:val="single" w:sz="4" w:space="0" w:color="000000"/>
          </w:tcBorders>
          <w:shd w:color="auto" w:fill="C00000" w:val="clear"/>
        </w:tcPr>
        <w:p>
          <w:pPr>
            <w:pStyle w:val="Normal"/>
            <w:rPr/>
          </w:pPr>
          <w:r>
            <w:rPr/>
            <w:t>Rapport Annexe Technique A</w:t>
          </w:r>
        </w:p>
        <w:p>
          <w:pPr>
            <w:pStyle w:val="Normal"/>
            <w:rPr/>
          </w:pPr>
          <w:r>
            <w:rPr/>
            <w:t>Version 1.0</w:t>
          </w:r>
        </w:p>
      </w:tc>
      <w:tc>
        <w:tcPr>
          <w:tcW w:w="2286"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4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554c7f"/>
    <w:pPr>
      <w:widowControl w:val="false"/>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4"/>
      <w:szCs w:val="24"/>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ascii="Calibri" w:hAnsi="Calibri" w:eastAsia="Calibri" w:cs="" w:asciiTheme="minorHAnsi" w:cstheme="minorBidi" w:eastAsiaTheme="minorHAnsi" w:hAnsiTheme="minorHAns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left="720"/>
      <w:contextualSpacing/>
    </w:pPr>
    <w:rPr/>
  </w:style>
  <w:style w:type="paragraph" w:styleId="Footer">
    <w:name w:val="Foot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spacing w:after="0" w:line="240" w:lineRule="auto"/>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
    <w:name w:val="4"/>
    <w:basedOn w:val="TableauNormal"/>
    <w:rsid w:val="00906074"/>
    <w:pPr>
      <w:spacing w:after="0" w:line="240" w:lineRule="auto"/>
    </w:pPr>
    <w:rPr>
      <w:lang w:val="fr-FR" w:eastAsia="fr-FR"/>
    </w:rPr>
    <w:tblPr>
      <w:tblStyleRowBandSize w:val="1"/>
      <w:tblStyleColBandSize w:val="1"/>
      <w:tblCellMar>
        <w:left w:w="115" w:type="dxa"/>
        <w:right w:w="115" w:type="dxa"/>
      </w:tblCellMar>
    </w:tblPr>
  </w:style>
  <w:style w:type="table" w:customStyle="1" w:styleId="3">
    <w:name w:val="3"/>
    <w:basedOn w:val="TableauNormal"/>
    <w:rsid w:val="00906074"/>
    <w:pPr>
      <w:spacing w:after="0" w:line="240" w:lineRule="auto"/>
    </w:pPr>
    <w:rPr>
      <w:lang w:val="fr-FR" w:eastAsia="fr-FR"/>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LibreOffice/7.6.0.3$Windows_X86_64 LibreOffice_project/69edd8b8ebc41d00b4de3915dc82f8f0fc3b6265</Application>
  <AppVersion>15.0000</AppVersion>
  <Pages>6</Pages>
  <Words>337</Words>
  <Characters>2554</Characters>
  <CharactersWithSpaces>2815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2023-09-20T17:02:19Z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