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r>
    </w:p>
    <w:p>
      <w:pPr>
        <w:pStyle w:val="Normal"/>
        <w:rPr>
          <w:b/>
          <w:bCs/>
        </w:rPr>
      </w:pPr>
      <w:r>
        <w:rPr/>
      </w:r>
      <w:r>
        <w:br w:type="page"/>
      </w:r>
    </w:p>
    <w:p>
      <w:pPr>
        <w:pStyle w:val="Heading1"/>
        <w:numPr>
          <w:ilvl w:val="0"/>
          <w:numId w:val="2"/>
        </w:numPr>
        <w:spacing w:before="0" w:after="0"/>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sectPr>
          <w:footerReference w:type="default" r:id="rId3"/>
          <w:type w:val="nextPage"/>
          <w:pgSz w:w="11906" w:h="16838"/>
          <w:pgMar w:left="1418" w:right="1418" w:gutter="0" w:header="0" w:top="284" w:footer="0" w:bottom="1418"/>
          <w:pgNumType w:start="1" w:fmt="decimal"/>
          <w:formProt w:val="false"/>
          <w:textDirection w:val="lrTb"/>
          <w:docGrid w:type="default" w:linePitch="100" w:charSpace="20480"/>
        </w:sectPr>
        <w:pStyle w:val="Normal"/>
        <w:tabs>
          <w:tab w:val="clear" w:pos="720"/>
          <w:tab w:val="left" w:pos="716" w:leader="none"/>
          <w:tab w:val="left" w:pos="717" w:leader="none"/>
        </w:tabs>
        <w:spacing w:lineRule="auto" w:line="360"/>
        <w:jc w:val="both"/>
        <w:rPr>
          <w:rFonts w:eastAsia="Times New Roman" w:cs="" w:cstheme="minorBidi"/>
        </w:rPr>
      </w:pPr>
      <w:r>
        <w:rPr/>
      </w:r>
      <w:bookmarkStart w:id="2" w:name="__RefHeading___Toc1379_1122859626"/>
      <w:bookmarkStart w:id="3" w:name="__RefHeading___Toc963_1071293927_Copie_1"/>
      <w:bookmarkStart w:id="4" w:name="__RefHeading___Toc24120_482658952"/>
      <w:bookmarkStart w:id="5" w:name="_Toc576578888_Copie_1_Copie_1_Copie_1_Co"/>
      <w:bookmarkStart w:id="6" w:name="__RefHeading___Toc1379_1122859626"/>
      <w:bookmarkStart w:id="7" w:name="__RefHeading___Toc963_1071293927_Copie_1"/>
      <w:bookmarkStart w:id="8" w:name="__RefHeading___Toc24120_482658952"/>
      <w:bookmarkStart w:id="9" w:name="_Toc576578888_Copie_1_Copie_1_Copie_1_Co"/>
      <w:bookmarkEnd w:id="6"/>
      <w:bookmarkEnd w:id="7"/>
      <w:bookmarkEnd w:id="8"/>
      <w:bookmarkEnd w:id="9"/>
    </w:p>
    <w:p>
      <w:pPr>
        <w:pStyle w:val="Heading1"/>
        <w:numPr>
          <w:ilvl w:val="0"/>
          <w:numId w:val="0"/>
        </w:numPr>
        <w:ind w:hanging="0" w:left="0" w:right="552"/>
        <w:rPr/>
      </w:pPr>
      <w:r>
        <w:rPr/>
      </w:r>
    </w:p>
    <w:p>
      <w:pPr>
        <w:pStyle w:val="Heading2"/>
        <w:rPr/>
      </w:pPr>
      <w:bookmarkStart w:id="10" w:name="__RefHeading___Toc24122_482658952"/>
      <w:bookmarkStart w:id="11" w:name="_Toc1093378815"/>
      <w:bookmarkEnd w:id="10"/>
      <w:r>
        <w:rPr/>
        <w:t>2. Scan des Vulnérabilités</w:t>
      </w:r>
      <w:bookmarkEnd w:id="11"/>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2"/>
        <w:gridCol w:w="631"/>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12" w:name="_GoBack"/>
            <w:bookmarkStart w:id="13" w:name="_GoBack"/>
            <w:bookmarkEnd w:id="13"/>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color w:val="C9211E"/>
                <w:kern w:val="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val="fr-FR" w:eastAsia="fr-FR" w:bidi="ar-SA"/>
              </w:rPr>
              <w:t>${Hosts_</w:t>
            </w:r>
            <w:r>
              <w:rPr>
                <w:rFonts w:eastAsia="Calibri" w:cs="" w:cstheme="minorBidi"/>
                <w:color w:themeColor="background1" w:val="FFFFFF"/>
                <w:kern w:val="0"/>
                <w:sz w:val="20"/>
                <w:szCs w:val="20"/>
                <w:lang w:bidi="ar-SA"/>
              </w:rPr>
              <w:t>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Hosts_CR</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Hosts_HI</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${Hosts_MD}</w:t>
            </w:r>
          </w:p>
        </w:tc>
        <w:tc>
          <w:tcPr>
            <w:tcW w:w="632" w:type="dxa"/>
            <w:tcBorders>
              <w:top w:val="single" w:sz="8" w:space="0" w:color="000000"/>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${Hosts_LW}</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${Hosts_LW}</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fill="D9E2F3" w:val="clear"/>
            <w:tcMar>
              <w:left w:w="108" w:type="dxa"/>
              <w:right w:w="108" w:type="dxa"/>
            </w:tcMar>
            <w:vAlign w:val="center"/>
          </w:tcPr>
          <w:p>
            <w:pPr>
              <w:pStyle w:val="Normal"/>
              <w:widowControl w:val="false"/>
              <w:suppressAutoHyphens w:val="true"/>
              <w:spacing w:before="0" w:after="0"/>
              <w:jc w:val="center"/>
              <w:rPr/>
            </w:pPr>
            <w:r>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val="fr-FR" w:eastAsia="fr-FR" w:bidi="ar-SA"/>
              </w:rPr>
              <w:t>Hosts_</w:t>
            </w:r>
            <w:r>
              <w:rPr>
                <w:rFonts w:eastAsia="Calibri" w:cs="" w:cstheme="minorBidi"/>
                <w:color w:themeColor="background1" w:val="FFFFFF"/>
                <w:kern w:val="0"/>
                <w:sz w:val="20"/>
                <w:szCs w:val="20"/>
                <w:shd w:fill="C00000" w:val="clear"/>
                <w:lang w:bidi="ar-SA"/>
              </w:rPr>
              <w:t>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Hosts_CR</w:t>
            </w:r>
            <w:r>
              <w:rPr>
                <w:rFonts w:eastAsia="Calibri"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Hosts_HI</w:t>
            </w:r>
            <w:r>
              <w:rPr>
                <w:rFonts w:eastAsia="Calibri" w:cs="" w:cstheme="minorBidi"/>
                <w:b/>
                <w:bCs/>
                <w:color w:themeColor="background1" w:val="FFFFFF"/>
                <w:kern w:val="0"/>
                <w:sz w:val="20"/>
                <w:szCs w:val="20"/>
                <w:lang w:bidi="ar-SA"/>
              </w:rPr>
              <w:t>}</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val="fr-FR" w:eastAsia="fr-FR" w:bidi="ar-SA"/>
              </w:rPr>
              <w:t>Hosts_MD</w:t>
            </w:r>
            <w:r>
              <w:rPr>
                <w:rFonts w:eastAsia="Calibri" w:cs="" w:cstheme="minorBidi"/>
                <w:b/>
                <w:bCs/>
                <w:color w:val="C9211E"/>
                <w:kern w:val="0"/>
                <w:sz w:val="20"/>
                <w:szCs w:val="20"/>
                <w:lang w:bidi="ar-SA"/>
              </w:rPr>
              <w:t>}</w:t>
            </w:r>
          </w:p>
        </w:tc>
        <w:tc>
          <w:tcPr>
            <w:tcW w:w="632" w:type="dxa"/>
            <w:tcBorders>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${TLT_Hosts_LW}</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2"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${TLT_Hosts_NC}</w:t>
            </w:r>
          </w:p>
        </w:tc>
        <w:tc>
          <w:tcPr>
            <w:tcW w:w="631"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${TLT_Hosts_CF}</w:t>
            </w:r>
          </w:p>
        </w:tc>
      </w:tr>
    </w:tbl>
    <w:p>
      <w:pPr>
        <w:sectPr>
          <w:headerReference w:type="default" r:id="rId4"/>
          <w:footerReference w:type="default" r:id="rId5"/>
          <w:footerReference w:type="first" r:id="rId6"/>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14" w:name="__RefHeading___Toc971_1071293927"/>
      <w:bookmarkEnd w:id="14"/>
      <w:r>
        <w:rPr/>
        <w:t>3. Vulnérabilités détectées</w:t>
      </w:r>
    </w:p>
    <w:p>
      <w:pPr>
        <w:pStyle w:val="Heading3"/>
        <w:ind w:hanging="0" w:left="0"/>
        <w:rPr/>
      </w:pPr>
      <w:bookmarkStart w:id="15" w:name="__RefHeading___Toc971_1071293927_Copie_1"/>
      <w:bookmarkEnd w:id="15"/>
      <w:r>
        <w:rPr/>
        <w:t>Vu</w:t>
      </w:r>
      <w:bookmarkStart w:id="16" w:name="_Toc2124445969_Copie_1"/>
      <w:bookmarkEnd w:id="16"/>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1295"/>
        <w:gridCol w:w="5225"/>
        <w:gridCol w:w="1410"/>
        <w:gridCol w:w="880"/>
        <w:gridCol w:w="1629"/>
      </w:tblGrid>
      <w:tr>
        <w:trPr>
          <w:trHeight w:val="300" w:hRule="atLeast"/>
        </w:trPr>
        <w:tc>
          <w:tcPr>
            <w:tcW w:w="129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22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1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8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9" w:type="dxa"/>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29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522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VulnSummary_Exploitability</w:t>
            </w:r>
            <w:r>
              <w:rPr>
                <w:rFonts w:eastAsia="Times New Roman" w:cs="" w:cstheme="minorBidi"/>
                <w:b/>
                <w:bCs/>
                <w:color w:val="000000"/>
                <w:kern w:val="0"/>
                <w:sz w:val="20"/>
                <w:szCs w:val="20"/>
                <w:shd w:fill="auto" w:val="clear"/>
                <w:lang w:bidi="ar-SA"/>
              </w:rPr>
              <w:t>}</w:t>
            </w:r>
          </w:p>
        </w:tc>
        <w:tc>
          <w:tcPr>
            <w:tcW w:w="88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${High_VulnSummary_Risk}</w:t>
            </w:r>
          </w:p>
        </w:tc>
        <w:tc>
          <w:tcPr>
            <w:tcW w:w="522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shd w:fill="auto" w:val="clear"/>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shd w:fill="auto" w:val="clear"/>
                <w:lang w:bidi="ar-SA"/>
              </w:rPr>
              <w:t>}</w:t>
            </w:r>
          </w:p>
        </w:tc>
      </w:tr>
      <w:tr>
        <w:trPr>
          <w:trHeight w:val="300" w:hRule="atLeast"/>
        </w:trPr>
        <w:tc>
          <w:tcPr>
            <w:tcW w:w="129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${Medium_VulnSummary_Risk}</w:t>
            </w:r>
          </w:p>
        </w:tc>
        <w:tc>
          <w:tcPr>
            <w:tcW w:w="522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fill="E8F2A1"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${Low_VulnSummary_Risk}</w:t>
            </w:r>
          </w:p>
        </w:tc>
        <w:tc>
          <w:tcPr>
            <w:tcW w:w="5225"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${Vul</w:t>
            </w:r>
            <w:r>
              <w:rPr>
                <w:rFonts w:eastAsia="Times New Roman" w:cs="Calibri" w:cstheme="minorHAnsi"/>
                <w:b/>
                <w:bCs/>
                <w:color w:val="000000"/>
                <w:kern w:val="0"/>
                <w:sz w:val="20"/>
                <w:szCs w:val="20"/>
                <w:shd w:fill="auto" w:val="clear"/>
                <w:lang w:bidi="ar-SA"/>
              </w:rPr>
              <w:t>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17" w:name="__RefHeading___Toc975_1071293927"/>
      <w:bookmarkStart w:id="18" w:name="__RefHeading___Toc975_1071293927"/>
      <w:bookmarkEnd w:id="18"/>
      <w:r>
        <w:br w:type="page"/>
      </w:r>
    </w:p>
    <w:p>
      <w:pPr>
        <w:pStyle w:val="Heading3"/>
        <w:spacing w:before="0" w:after="120"/>
        <w:ind w:hanging="0" w:left="0"/>
        <w:rPr/>
      </w:pPr>
      <w:bookmarkStart w:id="19" w:name="__RefHeading___Toc971_1071293927_Copie_1"/>
      <w:bookmarkEnd w:id="19"/>
      <w:r>
        <w:rPr/>
        <w:t>Vulnérabilités par criticité par actif</w:t>
      </w:r>
    </w:p>
    <w:tbl>
      <w:tblPr>
        <w:tblW w:w="9975" w:type="dxa"/>
        <w:jc w:val="left"/>
        <w:tblInd w:w="0" w:type="dxa"/>
        <w:tblLayout w:type="fixed"/>
        <w:tblCellMar>
          <w:top w:w="0" w:type="dxa"/>
          <w:left w:w="0" w:type="dxa"/>
          <w:bottom w:w="0" w:type="dxa"/>
          <w:right w:w="0" w:type="dxa"/>
        </w:tblCellMar>
      </w:tblPr>
      <w:tblGrid>
        <w:gridCol w:w="453"/>
        <w:gridCol w:w="1582"/>
        <w:gridCol w:w="4979"/>
        <w:gridCol w:w="1042"/>
        <w:gridCol w:w="1156"/>
        <w:gridCol w:w="762"/>
      </w:tblGrid>
      <w:tr>
        <w:trPr/>
        <w:tc>
          <w:tcPr>
            <w:tcW w:w="453" w:type="dxa"/>
            <w:vMerge w:val="restart"/>
            <w:tcBorders/>
          </w:tcPr>
          <w:p>
            <w:pPr>
              <w:pStyle w:val="Normal"/>
              <w:widowControl w:val="false"/>
              <w:suppressAutoHyphens w:val="true"/>
              <w:spacing w:before="0" w:after="0"/>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521" w:type="dxa"/>
            <w:gridSpan w:val="5"/>
            <w:tcBorders/>
          </w:tcPr>
          <w:p>
            <w:pPr>
              <w:pStyle w:val="TOC4"/>
              <w:numPr>
                <w:ilvl w:val="0"/>
                <w:numId w:val="0"/>
              </w:numPr>
              <w:ind w:hanging="0" w:left="720"/>
              <w:rPr>
                <w:b/>
                <w:bCs/>
              </w:rPr>
            </w:pPr>
            <w:r>
              <w:rPr>
                <w:b/>
                <w:bCs/>
              </w:rPr>
            </w:r>
          </w:p>
          <w:p>
            <w:pPr>
              <w:pStyle w:val="TOC4"/>
              <w:rPr>
                <w:b/>
                <w:bCs/>
              </w:rPr>
            </w:pPr>
            <w:r>
              <w:rPr>
                <w:b/>
                <w:bCs/>
              </w:rPr>
            </w:r>
          </w:p>
          <w:p>
            <w:pPr>
              <w:pStyle w:val="Titre"/>
              <w:numPr>
                <w:ilvl w:val="0"/>
                <w:numId w:val="3"/>
              </w:numPr>
              <w:jc w:val="center"/>
              <w:rPr>
                <w:b/>
                <w:bCs/>
              </w:rPr>
            </w:pPr>
            <w:r>
              <w:rPr>
                <w:b/>
                <w:bCs/>
              </w:rPr>
              <w:t xml:space="preserve">    </w:t>
            </w:r>
            <w:r>
              <w:rPr>
                <w:b/>
                <w:bCs/>
              </w:rPr>
              <w:t>${VulnPerHost_host_ip}</w:t>
            </w:r>
          </w:p>
          <w:p>
            <w:pPr>
              <w:pStyle w:val="TOC4"/>
              <w:rPr>
                <w:b/>
                <w:bCs/>
              </w:rPr>
            </w:pPr>
            <w:r>
              <w:rPr>
                <w:b/>
                <w:bCs/>
              </w:rPr>
            </w:r>
          </w:p>
          <w:p>
            <w:pPr>
              <w:pStyle w:val="TOC4"/>
              <w:rPr>
                <w:b/>
                <w:bCs/>
              </w:rPr>
            </w:pPr>
            <w:r>
              <w:rPr>
                <w:b/>
                <w:bCs/>
              </w:rPr>
            </w:r>
          </w:p>
        </w:tc>
      </w:tr>
      <w:tr>
        <w:trPr/>
        <w:tc>
          <w:tcPr>
            <w:tcW w:w="453" w:type="dxa"/>
            <w:vMerge w:val="continue"/>
            <w:tcBorders/>
          </w:tcPr>
          <w:p>
            <w:pPr>
              <w:pStyle w:val="Contenudetableau"/>
              <w:rPr>
                <w:color w:val="FFFFFF"/>
              </w:rPr>
            </w:pPr>
            <w:r>
              <w:rPr>
                <w:color w:val="FFFFFF"/>
              </w:rPr>
            </w:r>
          </w:p>
        </w:tc>
        <w:tc>
          <w:tcPr>
            <w:tcW w:w="158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Gravité</w:t>
            </w:r>
          </w:p>
        </w:tc>
        <w:tc>
          <w:tcPr>
            <w:tcW w:w="4979"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Vulnérabilité</w:t>
            </w:r>
          </w:p>
        </w:tc>
        <w:tc>
          <w:tcPr>
            <w:tcW w:w="104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kern w:val="0"/>
                <w:sz w:val="20"/>
                <w:szCs w:val="20"/>
                <w:lang w:val="fr-FR" w:eastAsia="fr-FR" w:bidi="ar-SA"/>
              </w:rPr>
              <w:t>Exploitabilité</w:t>
            </w:r>
          </w:p>
        </w:tc>
        <w:tc>
          <w:tcPr>
            <w:tcW w:w="1156"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Ports</w:t>
            </w:r>
          </w:p>
        </w:tc>
        <w:tc>
          <w:tcPr>
            <w:tcW w:w="762" w:type="dxa"/>
            <w:tcBorders>
              <w:top w:val="single" w:sz="4" w:space="0" w:color="000000"/>
              <w:left w:val="single" w:sz="4" w:space="0" w:color="000000"/>
              <w:bottom w:val="single" w:sz="4" w:space="0" w:color="000000"/>
              <w:right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Age</w:t>
            </w:r>
          </w:p>
        </w:tc>
      </w:tr>
      <w:tr>
        <w:trPr/>
        <w:tc>
          <w:tcPr>
            <w:tcW w:w="453"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${Critical_VulnPerHost_Risk}</w:t>
            </w:r>
          </w:p>
        </w:tc>
        <w:tc>
          <w:tcPr>
            <w:tcW w:w="4979"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Synopsis_ToBeClean</w:t>
            </w:r>
          </w:p>
          <w:p>
            <w:pPr>
              <w:pStyle w:val="Normal"/>
              <w:widowControl w:val="false"/>
              <w:suppressAutoHyphens w:val="true"/>
              <w:spacing w:before="0" w:after="0"/>
              <w:jc w:val="left"/>
              <w:rPr/>
            </w:pPr>
            <w:r>
              <w:rPr>
                <w:rFonts w:eastAsia="Times New Roman" w:cs="" w:cstheme="minorBidi"/>
                <w:b/>
                <w:bCs/>
                <w:color w:val="FFFFFF"/>
                <w:kern w:val="0"/>
                <w:sz w:val="20"/>
                <w:szCs w:val="20"/>
                <w:lang w:bidi="ar-SA"/>
              </w:rPr>
              <w:t>}</w:t>
            </w:r>
          </w:p>
          <w:p>
            <w:pPr>
              <w:pStyle w:val="Normal"/>
              <w:widowControl w:val="false"/>
              <w:suppressAutoHyphens w:val="true"/>
              <w:spacing w:before="0" w:after="0"/>
              <w:jc w:val="left"/>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color w:val="FFFFFF"/>
                <w:kern w:val="0"/>
                <w:sz w:val="20"/>
                <w:szCs w:val="20"/>
                <w:shd w:fill="auto" w:val="clear"/>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w:t>
            </w:r>
          </w:p>
        </w:tc>
        <w:tc>
          <w:tcPr>
            <w:tcW w:w="104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53"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${High_VulnPerHost_Risk}</w:t>
            </w:r>
          </w:p>
        </w:tc>
        <w:tc>
          <w:tcPr>
            <w:tcW w:w="4979"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w:t>
            </w:r>
            <w:r>
              <w:rPr>
                <w:rFonts w:eastAsia="Times New Roman" w:cs="" w:cstheme="minorBidi"/>
                <w:b/>
                <w:bCs/>
                <w:color w:val="FFFFFF"/>
                <w:kern w:val="0"/>
                <w:sz w:val="20"/>
                <w:szCs w:val="20"/>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b w:val="false"/>
                <w:bCs w:val="false"/>
                <w:color w:val="FFFFFF"/>
                <w:kern w:val="0"/>
                <w:sz w:val="20"/>
                <w:szCs w:val="20"/>
                <w:lang w:bidi="ar-SA"/>
              </w:rPr>
              <w:t>_ToBeClean}</w:t>
            </w:r>
          </w:p>
        </w:tc>
        <w:tc>
          <w:tcPr>
            <w:tcW w:w="104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53"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${Medium_VulnPerHost_Risk}</w:t>
            </w:r>
          </w:p>
        </w:tc>
        <w:tc>
          <w:tcPr>
            <w:tcW w:w="4979"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000000"/>
                <w:kern w:val="0"/>
                <w:sz w:val="20"/>
                <w:szCs w:val="20"/>
                <w:lang w:bidi="ar-SA"/>
              </w:rPr>
              <w:t>${VulnPerHost_</w:t>
            </w:r>
            <w:r>
              <w:rPr>
                <w:rFonts w:eastAsia="Times New Roman" w:cs="" w:cstheme="minorBidi"/>
                <w:b w:val="false"/>
                <w:bCs w:val="false"/>
                <w:color w:val="000000"/>
                <w:kern w:val="0"/>
                <w:sz w:val="20"/>
                <w:szCs w:val="20"/>
                <w:shd w:fill="auto" w:val="clear"/>
                <w:lang w:bidi="ar-SA"/>
              </w:rPr>
              <w:t>Name</w:t>
            </w:r>
            <w:r>
              <w:rPr>
                <w:rFonts w:eastAsia="Times New Roman" w:cs="" w:cstheme="minorBidi"/>
                <w:b w:val="false"/>
                <w:bCs w:val="false"/>
                <w:color w:val="000000"/>
                <w:kern w:val="0"/>
                <w:sz w:val="20"/>
                <w:szCs w:val="20"/>
                <w:lang w:bidi="ar-SA"/>
              </w:rPr>
              <w:t>_ToBeClean}</w:t>
            </w:r>
          </w:p>
        </w:tc>
        <w:tc>
          <w:tcPr>
            <w:tcW w:w="104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r>
        <w:trPr/>
        <w:tc>
          <w:tcPr>
            <w:tcW w:w="453"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${Low_VulnPerHost_Risk}</w:t>
            </w:r>
          </w:p>
        </w:tc>
        <w:tc>
          <w:tcPr>
            <w:tcW w:w="4979"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111111"/>
                <w:kern w:val="0"/>
                <w:sz w:val="20"/>
                <w:szCs w:val="20"/>
                <w:lang w:bidi="ar-SA"/>
              </w:rPr>
              <w:t>${VulnPerHost_</w:t>
            </w:r>
            <w:r>
              <w:rPr>
                <w:rFonts w:eastAsia="Times New Roman" w:cs="" w:cstheme="minorBidi"/>
                <w:b w:val="false"/>
                <w:bCs w:val="false"/>
                <w:color w:val="111111"/>
                <w:kern w:val="0"/>
                <w:sz w:val="20"/>
                <w:szCs w:val="20"/>
                <w:shd w:fill="auto" w:val="clear"/>
                <w:lang w:bidi="ar-SA"/>
              </w:rPr>
              <w:t>Name</w:t>
            </w:r>
            <w:r>
              <w:rPr>
                <w:rFonts w:eastAsia="Times New Roman" w:cs="" w:cstheme="minorBidi"/>
                <w:b w:val="false"/>
                <w:bCs w:val="false"/>
                <w:color w:val="111111"/>
                <w:kern w:val="0"/>
                <w:sz w:val="20"/>
                <w:szCs w:val="20"/>
                <w:lang w:bidi="ar-SA"/>
              </w:rPr>
              <w:t>_ToBeClean}</w:t>
            </w:r>
          </w:p>
        </w:tc>
        <w:tc>
          <w:tcPr>
            <w:tcW w:w="104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bl>
    <w:p>
      <w:pPr>
        <w:pStyle w:val="BodyText"/>
        <w:spacing w:before="0" w:after="140"/>
        <w:ind w:hanging="0" w:left="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7"/>
      <w:headerReference w:type="first" r:id="rId8"/>
      <w:footerReference w:type="default" r:id="rId9"/>
      <w:footerReference w:type="first" r:id="rId10"/>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2"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3"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2"/>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2675</TotalTime>
  <Application>LibreOffice/7.6.0.3$Windows_X86_64 LibreOffice_project/69edd8b8ebc41d00b4de3915dc82f8f0fc3b6265</Application>
  <AppVersion>15.0000</AppVersion>
  <Pages>8</Pages>
  <Words>366</Words>
  <Characters>3244</Characters>
  <CharactersWithSpaces>3480</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2023-10-04T14:10:42Z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file>