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0">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Rapport Annexe Techniqu</w:t>
      </w:r>
      <w:r>
        <w:rPr>
          <w:rFonts w:eastAsia="Times New Roman" w:cs="" w:cstheme="minorBidi"/>
          <w:b/>
          <w:bCs/>
          <w:sz w:val="40"/>
          <w:szCs w:val="40"/>
        </w:rPr>
        <w:t>e A</w:t>
      </w:r>
      <w:r>
        <w:rPr>
          <w:rFonts w:eastAsia="Times New Roman" w:cs="" w:cstheme="minorBidi"/>
          <w:b/>
          <w:bCs/>
          <w:color w:val="C00000"/>
          <w:sz w:val="40"/>
          <w:szCs w:val="40"/>
        </w:rPr>
        <w:t xml:space="preserve"> </w:t>
      </w:r>
    </w:p>
    <w:p>
      <w:pPr>
        <w:pStyle w:val="Normal"/>
        <w:spacing w:lineRule="auto" w:line="360"/>
        <w:rPr>
          <w:rFonts w:ascii="Calibri" w:hAnsi="Calibri" w:eastAsia="Times New Roman" w:cs="" w:cstheme="minorBidi"/>
          <w:b/>
          <w:bCs/>
          <w:sz w:val="40"/>
          <w:szCs w:val="40"/>
        </w:rPr>
      </w:pPr>
      <w:r>
        <w:rPr>
          <w:rFonts w:eastAsia="Times New Roman" w:cs="" w:cstheme="minorBidi"/>
          <w:b/>
          <w:bCs/>
          <w:sz w:val="40"/>
          <w:szCs w:val="40"/>
        </w:rPr>
        <w:t>Version 1.0</w:t>
      </w:r>
    </w:p>
    <w:p>
      <w:pPr>
        <w:pStyle w:val="Normal"/>
        <w:spacing w:lineRule="auto" w:line="360"/>
        <w:rPr>
          <w:rFonts w:ascii="Calibri" w:hAnsi="Calibri" w:eastAsia="Times New Roman" w:cs="" w:cstheme="minorBidi"/>
          <w:b/>
          <w:bCs/>
          <w:sz w:val="40"/>
          <w:szCs w:val="40"/>
        </w:rPr>
      </w:pPr>
      <w:bookmarkStart w:id="0" w:name="_Hlk148431107"/>
      <w:r>
        <w:rPr>
          <w:rFonts w:eastAsia="Times New Roman" w:cs="" w:cstheme="minorBidi"/>
          <w:b/>
          <w:bCs/>
          <w:sz w:val="28"/>
          <w:szCs w:val="28"/>
          <w:lang w:val="fr-FR" w:eastAsia="fr-FR"/>
        </w:rPr>
        <w:t xml:space="preserve">${LN} - </w:t>
      </w:r>
      <w:bookmarkEnd w:id="0"/>
      <w:r>
        <w:rPr>
          <w:rFonts w:eastAsia="Times New Roman" w:cs="" w:cstheme="minorBidi"/>
          <w:b/>
          <w:bCs/>
          <w:sz w:val="28"/>
          <w:szCs w:val="28"/>
          <w:lang w:val="fr-FR" w:eastAsia="fr-FR"/>
        </w:rPr>
        <w:t xml:space="preserve">${Y} </w:t>
      </w:r>
    </w:p>
    <w:p>
      <w:pPr>
        <w:pStyle w:val="Normal"/>
        <w:ind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1527203953"/>
      </w:sdtPr>
      <w:sdtContent>
        <w:p>
          <w:pPr>
            <w:pStyle w:val="TOCHeading"/>
            <w:rPr/>
          </w:pPr>
          <w:r>
            <w:rPr/>
          </w:r>
        </w:p>
        <w:p>
          <w:pPr>
            <w:pStyle w:val="TOC1"/>
            <w:tabs>
              <w:tab w:val="clear" w:pos="720"/>
              <w:tab w:val="left" w:pos="440" w:leader="none"/>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24878_929166059">
            <w:r>
              <w:rPr>
                <w:rStyle w:val="Sautdindex"/>
              </w:rPr>
              <w:t>I.</w:t>
              <w:tab/>
              <w:t>Audit Technique des ${SRV_TITLE}</w:t>
              <w:tab/>
              <w:t>3</w:t>
            </w:r>
          </w:hyperlink>
        </w:p>
        <w:p>
          <w:pPr>
            <w:pStyle w:val="TOC3"/>
            <w:tabs>
              <w:tab w:val="clear" w:pos="8503"/>
              <w:tab w:val="left" w:pos="1320" w:leader="none"/>
              <w:tab w:val="right" w:pos="9070" w:leader="dot"/>
            </w:tabs>
            <w:rPr/>
          </w:pPr>
          <w:hyperlink w:anchor="__RefHeading___Toc24880_929166059">
            <w:r>
              <w:rPr>
                <w:rStyle w:val="Sautdindex"/>
              </w:rPr>
              <w:t>i.</w:t>
              <w:tab/>
              <w:t>Statistiques globales (${TLT_} ${SRV_TITLE})</w:t>
              <w:tab/>
              <w:t>3</w:t>
            </w:r>
          </w:hyperlink>
        </w:p>
        <w:p>
          <w:pPr>
            <w:pStyle w:val="TOC3"/>
            <w:tabs>
              <w:tab w:val="clear" w:pos="8503"/>
              <w:tab w:val="left" w:pos="1320" w:leader="none"/>
              <w:tab w:val="right" w:pos="9070" w:leader="dot"/>
            </w:tabs>
            <w:rPr/>
          </w:pPr>
          <w:hyperlink w:anchor="__RefHeading___Toc24882_929166059">
            <w:r>
              <w:rPr>
                <w:rStyle w:val="Sautdindex"/>
              </w:rPr>
              <w:t>ii.</w:t>
              <w:tab/>
              <w:t>Efficacités de gestion des vulnérabilités</w:t>
              <w:tab/>
              <w:t>5</w:t>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1" w:name="__RefHeading___Toc24878_929166059"/>
      <w:bookmarkStart w:id="2" w:name="_Toc148430315"/>
      <w:bookmarkStart w:id="3" w:name="_Toc1208692934"/>
      <w:bookmarkEnd w:id="1"/>
      <w:r>
        <w:rPr/>
        <w:t xml:space="preserve">Audit Technique des </w:t>
      </w:r>
      <w:bookmarkEnd w:id="3"/>
      <w:r>
        <w:rPr/>
        <w:t>${SRV_TITLE}</w:t>
      </w:r>
      <w:bookmarkEnd w:id="2"/>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3"/>
        </w:numPr>
        <w:tabs>
          <w:tab w:val="clear" w:pos="720"/>
          <w:tab w:val="left" w:pos="0" w:leader="none"/>
        </w:tabs>
        <w:ind w:hanging="0" w:left="0"/>
        <w:rPr>
          <w:sz w:val="24"/>
          <w:szCs w:val="24"/>
        </w:rPr>
      </w:pPr>
      <w:bookmarkStart w:id="4" w:name="__RefHeading___Toc24880_929166059"/>
      <w:bookmarkStart w:id="5" w:name="_Toc148430316"/>
      <w:bookmarkEnd w:id="4"/>
      <w:r>
        <w:rPr>
          <w:sz w:val="24"/>
          <w:szCs w:val="24"/>
        </w:rPr>
        <w:t>Statistiques globales</w:t>
      </w:r>
      <w:bookmarkEnd w:id="5"/>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jc w:val="center"/>
              <w:rPr/>
            </w:pPr>
            <w:r>
              <w:rPr>
                <w:rFonts w:cs="" w:cstheme="minorBidi"/>
                <w:color w:val="C9211E"/>
                <w:sz w:val="24"/>
                <w:lang w:eastAsia="en-US"/>
              </w:rPr>
              <w:t>${V_Global:375:375}</w:t>
            </w:r>
          </w:p>
          <w:p>
            <w:pPr>
              <w:pStyle w:val="Contenudecadr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color="auto" w:fill="FF3838" w:val="clear"/>
          </w:tcPr>
          <w:p>
            <w:pPr>
              <w:pStyle w:val="Normal"/>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color="auto" w:fill="FFA6A6" w:val="clear"/>
          </w:tcPr>
          <w:p>
            <w:pPr>
              <w:pStyle w:val="Normal"/>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r>
        <w:br w:type="page"/>
      </w:r>
    </w:p>
    <w:p>
      <w:pPr>
        <w:pStyle w:val="Heading3"/>
        <w:numPr>
          <w:ilvl w:val="0"/>
          <w:numId w:val="3"/>
        </w:numPr>
        <w:tabs>
          <w:tab w:val="clear" w:pos="720"/>
          <w:tab w:val="left" w:pos="0" w:leader="none"/>
        </w:tabs>
        <w:spacing w:before="0" w:after="120"/>
        <w:ind w:hanging="0" w:left="0"/>
        <w:rPr>
          <w:sz w:val="24"/>
          <w:szCs w:val="24"/>
        </w:rPr>
      </w:pPr>
      <w:bookmarkStart w:id="6" w:name="__RefHeading___Toc24882_929166059"/>
      <w:bookmarkStart w:id="7" w:name="_Toc148430317"/>
      <w:bookmarkEnd w:id="6"/>
      <w:r>
        <w:rPr>
          <w:sz w:val="24"/>
          <w:szCs w:val="24"/>
        </w:rPr>
        <w:t>Efficacités de gestion des vulnérabilités</w:t>
      </w:r>
      <w:bookmarkEnd w:id="7"/>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${Low_730 days +}</w:t>
            </w:r>
          </w:p>
        </w:tc>
      </w:tr>
    </w:tbl>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8672"/>
        </w:sectPr>
      </w:pPr>
    </w:p>
    <w:p>
      <w:pPr>
        <w:pStyle w:val="Normal"/>
        <w:rPr>
          <w:rFonts w:eastAsia="Times New Roman" w:cs="" w:cstheme="minorBidi"/>
          <w:sz w:val="20"/>
          <w:szCs w:val="20"/>
          <w:lang w:val="en-US"/>
        </w:rPr>
      </w:pPr>
      <w:r>
        <w:rPr>
          <w:rFonts w:eastAsia="Times New Roman" w:cs="" w:cstheme="minorBidi"/>
          <w:sz w:val="20"/>
          <w:szCs w:val="20"/>
          <w:lang w:val="en-US"/>
        </w:rPr>
      </w:r>
    </w:p>
    <w:sectPr>
      <w:type w:val="continuous"/>
      <w:pgSz w:w="11906" w:h="16838"/>
      <w:pgMar w:left="1418" w:right="1418" w:gutter="0" w:header="284" w:top="1949" w:footer="0" w:bottom="1418"/>
      <w:formProt w:val="false"/>
      <w:textDirection w:val="lrTb"/>
      <w:docGrid w:type="default" w:linePitch="299"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_d0_f1">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5</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ind w:left="-115"/>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bookmarkStart w:id="8" w:name="_Hlk148093878"/>
          <w:bookmarkEnd w:id="8"/>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bookmarkStart w:id="9" w:name="_Hlk148093878_Copie_1"/>
          <w:bookmarkStart w:id="10" w:name="_Hlk148093878_Copie_1"/>
          <w:bookmarkEnd w:id="10"/>
        </w:p>
      </w:tc>
    </w:tr>
  </w:tbl>
  <w:p>
    <w:pPr>
      <w:pStyle w:val="Normal"/>
      <w:rPr/>
    </w:pPr>
    <w:r>
      <w:rP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2059305"/>
          <wp:effectExtent l="0" t="0" r="0" b="0"/>
          <wp:wrapNone/>
          <wp:docPr id="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 descr=""/>
                  <pic:cNvPicPr>
                    <a:picLocks noChangeAspect="1" noChangeArrowheads="1"/>
                  </pic:cNvPicPr>
                </pic:nvPicPr>
                <pic:blipFill>
                  <a:blip r:embed="rId2"/>
                  <a:stretch>
                    <a:fillRect/>
                  </a:stretch>
                </pic:blipFill>
                <pic:spPr bwMode="auto">
                  <a:xfrm>
                    <a:off x="0" y="0"/>
                    <a:ext cx="7783195" cy="205930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ind w:left="-115"/>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Heading1Ch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Heading2Ch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627342"/>
    <w:rPr>
      <w:rFonts w:ascii="Calibri" w:hAnsi="Calibri" w:eastAsia="" w:cs="Calibri" w:eastAsiaTheme="majorEastAsia"/>
      <w:b/>
      <w:bCs/>
      <w:lang w:val="fr-FR" w:eastAsia="fr-FR"/>
    </w:rPr>
  </w:style>
  <w:style w:type="character" w:styleId="HeaderChar" w:customStyle="1">
    <w:name w:val="Header Ch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Heading2Char" w:customStyle="1">
    <w:name w:val="Heading 2 Ch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ListParagraphChar" w:customStyle="1">
    <w:name w:val="List Paragraph Char"/>
    <w:basedOn w:val="DefaultParagraphFont"/>
    <w:link w:val="ListParagraph"/>
    <w:uiPriority w:val="34"/>
    <w:qFormat/>
    <w:rsid w:val="002320fd"/>
    <w:rPr>
      <w:rFonts w:ascii="Calibri" w:hAnsi="Calibri" w:eastAsia="Calibri" w:cs="Calibri"/>
      <w:lang w:val="fr-FR" w:eastAsia="fr-FR"/>
    </w:rPr>
  </w:style>
  <w:style w:type="character" w:styleId="BalloonTextChar" w:customStyle="1">
    <w:name w:val="Balloon Text Ch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FooterChar" w:customStyle="1">
    <w:name w:val="Footer Ch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HeaderCh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ListParagraphChar"/>
    <w:uiPriority w:val="34"/>
    <w:qFormat/>
    <w:rsid w:val="008240a0"/>
    <w:pPr>
      <w:spacing w:before="0" w:after="0"/>
      <w:ind w:left="720"/>
      <w:contextualSpacing/>
    </w:pPr>
    <w:rPr/>
  </w:style>
  <w:style w:type="paragraph" w:styleId="Footer">
    <w:name w:val="Footer"/>
    <w:basedOn w:val="En-tteetpieddepage"/>
    <w:link w:val="FooterCh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BalloonTextCh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left="220"/>
    </w:pPr>
    <w:rPr/>
  </w:style>
  <w:style w:type="paragraph" w:styleId="TOC3">
    <w:name w:val="TOC 3"/>
    <w:basedOn w:val="Index"/>
    <w:uiPriority w:val="39"/>
    <w:pPr>
      <w:tabs>
        <w:tab w:val="clear" w:pos="720"/>
        <w:tab w:val="right" w:pos="8503" w:leader="dot"/>
      </w:tabs>
      <w:ind w:left="567"/>
    </w:pPr>
    <w:rPr/>
  </w:style>
  <w:style w:type="paragraph" w:styleId="TOC4">
    <w:name w:val="TOC 4"/>
    <w:basedOn w:val="Index"/>
    <w:pPr>
      <w:tabs>
        <w:tab w:val="clear" w:pos="720"/>
        <w:tab w:val="right" w:pos="8220" w:leader="dot"/>
      </w:tabs>
      <w:ind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customStyle="1">
    <w:name w:val="index heading1"/>
    <w:basedOn w:val="Titre1"/>
    <w:qFormat/>
    <w:pPr>
      <w:suppressLineNumbers/>
    </w:pPr>
    <w:rPr>
      <w:b/>
      <w:bCs/>
      <w:sz w:val="32"/>
      <w:szCs w:val="32"/>
    </w:rPr>
  </w:style>
  <w:style w:type="paragraph" w:styleId="Indexheading2">
    <w:name w:val="index heading2"/>
    <w:basedOn w:val="Title"/>
    <w:qFormat/>
    <w:pPr/>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Normal"/>
    <w:rsid w:val="00906074"/>
    <w:rPr>
      <w:lang w:val="fr-FR" w:eastAsia="fr-FR"/>
    </w:rPr>
    <w:tblPr>
      <w:tblStyleRowBandSize w:val="1"/>
      <w:tblStyleColBandSize w:val="1"/>
      <w:tblCellMar>
        <w:left w:w="115" w:type="dxa"/>
        <w:right w:w="115" w:type="dxa"/>
      </w:tblCellMar>
    </w:tblPr>
  </w:style>
  <w:style w:type="table" w:customStyle="1" w:styleId="3">
    <w:name w:val="3"/>
    <w:basedOn w:val="TableNormal"/>
    <w:rsid w:val="00906074"/>
    <w:rPr>
      <w:lang w:val="fr-FR" w:eastAsia="fr-FR"/>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09C0-D343-459D-8AAB-83B6B93D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Application>LibreOffice/7.6.0.3$Windows_X86_64 LibreOffice_project/69edd8b8ebc41d00b4de3915dc82f8f0fc3b6265</Application>
  <AppVersion>15.0000</AppVersion>
  <Pages>5</Pages>
  <Words>377</Words>
  <Characters>2182</Characters>
  <CharactersWithSpaces>2477</CharactersWithSpaces>
  <Paragraphs>88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2023-10-23T17:01:03Z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