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2" w:name="_Hlk148431107"/>
      <w:r>
        <w:rPr>
          <w:rFonts w:eastAsia="Times New Roman" w:cs="" w:cstheme="min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${LN} - </w:t>
      </w:r>
      <w:bookmarkEnd w:id="2"/>
      <w:r>
        <w:rPr>
          <w:rFonts w:eastAsia="Times New Roman" w:cs="" w:cstheme="min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${Y} </w:t>
      </w:r>
    </w:p>
    <w:p>
      <w:pPr>
        <w:pStyle w:val="Normal"/>
        <w:ind w:hanging="0"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3" w:name="__RefHeading___Toc975_1071293927"/>
      <w:bookmarkEnd w:id="3"/>
      <w:r>
        <w:rPr/>
        <w:t xml:space="preserve"> </w:t>
      </w:r>
      <w:bookmarkStart w:id="4" w:name="_Toc63404768"/>
      <w:r>
        <w:rPr/>
        <w:t>Détails des Vulnérabilités</w:t>
      </w:r>
      <w:bookmarkEnd w:id="4"/>
      <w:r>
        <w:rPr>
          <w:rFonts w:eastAsia="Times New Roman" w:cs="" w:cstheme="minorBidi"/>
        </w:rPr>
        <w:t xml:space="preserve"> détectées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61"/>
        <w:gridCol w:w="1412"/>
        <w:gridCol w:w="1155"/>
        <w:gridCol w:w="549"/>
        <w:gridCol w:w="996"/>
        <w:gridCol w:w="26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>
                <w:b/>
                <w:bCs/>
                <w:color w:val="355269"/>
              </w:rPr>
            </w:pPr>
            <w:r>
              <w:rPr>
                <w:b/>
                <w:bCs/>
                <w:color w:val="355269"/>
              </w:rPr>
              <w:t>${VulnDetails_Name</w:t>
            </w:r>
            <w:r>
              <w:rPr>
                <w:rFonts w:eastAsia="Calibri"/>
                <w:b/>
                <w:bCs/>
                <w:color w:val="35526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b/>
                <w:bCs/>
                <w:color w:val="355269"/>
              </w:rPr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Ports associés</w:t>
            </w:r>
          </w:p>
        </w:tc>
        <w:tc>
          <w:tcPr>
            <w:tcW w:w="7417" w:type="dxa"/>
            <w:gridSpan w:val="8"/>
            <w:tcBorders>
              <w:top w:val="nil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${VulnDetails_Hosts_ports}</w:t>
            </w:r>
          </w:p>
        </w:tc>
      </w:tr>
      <w:tr>
        <w:trPr>
          <w:trHeight w:val="447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Exploitable :</w:t>
            </w:r>
          </w:p>
        </w:tc>
        <w:tc>
          <w:tcPr>
            <w:tcW w:w="1757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${VulnDetails_available}</w:t>
            </w:r>
          </w:p>
        </w:tc>
        <w:tc>
          <w:tcPr>
            <w:tcW w:w="141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Par Malware :</w:t>
            </w:r>
          </w:p>
        </w:tc>
        <w:tc>
          <w:tcPr>
            <w:tcW w:w="1155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${VulnDetails_malware}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Age de la vulnérabilité:</w:t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  <w:t>${VulnDetails_Age}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Metasploit</w:t>
            </w:r>
          </w:p>
        </w:tc>
        <w:tc>
          <w:tcPr>
            <w:tcW w:w="1757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${VulnDetails_Metasploit}</w:t>
            </w:r>
          </w:p>
        </w:tc>
        <w:tc>
          <w:tcPr>
            <w:tcW w:w="1412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Core Impact</w:t>
            </w:r>
          </w:p>
        </w:tc>
        <w:tc>
          <w:tcPr>
            <w:tcW w:w="1155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${VulnDetails_Core_Impact}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CANVAS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${VulnDetails_CANVAS}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${VulnDetails_PluginOutput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9053830"/>
          <wp:effectExtent l="0" t="0" r="0" b="0"/>
          <wp:wrapNone/>
          <wp:docPr id="3" name="Imag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9053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widowControl w:val="false"/>
            <w:jc w:val="center"/>
            <w:rPr/>
          </w:pPr>
          <w:bookmarkStart w:id="5" w:name="_Hlk148093878"/>
          <w:bookmarkEnd w:id="5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widowControl w:val="false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widowControl w:val="fals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widowControl w:val="fals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widowControl w:val="false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widowControl w:val="false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  <w:bookmarkStart w:id="6" w:name="_Hlk148093878_Copie_1"/>
          <w:bookmarkStart w:id="7" w:name="_Hlk148093878_Copie_1"/>
          <w:bookmarkEnd w:id="7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hanging="0"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874A9-5B5A-4AF7-9C56-B5CEA711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LibreOffice/7.6.0.3$Windows_X86_64 LibreOffice_project/69edd8b8ebc41d00b4de3915dc82f8f0fc3b6265</Application>
  <AppVersion>15.0000</AppVersion>
  <Pages>2</Pages>
  <Words>97</Words>
  <Characters>954</Characters>
  <CharactersWithSpaces>1011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2023-10-22T09:20:25Z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