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6.xml" ContentType="application/vnd.openxmlformats-officedocument.wordprocessingml.foot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6.xml.rels" ContentType="application/vnd.openxmlformats-package.relationships+xml"/>
  <Override PartName="/word/_rels/document.xml.rels" ContentType="application/vnd.openxmlformats-package.relationships+xml"/>
  <Override PartName="/word/_rels/header3.xml.rels" ContentType="application/vnd.openxmlformats-package.relationships+xml"/>
  <Override PartName="/word/_rels/footer1.xml.rels" ContentType="application/vnd.openxmlformats-package.relationships+xml"/>
  <Override PartName="/word/_rels/footer2.xml.rels" ContentType="application/vnd.openxmlformats-package.relationships+xml"/>
  <Override PartName="/word/_rels/header5.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0" w:after="0"/>
        <w:ind w:hanging="720" w:left="1080" w:right="552"/>
        <w:rPr/>
      </w:pPr>
      <w:bookmarkStart w:id="0" w:name="_Toc148430315"/>
      <w:bookmarkStart w:id="1" w:name="_Toc1208692934"/>
      <w:r>
        <w:rPr/>
        <w:t xml:space="preserve">Audit Technique des </w:t>
      </w:r>
      <w:bookmarkEnd w:id="1"/>
      <w:r>
        <w:rPr/>
        <w:t>${SRV_TITLE}</w:t>
      </w:r>
      <w:bookmarkEnd w:id="0"/>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3"/>
        <w:numPr>
          <w:ilvl w:val="0"/>
          <w:numId w:val="3"/>
        </w:numPr>
        <w:tabs>
          <w:tab w:val="clear" w:pos="720"/>
          <w:tab w:val="left" w:pos="0" w:leader="none"/>
        </w:tabs>
        <w:ind w:hanging="0" w:left="0"/>
        <w:rPr>
          <w:sz w:val="24"/>
          <w:szCs w:val="24"/>
        </w:rPr>
      </w:pPr>
      <w:bookmarkStart w:id="2" w:name="_Toc148430316"/>
      <w:r>
        <w:rPr>
          <w:sz w:val="24"/>
          <w:szCs w:val="24"/>
        </w:rPr>
        <w:t>Statistiques globales (${TLT_} ${SRV_TITLE})</w:t>
      </w:r>
      <w:bookmarkEnd w:id="2"/>
    </w:p>
    <w:p>
      <w:pPr>
        <w:pStyle w:val="Normal"/>
        <w:rPr>
          <w:rFonts w:eastAsia="" w:cs="" w:cstheme="majorBidi" w:eastAsiaTheme="majorEastAsia"/>
          <w:color w:themeColor="accent1" w:themeShade="bf" w:val="2F5496"/>
          <w:sz w:val="26"/>
          <w:szCs w:val="26"/>
        </w:rPr>
      </w:pPr>
      <w:r>
        <w:rPr>
          <w:rFonts w:eastAsia="" w:cs="" w:cstheme="majorBidi" w:eastAsiaTheme="majorEastAsia"/>
          <w:color w:themeColor="accent1" w:themeShade="bf" w:val="2F5496"/>
          <w:sz w:val="26"/>
          <w:szCs w:val="26"/>
        </w:rPr>
      </w:r>
    </w:p>
    <w:tbl>
      <w:tblPr>
        <w:tblW w:w="5000" w:type="pct"/>
        <w:jc w:val="left"/>
        <w:tblInd w:w="0" w:type="dxa"/>
        <w:tblLayout w:type="fixed"/>
        <w:tblCellMar>
          <w:top w:w="0" w:type="dxa"/>
          <w:left w:w="0" w:type="dxa"/>
          <w:bottom w:w="0" w:type="dxa"/>
          <w:right w:w="0" w:type="dxa"/>
        </w:tblCellMar>
        <w:tblLook w:firstRow="1" w:noVBand="1" w:lastRow="0" w:firstColumn="1" w:lastColumn="0" w:noHBand="0" w:val="04a0"/>
      </w:tblPr>
      <w:tblGrid>
        <w:gridCol w:w="1814"/>
        <w:gridCol w:w="1814"/>
        <w:gridCol w:w="1814"/>
        <w:gridCol w:w="1814"/>
        <w:gridCol w:w="1814"/>
      </w:tblGrid>
      <w:tr>
        <w:trPr/>
        <w:tc>
          <w:tcPr>
            <w:tcW w:w="1814" w:type="dxa"/>
            <w:tcBorders/>
            <w:shd w:color="auto" w:fill="C9211E"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${TLT_Hosts_MLW}</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 exploitables par Malware</w:t>
            </w:r>
          </w:p>
        </w:tc>
        <w:tc>
          <w:tcPr>
            <w:tcW w:w="5442" w:type="dxa"/>
            <w:gridSpan w:val="3"/>
            <w:vMerge w:val="restart"/>
            <w:tcBorders/>
          </w:tcPr>
          <w:p>
            <w:pPr>
              <w:pStyle w:val="Contenudecadre"/>
              <w:widowControl w:val="false"/>
              <w:jc w:val="center"/>
              <w:rPr/>
            </w:pPr>
            <w:r>
              <w:rPr>
                <w:rFonts w:cs="" w:cstheme="minorBidi"/>
                <w:color w:val="C9211E"/>
                <w:sz w:val="24"/>
                <w:lang w:eastAsia="en-US"/>
              </w:rPr>
              <w:t>${V_Global:375:375}</w:t>
            </w:r>
          </w:p>
          <w:p>
            <w:pPr>
              <w:pStyle w:val="Contenudecadre"/>
              <w:widowControl w:val="false"/>
              <w:jc w:val="center"/>
              <w:rPr>
                <w:b/>
                <w:bCs/>
              </w:rPr>
            </w:pPr>
            <w:r>
              <w:rPr>
                <w:rFonts w:cs="" w:cstheme="minorBidi"/>
                <w:b/>
                <w:bCs/>
                <w:color w:val="C9211E"/>
                <w:sz w:val="24"/>
                <w:lang w:eastAsia="en-US"/>
              </w:rPr>
              <w:t>Taux de vulnérabilité</w:t>
            </w:r>
          </w:p>
        </w:tc>
        <w:tc>
          <w:tcPr>
            <w:tcW w:w="1814" w:type="dxa"/>
            <w:tcBorders/>
            <w:shd w:color="auto" w:fill="FF0000" w:val="clear"/>
          </w:tcPr>
          <w:p>
            <w:pPr>
              <w:pStyle w:val="Normal"/>
              <w:widowControl w:val="false"/>
              <w:tabs>
                <w:tab w:val="clear" w:pos="720"/>
                <w:tab w:val="left" w:pos="716" w:leader="none"/>
                <w:tab w:val="left" w:pos="717" w:leader="none"/>
              </w:tabs>
              <w:spacing w:lineRule="auto" w:line="360"/>
              <w:jc w:val="center"/>
              <w:rPr>
                <w:color w:val="FFFFFF"/>
              </w:rPr>
            </w:pPr>
            <w:r>
              <w:rPr>
                <w:color w:val="FFFFFF"/>
                <w:sz w:val="56"/>
                <w:szCs w:val="56"/>
              </w:rPr>
              <w:t>${TLT_Hosts_ExC}</w:t>
            </w:r>
          </w:p>
          <w:p>
            <w:pPr>
              <w:pStyle w:val="Normal"/>
              <w:widowControl w:val="false"/>
              <w:tabs>
                <w:tab w:val="clear" w:pos="720"/>
                <w:tab w:val="left" w:pos="716" w:leader="none"/>
                <w:tab w:val="left" w:pos="717" w:leader="none"/>
              </w:tabs>
              <w:spacing w:lineRule="auto" w:line="360"/>
              <w:jc w:val="center"/>
              <w:rPr>
                <w:color w:val="FFFFFF"/>
              </w:rPr>
            </w:pPr>
            <w:r>
              <w:rPr>
                <w:color w:val="FFFFFF"/>
                <w:sz w:val="16"/>
                <w:szCs w:val="16"/>
              </w:rPr>
              <w:t>Vulns critiques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${TLT_Hosts_CR}</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widowControl w:val="false"/>
              <w:jc w:val="center"/>
              <w:rPr/>
            </w:pPr>
            <w:r>
              <w:rPr/>
            </w:r>
          </w:p>
        </w:tc>
        <w:tc>
          <w:tcPr>
            <w:tcW w:w="1814" w:type="dxa"/>
            <w:tcBorders/>
            <w:shd w:color="auto" w:fill="FF3838" w:val="clear"/>
          </w:tcPr>
          <w:p>
            <w:pPr>
              <w:pStyle w:val="Normal"/>
              <w:widowControl w:val="false"/>
              <w:tabs>
                <w:tab w:val="clear" w:pos="720"/>
                <w:tab w:val="left" w:pos="716" w:leader="none"/>
                <w:tab w:val="left" w:pos="717" w:leader="none"/>
              </w:tabs>
              <w:spacing w:lineRule="auto" w:line="360"/>
              <w:jc w:val="center"/>
              <w:rPr>
                <w:color w:val="FFB66C"/>
              </w:rPr>
            </w:pPr>
            <w:r>
              <w:rPr>
                <w:color w:val="FFB66C"/>
                <w:sz w:val="56"/>
                <w:szCs w:val="56"/>
              </w:rPr>
              <w:t>${TLT_Hosts_ExH}</w:t>
            </w:r>
          </w:p>
          <w:p>
            <w:pPr>
              <w:pStyle w:val="Normal"/>
              <w:widowControl w:val="false"/>
              <w:tabs>
                <w:tab w:val="clear" w:pos="720"/>
                <w:tab w:val="left" w:pos="716" w:leader="none"/>
                <w:tab w:val="left" w:pos="717" w:leader="none"/>
              </w:tabs>
              <w:spacing w:lineRule="auto" w:line="360"/>
              <w:jc w:val="center"/>
              <w:rPr>
                <w:color w:val="FFB66C"/>
              </w:rPr>
            </w:pPr>
            <w:r>
              <w:rPr>
                <w:color w:val="FFB66C"/>
                <w:sz w:val="16"/>
                <w:szCs w:val="16"/>
              </w:rPr>
              <w:t>Vulns élevées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FF8000"/>
              </w:rPr>
            </w:pPr>
            <w:r>
              <w:rPr>
                <w:color w:val="FF8000"/>
                <w:sz w:val="56"/>
                <w:szCs w:val="56"/>
              </w:rPr>
              <w:t>${TLT_Hosts_HI}</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widowControl w:val="false"/>
              <w:jc w:val="center"/>
              <w:rPr/>
            </w:pPr>
            <w:r>
              <w:rPr/>
            </w:r>
          </w:p>
        </w:tc>
        <w:tc>
          <w:tcPr>
            <w:tcW w:w="1814" w:type="dxa"/>
            <w:tcBorders/>
            <w:shd w:color="auto" w:fill="FFA6A6" w:val="clear"/>
          </w:tcPr>
          <w:p>
            <w:pPr>
              <w:pStyle w:val="Normal"/>
              <w:widowControl w:val="false"/>
              <w:tabs>
                <w:tab w:val="clear" w:pos="720"/>
                <w:tab w:val="left" w:pos="716" w:leader="none"/>
                <w:tab w:val="left" w:pos="717" w:leader="none"/>
              </w:tabs>
              <w:spacing w:lineRule="auto" w:line="360"/>
              <w:jc w:val="center"/>
              <w:rPr>
                <w:color w:val="FFFFD7"/>
              </w:rPr>
            </w:pPr>
            <w:r>
              <w:rPr>
                <w:color w:val="FFFFD7"/>
                <w:sz w:val="56"/>
                <w:szCs w:val="56"/>
              </w:rPr>
              <w:t>${TLT_Hosts_ExM}</w:t>
            </w:r>
          </w:p>
          <w:p>
            <w:pPr>
              <w:pStyle w:val="Normal"/>
              <w:widowControl w:val="false"/>
              <w:tabs>
                <w:tab w:val="clear" w:pos="720"/>
                <w:tab w:val="left" w:pos="716" w:leader="none"/>
                <w:tab w:val="left" w:pos="717" w:leader="none"/>
              </w:tabs>
              <w:spacing w:lineRule="auto" w:line="360"/>
              <w:jc w:val="center"/>
              <w:rPr>
                <w:color w:val="FFFFD7"/>
              </w:rPr>
            </w:pPr>
            <w:r>
              <w:rPr>
                <w:color w:val="FFFFD7"/>
                <w:sz w:val="16"/>
                <w:szCs w:val="16"/>
              </w:rPr>
              <w:t>Vulns moyennes exploitables</w:t>
            </w:r>
          </w:p>
        </w:tc>
      </w:tr>
      <w:tr>
        <w:trPr/>
        <w:tc>
          <w:tcPr>
            <w:tcW w:w="1814" w:type="dxa"/>
            <w:tcBorders/>
          </w:tcPr>
          <w:p>
            <w:pPr>
              <w:pStyle w:val="Normal"/>
              <w:widowControl w:val="false"/>
              <w:tabs>
                <w:tab w:val="clear" w:pos="720"/>
                <w:tab w:val="left" w:pos="716" w:leader="none"/>
                <w:tab w:val="left" w:pos="717" w:leader="none"/>
              </w:tabs>
              <w:spacing w:lineRule="auto" w:line="360"/>
              <w:jc w:val="center"/>
              <w:rPr>
                <w:color w:val="E6E905"/>
              </w:rPr>
            </w:pPr>
            <w:r>
              <w:rPr>
                <w:color w:val="E6E905"/>
                <w:sz w:val="56"/>
                <w:szCs w:val="56"/>
              </w:rPr>
              <w:t>${TLT_Hosts_MD}</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${TLT_Hosts_LW}</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C9211E"/>
                <w:sz w:val="56"/>
                <w:szCs w:val="56"/>
              </w:rPr>
            </w:pPr>
            <w:r>
              <w:rPr>
                <w:color w:val="C9211E"/>
                <w:sz w:val="56"/>
                <w:szCs w:val="56"/>
              </w:rPr>
              <w:t>${TLT_Hosts_NC}</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${TLT_Hosts_CF}</w:t>
            </w:r>
          </w:p>
          <w:p>
            <w:pPr>
              <w:pStyle w:val="Normal"/>
              <w:widowControl w:val="false"/>
              <w:tabs>
                <w:tab w:val="clear" w:pos="720"/>
                <w:tab w:val="left" w:pos="716" w:leader="none"/>
                <w:tab w:val="left" w:pos="717" w:leader="none"/>
              </w:tabs>
              <w:spacing w:lineRule="auto" w:line="360"/>
              <w:jc w:val="center"/>
              <w:rPr/>
            </w:pPr>
            <w:r>
              <w:rPr>
                <w:sz w:val="16"/>
                <w:szCs w:val="16"/>
              </w:rPr>
              <w:t>configurations conformes</w:t>
            </w:r>
          </w:p>
        </w:tc>
        <w:tc>
          <w:tcPr>
            <w:tcW w:w="1814" w:type="dxa"/>
            <w:tcBorders/>
            <w:shd w:color="auto" w:fill="FFD7D7" w:val="clear"/>
          </w:tcPr>
          <w:p>
            <w:pPr>
              <w:pStyle w:val="Normal"/>
              <w:widowControl w:val="false"/>
              <w:tabs>
                <w:tab w:val="clear" w:pos="720"/>
                <w:tab w:val="left" w:pos="716" w:leader="none"/>
                <w:tab w:val="left" w:pos="717" w:leader="none"/>
              </w:tabs>
              <w:spacing w:lineRule="auto" w:line="360"/>
              <w:jc w:val="center"/>
              <w:rPr>
                <w:color w:val="00A933"/>
              </w:rPr>
            </w:pPr>
            <w:r>
              <w:rPr>
                <w:color w:val="00A933"/>
                <w:sz w:val="56"/>
                <w:szCs w:val="56"/>
              </w:rPr>
              <w:t>${TLT_Hosts_ExL}</w:t>
            </w:r>
          </w:p>
          <w:p>
            <w:pPr>
              <w:pStyle w:val="Normal"/>
              <w:widowControl w:val="false"/>
              <w:tabs>
                <w:tab w:val="clear" w:pos="720"/>
                <w:tab w:val="left" w:pos="716" w:leader="none"/>
                <w:tab w:val="left" w:pos="717" w:leader="none"/>
              </w:tabs>
              <w:spacing w:lineRule="auto" w:line="360"/>
              <w:jc w:val="center"/>
              <w:rPr>
                <w:sz w:val="16"/>
                <w:szCs w:val="16"/>
              </w:rPr>
            </w:pPr>
            <w:r>
              <w:rPr>
                <w:sz w:val="16"/>
                <w:szCs w:val="16"/>
              </w:rPr>
              <w:t>Vulns faibles exploitables</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r>
        <w:br w:type="page"/>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Calibri" w:cstheme="minorHAnsi"/>
        </w:rPr>
      </w:r>
    </w:p>
    <w:p>
      <w:pPr>
        <w:pStyle w:val="Heading3"/>
        <w:numPr>
          <w:ilvl w:val="0"/>
          <w:numId w:val="3"/>
        </w:numPr>
        <w:tabs>
          <w:tab w:val="clear" w:pos="720"/>
          <w:tab w:val="left" w:pos="0" w:leader="none"/>
        </w:tabs>
        <w:ind w:hanging="0" w:left="0"/>
        <w:rPr>
          <w:sz w:val="24"/>
          <w:szCs w:val="24"/>
        </w:rPr>
      </w:pPr>
      <w:bookmarkStart w:id="3" w:name="_Toc148430317"/>
      <w:r>
        <w:rPr>
          <w:sz w:val="24"/>
          <w:szCs w:val="24"/>
        </w:rPr>
        <w:t>Efficacités de gestion des vulnérabilités</w:t>
      </w:r>
      <w:bookmarkEnd w:id="3"/>
    </w:p>
    <w:p>
      <w:pPr>
        <w:pStyle w:val="Normal"/>
        <w:rPr/>
      </w:pPr>
      <w:r>
        <w:rPr/>
      </w:r>
    </w:p>
    <w:p>
      <w:pPr>
        <w:pStyle w:val="Normal"/>
        <w:rPr/>
      </w:pPr>
      <w:r>
        <w:rPr/>
      </w:r>
    </w:p>
    <w:tbl>
      <w:tblPr>
        <w:tblW w:w="9504" w:type="dxa"/>
        <w:jc w:val="left"/>
        <w:tblInd w:w="0" w:type="dxa"/>
        <w:tblLayout w:type="fixed"/>
        <w:tblCellMar>
          <w:top w:w="0" w:type="dxa"/>
          <w:left w:w="30" w:type="dxa"/>
          <w:bottom w:w="0" w:type="dxa"/>
          <w:right w:w="30" w:type="dxa"/>
        </w:tblCellMar>
        <w:tblLook w:firstRow="1" w:noVBand="1" w:lastRow="0" w:firstColumn="1" w:lastColumn="0" w:noHBand="0" w:val="04a0"/>
      </w:tblPr>
      <w:tblGrid>
        <w:gridCol w:w="2356"/>
        <w:gridCol w:w="1648"/>
        <w:gridCol w:w="1816"/>
        <w:gridCol w:w="1863"/>
        <w:gridCol w:w="1821"/>
      </w:tblGrid>
      <w:tr>
        <w:trPr>
          <w:trHeight w:val="276" w:hRule="atLeast"/>
        </w:trPr>
        <w:tc>
          <w:tcPr>
            <w:tcW w:w="2356" w:type="dxa"/>
            <w:tcBorders/>
            <w:shd w:color="auto" w:fill="EEEEEE" w:val="clear"/>
            <w:vAlign w:val="bottom"/>
          </w:tcPr>
          <w:p>
            <w:pPr>
              <w:pStyle w:val="Normal"/>
              <w:widowControl w:val="false"/>
              <w:rPr>
                <w:b/>
                <w:bCs/>
                <w:sz w:val="28"/>
                <w:szCs w:val="28"/>
              </w:rPr>
            </w:pPr>
            <w:r>
              <w:rPr>
                <w:b/>
                <w:bCs/>
                <w:sz w:val="28"/>
                <w:szCs w:val="28"/>
              </w:rPr>
            </w:r>
          </w:p>
        </w:tc>
        <w:tc>
          <w:tcPr>
            <w:tcW w:w="1648" w:type="dxa"/>
            <w:tcBorders>
              <w:top w:val="single" w:sz="4" w:space="0" w:color="000000"/>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Critique</w:t>
            </w:r>
          </w:p>
        </w:tc>
        <w:tc>
          <w:tcPr>
            <w:tcW w:w="1816" w:type="dxa"/>
            <w:tcBorders>
              <w:top w:val="single" w:sz="4" w:space="0" w:color="000000"/>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Elevé</w:t>
            </w:r>
          </w:p>
        </w:tc>
        <w:tc>
          <w:tcPr>
            <w:tcW w:w="1863" w:type="dxa"/>
            <w:tcBorders>
              <w:top w:val="single" w:sz="4" w:space="0" w:color="000000"/>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Moyen</w:t>
            </w:r>
          </w:p>
        </w:tc>
        <w:tc>
          <w:tcPr>
            <w:tcW w:w="1821" w:type="dxa"/>
            <w:tcBorders>
              <w:top w:val="single" w:sz="4" w:space="0" w:color="000000"/>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b/>
                <w:bCs/>
                <w:sz w:val="20"/>
                <w:szCs w:val="20"/>
              </w:rPr>
            </w:pPr>
            <w:r>
              <w:rPr>
                <w:rFonts w:eastAsia="Times New Roman"/>
                <w:b/>
                <w:bCs/>
                <w:sz w:val="20"/>
                <w:szCs w:val="20"/>
              </w:rPr>
              <w:t>Faible</w:t>
            </w:r>
          </w:p>
        </w:tc>
      </w:tr>
      <w:tr>
        <w:trPr>
          <w:trHeight w:val="481" w:hRule="atLeast"/>
        </w:trPr>
        <w:tc>
          <w:tcPr>
            <w:tcW w:w="2356" w:type="dxa"/>
            <w:tcBorders/>
            <w:shd w:color="auto" w:fill="EEEEEE" w:val="clear"/>
            <w:vAlign w:val="bottom"/>
          </w:tcPr>
          <w:p>
            <w:pPr>
              <w:pStyle w:val="Normal"/>
              <w:widowControl w:val="false"/>
              <w:rPr>
                <w:b/>
                <w:bCs/>
                <w:sz w:val="28"/>
                <w:szCs w:val="28"/>
              </w:rPr>
            </w:pPr>
            <w:r>
              <w:rPr>
                <w:b/>
                <w:bCs/>
                <w:sz w:val="28"/>
                <w:szCs w:val="28"/>
              </w:rPr>
              <w:t>Non défini</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w:t>
            </w:r>
          </w:p>
        </w:tc>
      </w:tr>
      <w:tr>
        <w:trPr>
          <w:trHeight w:val="481" w:hRule="atLeast"/>
        </w:trPr>
        <w:tc>
          <w:tcPr>
            <w:tcW w:w="2356" w:type="dxa"/>
            <w:tcBorders/>
            <w:shd w:color="auto" w:fill="EEEEEE" w:val="clear"/>
            <w:vAlign w:val="bottom"/>
          </w:tcPr>
          <w:p>
            <w:pPr>
              <w:pStyle w:val="Normal"/>
              <w:widowControl w:val="false"/>
              <w:rPr/>
            </w:pPr>
            <w:r>
              <w:rPr>
                <w:b/>
                <w:bCs/>
                <w:sz w:val="28"/>
                <w:szCs w:val="28"/>
              </w:rPr>
              <w:t>0 - 7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${Critical_0 - 7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${High_0 - 7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${Medium_0 - 7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${Low_0 - 7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7 - 30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${Critical_7 - 30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${High_7 - 30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${Medium_7 - 30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${Low_7 - 30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30 - 60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${Critical_30 - 60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${High_30 - 60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${Medium_30 - 60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${Low_30 - 60 days}</w:t>
            </w:r>
          </w:p>
        </w:tc>
      </w:tr>
      <w:tr>
        <w:trPr>
          <w:trHeight w:val="481" w:hRule="atLeast"/>
        </w:trPr>
        <w:tc>
          <w:tcPr>
            <w:tcW w:w="2356" w:type="dxa"/>
            <w:tcBorders/>
            <w:shd w:color="auto" w:fill="EEEEEE" w:val="clear"/>
            <w:vAlign w:val="bottom"/>
          </w:tcPr>
          <w:p>
            <w:pPr>
              <w:pStyle w:val="Normal"/>
              <w:widowControl w:val="false"/>
              <w:rPr/>
            </w:pPr>
            <w:r>
              <w:rPr>
                <w:b/>
                <w:bCs/>
                <w:sz w:val="28"/>
                <w:szCs w:val="28"/>
              </w:rPr>
              <w:t>60 - 180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${Critical_60 - 180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${High_60 - 180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${Medium_60 - 180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${Low_60 - 180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180 - 365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${Critical_180 - 365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${High_180 - 365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${Medium_180 - 365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${Low_180 - 365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365 - 730 jours</w:t>
            </w:r>
          </w:p>
        </w:tc>
        <w:tc>
          <w:tcPr>
            <w:tcW w:w="1648" w:type="dxa"/>
            <w:tcBorders>
              <w:left w:val="single" w:sz="18" w:space="0" w:color="000000"/>
              <w:bottom w:val="single" w:sz="4"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${Critical_365 - 730 days}</w:t>
            </w:r>
          </w:p>
        </w:tc>
        <w:tc>
          <w:tcPr>
            <w:tcW w:w="1816" w:type="dxa"/>
            <w:tcBorders>
              <w:left w:val="single" w:sz="4" w:space="0" w:color="000000"/>
              <w:bottom w:val="single" w:sz="6"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${High_365 - 730 days}</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${Medium_365 - 730 days}</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${Low_365 - 730 days}</w:t>
            </w:r>
          </w:p>
        </w:tc>
      </w:tr>
      <w:tr>
        <w:trPr>
          <w:trHeight w:val="710" w:hRule="atLeast"/>
        </w:trPr>
        <w:tc>
          <w:tcPr>
            <w:tcW w:w="2356" w:type="dxa"/>
            <w:tcBorders/>
            <w:shd w:color="auto" w:fill="EEEEEE" w:val="clear"/>
            <w:vAlign w:val="bottom"/>
          </w:tcPr>
          <w:p>
            <w:pPr>
              <w:pStyle w:val="Normal"/>
              <w:widowControl w:val="false"/>
              <w:rPr/>
            </w:pPr>
            <w:r>
              <w:rPr>
                <w:b/>
                <w:bCs/>
                <w:sz w:val="28"/>
                <w:szCs w:val="28"/>
              </w:rPr>
              <w:t>730 jours +</w:t>
            </w:r>
          </w:p>
        </w:tc>
        <w:tc>
          <w:tcPr>
            <w:tcW w:w="1648" w:type="dxa"/>
            <w:tcBorders>
              <w:left w:val="single" w:sz="18" w:space="0" w:color="000000"/>
            </w:tcBorders>
            <w:shd w:color="auto" w:fill="FC2D04"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${Critical_730 days +}</w:t>
            </w:r>
          </w:p>
        </w:tc>
        <w:tc>
          <w:tcPr>
            <w:tcW w:w="1816" w:type="dxa"/>
            <w:tcBorders>
              <w:left w:val="single" w:sz="4" w:space="0" w:color="000000"/>
              <w:bottom w:val="single" w:sz="4" w:space="0" w:color="000000"/>
              <w:right w:val="single" w:sz="4" w:space="0" w:color="000000"/>
            </w:tcBorders>
            <w:shd w:color="auto" w:fill="FF9933"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${High_730 days +}</w:t>
            </w:r>
          </w:p>
        </w:tc>
        <w:tc>
          <w:tcPr>
            <w:tcW w:w="1863" w:type="dxa"/>
            <w:tcBorders>
              <w:left w:val="single" w:sz="4" w:space="0" w:color="000000"/>
              <w:bottom w:val="single" w:sz="4" w:space="0" w:color="000000"/>
              <w:right w:val="single" w:sz="4" w:space="0" w:color="000000"/>
            </w:tcBorders>
            <w:shd w:color="auto" w:fill="FFFF66" w:val="clear"/>
            <w:tcMar>
              <w:left w:w="108" w:type="dxa"/>
              <w:right w:w="108" w:type="dxa"/>
            </w:tcMar>
          </w:tcPr>
          <w:p>
            <w:pPr>
              <w:pStyle w:val="Normal"/>
              <w:widowControl w:val="false"/>
              <w:jc w:val="center"/>
              <w:rPr>
                <w:rFonts w:eastAsia="Times New Roman"/>
                <w:sz w:val="20"/>
                <w:szCs w:val="20"/>
              </w:rPr>
            </w:pPr>
            <w:r>
              <w:rPr>
                <w:rFonts w:eastAsia="Times New Roman"/>
                <w:sz w:val="20"/>
                <w:szCs w:val="20"/>
              </w:rPr>
              <w:t>${Medium_730 days +}</w:t>
            </w:r>
          </w:p>
        </w:tc>
        <w:tc>
          <w:tcPr>
            <w:tcW w:w="1821" w:type="dxa"/>
            <w:tcBorders>
              <w:left w:val="single" w:sz="4" w:space="0" w:color="000000"/>
              <w:bottom w:val="single" w:sz="4" w:space="0" w:color="000000"/>
              <w:right w:val="single" w:sz="18" w:space="0" w:color="000000"/>
            </w:tcBorders>
            <w:shd w:color="auto" w:fill="00B050" w:val="clear"/>
            <w:tcMar>
              <w:left w:w="108" w:type="dxa"/>
              <w:right w:w="108" w:type="dxa"/>
            </w:tcMar>
          </w:tcPr>
          <w:p>
            <w:pPr>
              <w:pStyle w:val="Normal"/>
              <w:widowControl w:val="false"/>
              <w:jc w:val="center"/>
              <w:rPr>
                <w:rFonts w:ascii="Calibri" w:hAnsi="Calibri" w:eastAsia="Times New Roman"/>
                <w:sz w:val="20"/>
                <w:szCs w:val="20"/>
              </w:rPr>
            </w:pPr>
            <w:r>
              <w:rPr>
                <w:rFonts w:eastAsia="Times New Roman"/>
                <w:sz w:val="20"/>
                <w:szCs w:val="20"/>
              </w:rPr>
              <w:t>${Low_730 days +}</w:t>
            </w:r>
          </w:p>
        </w:tc>
      </w:tr>
    </w:tbl>
    <w:p>
      <w:pPr>
        <w:sectPr>
          <w:headerReference w:type="default" r:id="rId2"/>
          <w:headerReference w:type="first" r:id="rId3"/>
          <w:footerReference w:type="default" r:id="rId4"/>
          <w:footerReference w:type="first" r:id="rId5"/>
          <w:type w:val="nextPage"/>
          <w:pgSz w:w="11906" w:h="16838"/>
          <w:pgMar w:left="1418" w:right="1418" w:gutter="0" w:header="284" w:top="1949" w:footer="0" w:bottom="1418"/>
          <w:pgNumType w:start="1" w:fmt="decimal"/>
          <w:formProt w:val="false"/>
          <w:titlePg/>
          <w:textDirection w:val="lrTb"/>
          <w:docGrid w:type="default" w:linePitch="299" w:charSpace="24576"/>
        </w:sectPr>
      </w:pPr>
    </w:p>
    <w:p>
      <w:pPr>
        <w:pStyle w:val="Normal"/>
        <w:ind w:hanging="0" w:right="552"/>
        <w:rPr/>
      </w:pPr>
      <w:r>
        <w:rPr/>
      </w:r>
      <w:bookmarkStart w:id="4" w:name="__RefHeading___Toc24120_482658952"/>
      <w:bookmarkStart w:id="5" w:name="_Toc576578888_Copie_1_Copie_1_Copie_1_Co"/>
      <w:bookmarkStart w:id="6" w:name="__RefHeading___Toc24120_482658952"/>
      <w:bookmarkStart w:id="7" w:name="_Toc576578888_Copie_1_Copie_1_Copie_1_Co"/>
      <w:bookmarkEnd w:id="6"/>
      <w:bookmarkEnd w:id="7"/>
    </w:p>
    <w:p>
      <w:pPr>
        <w:pStyle w:val="Heading1"/>
        <w:numPr>
          <w:ilvl w:val="0"/>
          <w:numId w:val="2"/>
        </w:numPr>
        <w:ind w:hanging="720" w:left="1080" w:right="552"/>
        <w:rPr/>
      </w:pPr>
      <w:bookmarkStart w:id="8" w:name="_Toc148430318"/>
      <w:bookmarkStart w:id="9" w:name="_Toc1093378815"/>
      <w:r>
        <w:rPr/>
        <w:t>Scan des Vulnérabilités</w:t>
      </w:r>
      <w:bookmarkEnd w:id="9"/>
      <w:r>
        <w:rPr/>
        <w:t xml:space="preserve"> et Configurations ${SRV_TITLE}: Vue d’ensemble</w:t>
      </w:r>
      <w:bookmarkEnd w:id="8"/>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color="auto"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3"/>
        <w:gridCol w:w="630"/>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rPr>
            </w:pPr>
            <w:r>
              <w:rPr>
                <w:rFonts w:eastAsia="Calibri"/>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color="auto"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olor w:val="C9211E"/>
                <w:kern w:val="0"/>
                <w:sz w:val="20"/>
                <w:szCs w:val="2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${Hosts_MLW}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${Hosts_ExM}</w:t>
            </w:r>
          </w:p>
        </w:tc>
        <w:tc>
          <w:tcPr>
            <w:tcW w:w="632" w:type="dxa"/>
            <w:tcBorders>
              <w:top w:val="single" w:sz="8" w:space="0" w:color="000000"/>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${Hosts_LW}</w:t>
            </w:r>
          </w:p>
        </w:tc>
        <w:tc>
          <w:tcPr>
            <w:tcW w:w="63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${Hosts_NC}</w:t>
            </w:r>
          </w:p>
        </w:tc>
        <w:tc>
          <w:tcPr>
            <w:tcW w:w="630"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color="auto" w:fill="D9E2F3" w:val="clear"/>
            <w:tcMar>
              <w:left w:w="108" w:type="dxa"/>
              <w:right w:w="108" w:type="dxa"/>
            </w:tcMar>
            <w:vAlign w:val="center"/>
          </w:tcPr>
          <w:p>
            <w:pPr>
              <w:pStyle w:val="Normal"/>
              <w:widowControl w:val="false"/>
              <w:suppressAutoHyphens w:val="true"/>
              <w:spacing w:before="0" w:after="0"/>
              <w:jc w:val="center"/>
              <w:rPr>
                <w:rFonts w:ascii="Calibri" w:hAnsi="Calibri" w:eastAsia="Calibri"/>
                <w:kern w:val="0"/>
                <w:sz w:val="20"/>
                <w:szCs w:val="20"/>
                <w:lang w:bidi="ar-SA"/>
              </w:rPr>
            </w:pPr>
            <w:r>
              <w:rPr>
                <w:rFonts w:eastAsia="Calibri"/>
                <w:kern w:val="0"/>
                <w:sz w:val="20"/>
                <w:szCs w:val="20"/>
                <w:lang w:bidi="ar-SA"/>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bidi="ar-SA"/>
              </w:rPr>
              <w:t>Hosts_MLW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${TLT_Hosts_ExH}</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color="auto"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rPr>
            </w:pPr>
            <w:r>
              <w:rPr>
                <w:rFonts w:eastAsia="Times New Roman" w:cs="" w:cstheme="minorBidi"/>
                <w:b/>
                <w:bCs/>
                <w:color w:val="C9211E"/>
                <w:kern w:val="0"/>
                <w:sz w:val="20"/>
                <w:szCs w:val="20"/>
                <w:lang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${TLT_Hosts_NC}</w:t>
            </w:r>
          </w:p>
        </w:tc>
        <w:tc>
          <w:tcPr>
            <w:tcW w:w="630" w:type="dxa"/>
            <w:tcBorders/>
            <w:shd w:color="auto" w:fill="92D050" w:val="clear"/>
          </w:tcPr>
          <w:p>
            <w:pPr>
              <w:pStyle w:val="Normal"/>
              <w:widowControl w:val="false"/>
              <w:suppressAutoHyphens w:val="true"/>
              <w:spacing w:before="0" w:after="0"/>
              <w:jc w:val="center"/>
              <w:rPr>
                <w:rFonts w:ascii="Calibri" w:hAnsi="Calibri" w:eastAsia="Calibri"/>
              </w:rPr>
            </w:pPr>
            <w:r>
              <w:rPr>
                <w:rFonts w:eastAsia="Calibri"/>
                <w:kern w:val="0"/>
                <w:sz w:val="20"/>
                <w:szCs w:val="20"/>
                <w:lang w:bidi="ar-SA"/>
              </w:rPr>
              <w:t>${TLT_Hosts_CF}</w:t>
            </w:r>
          </w:p>
        </w:tc>
      </w:tr>
    </w:tbl>
    <w:p>
      <w:pPr>
        <w:pStyle w:val="Normal"/>
        <w:rPr/>
      </w:pPr>
      <w:r>
        <w:rPr/>
      </w:r>
    </w:p>
    <w:p>
      <w:pPr>
        <w:pStyle w:val="Normal"/>
        <w:rPr/>
      </w:pPr>
      <w:r>
        <w:rPr/>
      </w:r>
    </w:p>
    <w:p>
      <w:pPr>
        <w:pStyle w:val="Normal"/>
        <w:rPr/>
      </w:pPr>
      <w:r>
        <w:rPr/>
      </w:r>
    </w:p>
    <w:p>
      <w:pPr>
        <w:pStyle w:val="Normal"/>
        <w:tabs>
          <w:tab w:val="clear" w:pos="720"/>
          <w:tab w:val="left" w:pos="1335" w:leader="none"/>
        </w:tabs>
        <w:rPr/>
      </w:pPr>
      <w:r>
        <w:rPr/>
        <w:tab/>
      </w:r>
    </w:p>
    <w:p>
      <w:pPr>
        <w:sectPr>
          <w:headerReference w:type="default" r:id="rId6"/>
          <w:headerReference w:type="first" r:id="rId7"/>
          <w:footerReference w:type="default" r:id="rId8"/>
          <w:footerReference w:type="first" r:id="rId9"/>
          <w:type w:val="nextPage"/>
          <w:pgSz w:orient="landscape" w:w="16838" w:h="11906"/>
          <w:pgMar w:left="1418" w:right="1418" w:gutter="0" w:header="284" w:top="1418" w:footer="0" w:bottom="1418"/>
          <w:pgNumType w:fmt="decimal"/>
          <w:formProt w:val="false"/>
          <w:textDirection w:val="lrTb"/>
          <w:docGrid w:type="default" w:linePitch="299" w:charSpace="24576"/>
        </w:sectPr>
        <w:pStyle w:val="Normal"/>
        <w:tabs>
          <w:tab w:val="clear" w:pos="720"/>
          <w:tab w:val="left" w:pos="1335" w:leader="none"/>
        </w:tabs>
        <w:rPr/>
      </w:pPr>
      <w:r>
        <w:rPr/>
        <w:tab/>
      </w:r>
    </w:p>
    <w:p>
      <w:pPr>
        <w:pStyle w:val="Heading1"/>
        <w:numPr>
          <w:ilvl w:val="0"/>
          <w:numId w:val="2"/>
        </w:numPr>
        <w:ind w:hanging="720" w:left="1080" w:right="552"/>
        <w:rPr>
          <w:rFonts w:eastAsia="Times New Roman" w:cs="" w:cstheme="minorBidi"/>
        </w:rPr>
      </w:pPr>
      <w:bookmarkStart w:id="10" w:name="_Toc148430319"/>
      <w:r>
        <w:rPr/>
        <w:t>Vulnérabilités détectées</w:t>
      </w:r>
      <w:bookmarkEnd w:id="10"/>
    </w:p>
    <w:p>
      <w:pPr>
        <w:pStyle w:val="Normal"/>
        <w:ind w:hanging="0" w:right="552"/>
        <w:rPr>
          <w:rFonts w:eastAsia="Times New Roman" w:cs="" w:cstheme="minorBidi"/>
        </w:rPr>
      </w:pPr>
      <w:r>
        <w:rPr>
          <w:rFonts w:eastAsia="Times New Roman" w:cs="" w:cstheme="minorBidi"/>
        </w:rPr>
        <w:tab/>
        <w:tab/>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863"/>
        <w:gridCol w:w="1130"/>
        <w:gridCol w:w="5836"/>
        <w:gridCol w:w="936"/>
        <w:gridCol w:w="589"/>
        <w:gridCol w:w="1084"/>
      </w:tblGrid>
      <w:tr>
        <w:trPr>
          <w:trHeight w:val="300" w:hRule="atLeast"/>
        </w:trPr>
        <w:tc>
          <w:tcPr>
            <w:tcW w:w="863"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Gravité (CVSS v3.0)</w:t>
            </w:r>
          </w:p>
        </w:tc>
        <w:tc>
          <w:tcPr>
            <w:tcW w:w="1130"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rPr>
              <w:t>ID Plugin</w:t>
            </w:r>
          </w:p>
        </w:tc>
        <w:tc>
          <w:tcPr>
            <w:tcW w:w="5836"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Vulnérabilité</w:t>
            </w:r>
          </w:p>
        </w:tc>
        <w:tc>
          <w:tcPr>
            <w:tcW w:w="936"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Exploitabilité</w:t>
            </w:r>
          </w:p>
        </w:tc>
        <w:tc>
          <w:tcPr>
            <w:tcW w:w="589" w:type="dxa"/>
            <w:tcBorders>
              <w:right w:val="nil"/>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Nbr des hôtes</w:t>
            </w:r>
          </w:p>
        </w:tc>
        <w:tc>
          <w:tcPr>
            <w:tcW w:w="1084" w:type="dxa"/>
            <w:tcBorders/>
            <w:shd w:color="auto" w:fill="B4C6E7" w:val="clear"/>
          </w:tcPr>
          <w:p>
            <w:pPr>
              <w:pStyle w:val="Normal"/>
              <w:widowControl w:val="false"/>
              <w:suppressAutoHyphens w:val="true"/>
              <w:spacing w:before="0" w:after="0"/>
              <w:jc w:val="both"/>
              <w:rPr>
                <w:rFonts w:ascii="Calibri" w:hAnsi="Calibri" w:eastAsia="Times New Roman" w:cs="" w:cstheme="minorBidi"/>
                <w:b/>
                <w:bCs/>
              </w:rPr>
            </w:pPr>
            <w:r>
              <w:rPr>
                <w:rFonts w:eastAsia="Times New Roman" w:cs="" w:cstheme="minorBidi"/>
                <w:b/>
                <w:bCs/>
                <w:kern w:val="0"/>
                <w:sz w:val="20"/>
                <w:szCs w:val="20"/>
                <w:lang w:bidi="ar-SA"/>
              </w:rPr>
              <w:t>Exemples des victimes</w:t>
            </w:r>
          </w:p>
        </w:tc>
      </w:tr>
      <w:tr>
        <w:trPr>
          <w:trHeight w:val="300" w:hRule="atLeast"/>
        </w:trPr>
        <w:tc>
          <w:tcPr>
            <w:tcW w:w="863"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1130" w:type="dxa"/>
            <w:tcBorders>
              <w:right w:val="nil"/>
            </w:tcBorders>
            <w:shd w:color="auto" w:fill="FF0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6"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${High_VulnSummary_Risk}</w:t>
            </w:r>
          </w:p>
        </w:tc>
        <w:tc>
          <w:tcPr>
            <w:tcW w:w="113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6"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${Medium_VulnSummary_Risk}</w:t>
            </w:r>
          </w:p>
        </w:tc>
        <w:tc>
          <w:tcPr>
            <w:tcW w:w="113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6"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r>
        <w:trPr>
          <w:trHeight w:val="300" w:hRule="atLeast"/>
        </w:trPr>
        <w:tc>
          <w:tcPr>
            <w:tcW w:w="863"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ascii="Calibri" w:hAnsi="Calibri"/>
                <w:kern w:val="0"/>
                <w:sz w:val="20"/>
                <w:szCs w:val="20"/>
                <w:lang w:bidi="ar-SA"/>
              </w:rPr>
            </w:pPr>
            <w:r>
              <w:rPr>
                <w:rFonts w:eastAsia="Times New Roman" w:cs="Calibri" w:cstheme="minorHAnsi"/>
                <w:b/>
                <w:kern w:val="0"/>
                <w:sz w:val="20"/>
                <w:szCs w:val="20"/>
                <w:lang w:bidi="ar-SA"/>
              </w:rPr>
              <w:t>${Low_VulnSummary_Risk}</w:t>
            </w:r>
          </w:p>
        </w:tc>
        <w:tc>
          <w:tcPr>
            <w:tcW w:w="1130"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b/>
                <w:bCs/>
              </w:rPr>
            </w:pPr>
            <w:r>
              <w:rPr>
                <w:rFonts w:eastAsia="Times New Roman"/>
                <w:b/>
                <w:bCs/>
                <w:kern w:val="0"/>
                <w:sz w:val="20"/>
                <w:szCs w:val="20"/>
                <w:lang w:bidi="ar-SA"/>
              </w:rPr>
              <w:t>${</w:t>
            </w:r>
            <w:r>
              <w:rPr>
                <w:rFonts w:eastAsia="Times New Roman" w:cs="Calibri" w:cstheme="minorHAnsi"/>
                <w:b/>
                <w:bCs/>
                <w:color w:val="000000"/>
                <w:kern w:val="0"/>
                <w:sz w:val="20"/>
                <w:szCs w:val="20"/>
                <w:lang w:bidi="ar-SA"/>
              </w:rPr>
              <w:t>VulnSummary_Plugin</w:t>
            </w:r>
            <w:r>
              <w:rPr>
                <w:rFonts w:eastAsia="Times New Roman"/>
                <w:b/>
                <w:bCs/>
                <w:kern w:val="0"/>
                <w:sz w:val="20"/>
                <w:szCs w:val="20"/>
                <w:lang w:bidi="ar-SA"/>
              </w:rPr>
              <w:t>}</w:t>
            </w:r>
          </w:p>
        </w:tc>
        <w:tc>
          <w:tcPr>
            <w:tcW w:w="5836"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rFonts w:ascii="Calibri" w:hAnsi="Calibri"/>
                <w:kern w:val="0"/>
                <w:sz w:val="20"/>
                <w:szCs w:val="20"/>
                <w:lang w:bidi="ar-SA"/>
              </w:rPr>
            </w:pPr>
            <w:r>
              <w:rPr>
                <w:rFonts w:eastAsia="Times New Roman" w:cs="" w:cstheme="minorBidi"/>
                <w:kern w:val="0"/>
                <w:sz w:val="20"/>
                <w:szCs w:val="20"/>
                <w:lang w:bidi="ar-SA"/>
              </w:rPr>
              <w:t>${</w:t>
            </w:r>
            <w:r>
              <w:rPr>
                <w:rFonts w:eastAsia="Times New Roman" w:cs="Calibri" w:cstheme="minorHAnsi"/>
                <w:color w:val="000000"/>
                <w:kern w:val="0"/>
                <w:sz w:val="20"/>
                <w:szCs w:val="20"/>
                <w:lang w:bidi="ar-SA"/>
              </w:rPr>
              <w:t>VulnSummary_Name_ToBeClean</w:t>
            </w:r>
            <w:r>
              <w:rPr>
                <w:rFonts w:eastAsia="Times New Roman" w:cs="" w:cstheme="minorBidi"/>
                <w:kern w:val="0"/>
                <w:sz w:val="20"/>
                <w:szCs w:val="20"/>
                <w:lang w:bidi="ar-SA"/>
              </w:rPr>
              <w:t>}</w:t>
            </w:r>
          </w:p>
        </w:tc>
        <w:tc>
          <w:tcPr>
            <w:tcW w:w="936"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lang w:bidi="ar-SA"/>
              </w:rPr>
              <w:t>${VulnSummary_Exploitability</w:t>
            </w:r>
            <w:r>
              <w:rPr>
                <w:rFonts w:eastAsia="Times New Roman" w:cs="" w:cstheme="minorBidi"/>
                <w:b/>
                <w:bCs/>
                <w:color w:val="000000"/>
                <w:kern w:val="0"/>
                <w:sz w:val="20"/>
                <w:szCs w:val="20"/>
                <w:lang w:bidi="ar-SA"/>
              </w:rPr>
              <w:t>}</w:t>
            </w:r>
          </w:p>
        </w:tc>
        <w:tc>
          <w:tcPr>
            <w:tcW w:w="589" w:type="dxa"/>
            <w:tcBorders>
              <w:top w:val="nil"/>
              <w:right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VulnSummary_Count</w:t>
            </w:r>
            <w:r>
              <w:rPr>
                <w:rFonts w:eastAsia="Times New Roman" w:cs="" w:cstheme="minorBidi"/>
                <w:b/>
                <w:bCs/>
                <w:color w:val="000000"/>
                <w:kern w:val="0"/>
                <w:sz w:val="20"/>
                <w:szCs w:val="20"/>
                <w:lang w:bidi="ar-SA"/>
              </w:rPr>
              <w:t>}</w:t>
            </w:r>
          </w:p>
        </w:tc>
        <w:tc>
          <w:tcPr>
            <w:tcW w:w="1084" w:type="dxa"/>
            <w:tcBorders>
              <w:top w:val="nil"/>
            </w:tcBorders>
            <w:shd w:color="auto"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p>
    <w:sectPr>
      <w:headerReference w:type="default" r:id="rId10"/>
      <w:headerReference w:type="first" r:id="rId11"/>
      <w:footerReference w:type="default" r:id="rId12"/>
      <w:footerReference w:type="first" r:id="rId13"/>
      <w:type w:val="nextPage"/>
      <w:pgSz w:w="11906" w:h="16838"/>
      <w:pgMar w:left="1418" w:right="1418" w:gutter="0" w:header="284" w:top="1418" w:footer="0" w:bottom="1418"/>
      <w:pgNumType w:fmt="decimal"/>
      <w:formProt w:val="false"/>
      <w:titlePg/>
      <w:textDirection w:val="lrTb"/>
      <w:docGrid w:type="default" w:linePitch="299"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drawing>
        <wp:anchor behindDoc="1" distT="0" distB="0" distL="0" distR="0" simplePos="0" locked="0" layoutInCell="0" allowOverlap="1" relativeHeight="3">
          <wp:simplePos x="0" y="0"/>
          <wp:positionH relativeFrom="page">
            <wp:align>center</wp:align>
          </wp:positionH>
          <wp:positionV relativeFrom="page">
            <wp:align>bottom</wp:align>
          </wp:positionV>
          <wp:extent cx="7783195" cy="9053830"/>
          <wp:effectExtent l="0" t="0" r="0" b="0"/>
          <wp:wrapNone/>
          <wp:docPr id="1"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2"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p>
  <w:p>
    <w:pPr>
      <w:pStyle w:val="Footer"/>
      <w:jc w:val="center"/>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20"/>
      <w:gridCol w:w="3020"/>
      <w:gridCol w:w="3020"/>
    </w:tblGrid>
    <w:tr>
      <w:trPr>
        <w:trHeight w:val="300" w:hRule="atLeast"/>
      </w:trPr>
      <w:tc>
        <w:tcPr>
          <w:tcW w:w="3020" w:type="dxa"/>
          <w:tcBorders/>
        </w:tcPr>
        <w:p>
          <w:pPr>
            <w:pStyle w:val="Header"/>
            <w:widowControl w:val="false"/>
            <w:ind w:hanging="0" w:left="-115"/>
            <w:rPr/>
          </w:pPr>
          <w:r>
            <w:rPr/>
          </w:r>
        </w:p>
      </w:tc>
      <w:tc>
        <w:tcPr>
          <w:tcW w:w="3020" w:type="dxa"/>
          <w:tcBorders/>
        </w:tcPr>
        <w:p>
          <w:pPr>
            <w:pStyle w:val="Header"/>
            <w:widowControl w:val="false"/>
            <w:jc w:val="center"/>
            <w:rPr/>
          </w:pPr>
          <w:r>
            <w:rPr/>
            <w:drawing>
              <wp:anchor behindDoc="1" distT="0" distB="0" distL="0" distR="0" simplePos="0" locked="0" layoutInCell="0" allowOverlap="1" relativeHeight="6">
                <wp:simplePos x="0" y="0"/>
                <wp:positionH relativeFrom="page">
                  <wp:align>center</wp:align>
                </wp:positionH>
                <wp:positionV relativeFrom="page">
                  <wp:align>bottom</wp:align>
                </wp:positionV>
                <wp:extent cx="7783195" cy="9053830"/>
                <wp:effectExtent l="0" t="0" r="0" b="0"/>
                <wp:wrapNone/>
                <wp:docPr id="2" name="Image 12 Copi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2 Copie 1"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p>
      </w:tc>
      <w:tc>
        <w:tcPr>
          <w:tcW w:w="3020" w:type="dxa"/>
          <w:tcBorders/>
        </w:tcPr>
        <w:p>
          <w:pPr>
            <w:pStyle w:val="Header"/>
            <w:widowControl w:val="false"/>
            <w:ind w:hanging="0" w:right="-115"/>
            <w:jc w:val="right"/>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t xml:space="preserve"> </w:t>
    </w:r>
    <w:r>
      <w:rPr>
        <w:b/>
      </w:rPr>
      <w:fldChar w:fldCharType="begin"/>
    </w:r>
    <w:r>
      <w:rPr>
        <w:b/>
      </w:rPr>
      <w:instrText xml:space="preserve"> PAGE </w:instrText>
    </w:r>
    <w:r>
      <w:rPr>
        <w:b/>
      </w:rPr>
      <w:fldChar w:fldCharType="separate"/>
    </w:r>
    <w:r>
      <w:rPr>
        <w:b/>
      </w:rPr>
      <w:t>0</w:t>
    </w:r>
    <w:r>
      <w:rPr>
        <w:b/>
      </w:rPr>
      <w:fldChar w:fldCharType="end"/>
    </w:r>
    <w:r>
      <w:rPr>
        <w:b/>
      </w:rPr>
      <w:t>| 2016 SMART SKILLS – Toute Reproduction Non Autorisée de ce Document est Interdite</w:t>
    </w:r>
  </w:p>
  <w:p>
    <w:pPr>
      <w:pStyle w:val="Normal"/>
      <w:rPr/>
    </w:pPr>
    <w:r>
      <w:rPr/>
    </w:r>
  </w:p>
  <w:p>
    <w:pPr>
      <w:pStyle w:val="Normal"/>
      <w:rPr/>
    </w:pPr>
    <w:r>
      <w:rPr/>
    </w:r>
  </w:p>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rPr>
    </w:pPr>
    <w:r>
      <w:rPr>
        <w:b/>
      </w:rPr>
      <w:drawing>
        <wp:anchor behindDoc="1" distT="0" distB="0" distL="0" distR="0" simplePos="0" locked="0" layoutInCell="0" allowOverlap="1" relativeHeight="5">
          <wp:simplePos x="0" y="0"/>
          <wp:positionH relativeFrom="page">
            <wp:align>center</wp:align>
          </wp:positionH>
          <wp:positionV relativeFrom="page">
            <wp:align>bottom</wp:align>
          </wp:positionV>
          <wp:extent cx="7783195" cy="9053830"/>
          <wp:effectExtent l="0" t="0" r="0" b="0"/>
          <wp:wrapNone/>
          <wp:docPr id="6"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4" descr=""/>
                  <pic:cNvPicPr>
                    <a:picLocks noChangeAspect="1" noChangeArrowheads="1"/>
                  </pic:cNvPicPr>
                </pic:nvPicPr>
                <pic:blipFill>
                  <a:blip r:embed="rId1"/>
                  <a:stretch>
                    <a:fillRect/>
                  </a:stretch>
                </pic:blipFill>
                <pic:spPr bwMode="auto">
                  <a:xfrm>
                    <a:off x="0" y="0"/>
                    <a:ext cx="7783195" cy="9053830"/>
                  </a:xfrm>
                  <a:prstGeom prst="rect">
                    <a:avLst/>
                  </a:prstGeom>
                </pic:spPr>
              </pic:pic>
            </a:graphicData>
          </a:graphic>
        </wp:anchor>
      </w:drawing>
    </w:r>
  </w:p>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p>
    <w:pPr>
      <w:pStyle w:val="Normal"/>
      <w:rPr/>
    </w:pPr>
    <w:r>
      <w:rPr/>
    </w:r>
  </w:p>
  <w:p>
    <w:pPr>
      <w:pStyle w:val="Normal"/>
      <w:rPr/>
    </w:pPr>
    <w:r>
      <w:rPr/>
      <w:drawing>
        <wp:anchor behindDoc="1" distT="0" distB="0" distL="0" distR="0" simplePos="0" locked="0" layoutInCell="0" allowOverlap="1" relativeHeight="4">
          <wp:simplePos x="0" y="0"/>
          <wp:positionH relativeFrom="page">
            <wp:align>right</wp:align>
          </wp:positionH>
          <wp:positionV relativeFrom="paragraph">
            <wp:posOffset>293370</wp:posOffset>
          </wp:positionV>
          <wp:extent cx="10339070" cy="5801360"/>
          <wp:effectExtent l="0" t="0" r="0" b="0"/>
          <wp:wrapNone/>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0339070" cy="580136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4700" w:type="pct"/>
      <w:jc w:val="left"/>
      <w:tblInd w:w="5" w:type="dxa"/>
      <w:tblLayout w:type="fixed"/>
      <w:tblCellMar>
        <w:top w:w="0" w:type="dxa"/>
        <w:left w:w="5" w:type="dxa"/>
        <w:bottom w:w="0" w:type="dxa"/>
        <w:right w:w="5" w:type="dxa"/>
      </w:tblCellMar>
      <w:tblLook w:firstRow="1" w:noVBand="1" w:lastRow="0" w:firstColumn="1" w:lastColumn="0" w:noHBand="0" w:val="04a0"/>
    </w:tblPr>
    <w:tblGrid>
      <w:gridCol w:w="1918"/>
      <w:gridCol w:w="4577"/>
      <w:gridCol w:w="2030"/>
    </w:tblGrid>
    <w:tr>
      <w:trPr>
        <w:trHeight w:val="659" w:hRule="atLeast"/>
      </w:trPr>
      <w:tc>
        <w:tcPr>
          <w:tcW w:w="1918"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tableau"/>
            <w:widowControl w:val="false"/>
            <w:jc w:val="center"/>
            <w:rPr/>
          </w:pPr>
          <w:r>
            <w:rPr/>
            <w:drawing>
              <wp:inline distT="0" distB="0" distL="0" distR="0">
                <wp:extent cx="981075" cy="533400"/>
                <wp:effectExtent l="0" t="0" r="0" b="0"/>
                <wp:docPr id="4" name="Picture 44657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46571207" descr=""/>
                        <pic:cNvPicPr>
                          <a:picLocks noChangeAspect="1" noChangeArrowheads="1"/>
                        </pic:cNvPicPr>
                      </pic:nvPicPr>
                      <pic:blipFill>
                        <a:blip r:embed="rId1"/>
                        <a:stretch>
                          <a:fillRect/>
                        </a:stretch>
                      </pic:blipFill>
                      <pic:spPr bwMode="auto">
                        <a:xfrm>
                          <a:off x="0" y="0"/>
                          <a:ext cx="981075" cy="533400"/>
                        </a:xfrm>
                        <a:prstGeom prst="rect">
                          <a:avLst/>
                        </a:prstGeom>
                      </pic:spPr>
                    </pic:pic>
                  </a:graphicData>
                </a:graphic>
              </wp:inline>
            </w:drawing>
          </w:r>
        </w:p>
      </w:tc>
      <w:tc>
        <w:tcPr>
          <w:tcW w:w="4577" w:type="dxa"/>
          <w:tcBorders>
            <w:top w:val="single" w:sz="4" w:space="0" w:color="000000"/>
            <w:left w:val="single" w:sz="4" w:space="0" w:color="000000"/>
            <w:bottom w:val="single" w:sz="4" w:space="0" w:color="000000"/>
            <w:right w:val="single" w:sz="4" w:space="0" w:color="000000"/>
          </w:tcBorders>
        </w:tcPr>
        <w:p>
          <w:pPr>
            <w:pStyle w:val="Contenudetableau"/>
            <w:widowControl w:val="false"/>
            <w:jc w:val="center"/>
            <w:rPr/>
          </w:pPr>
          <w:r>
            <w:rPr>
              <w:b/>
              <w:bCs/>
              <w:u w:val="single"/>
            </w:rPr>
            <w:t xml:space="preserve">Projet : </w:t>
          </w:r>
          <w:r>
            <w:rPr/>
            <w:t xml:space="preserve">Mission d’Audit de Sécurité du Système d’Information du </w:t>
          </w:r>
          <w:r>
            <w:rPr>
              <w:rFonts w:eastAsia="Calibri"/>
              <w:b/>
              <w:bCs/>
              <w:color w:themeColor="text1" w:val="000000"/>
            </w:rPr>
            <w:t>${SN}</w:t>
          </w:r>
        </w:p>
      </w:tc>
      <w:tc>
        <w:tcPr>
          <w:tcW w:w="2030" w:type="dxa"/>
          <w:vMerge w:val="restart"/>
          <w:tcBorders>
            <w:top w:val="single" w:sz="4" w:space="0" w:color="000000"/>
            <w:left w:val="single" w:sz="4" w:space="0" w:color="000000"/>
            <w:bottom w:val="single" w:sz="4" w:space="0" w:color="000000"/>
            <w:right w:val="single" w:sz="4" w:space="0" w:color="000000"/>
          </w:tcBorders>
          <w:vAlign w:val="center"/>
        </w:tcPr>
        <w:p>
          <w:pPr>
            <w:pStyle w:val="Contenudecadre"/>
            <w:widowControl w:val="false"/>
            <w:jc w:val="center"/>
            <w:rPr/>
          </w:pPr>
          <w:r>
            <w:rPr>
              <w:rFonts w:eastAsia="Calibri"/>
              <w:color w:val="C9211E"/>
              <w:sz w:val="24"/>
              <w:szCs w:val="24"/>
              <w:lang w:val="en-US"/>
            </w:rPr>
            <w:t>${icon:75:75}</w:t>
          </w:r>
        </w:p>
        <w:p>
          <w:pPr>
            <w:pStyle w:val="Contenudecadre"/>
            <w:widowControl w:val="false"/>
            <w:jc w:val="center"/>
            <w:rPr>
              <w:color w:val="C00000"/>
            </w:rPr>
          </w:pPr>
          <w:r>
            <w:rPr>
              <w:color w:val="C00000"/>
            </w:rPr>
          </w:r>
        </w:p>
      </w:tc>
    </w:tr>
    <w:tr>
      <w:trPr>
        <w:trHeight w:val="196" w:hRule="atLeast"/>
      </w:trPr>
      <w:tc>
        <w:tcPr>
          <w:tcW w:w="191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c>
        <w:tcPr>
          <w:tcW w:w="4577" w:type="dxa"/>
          <w:tcBorders>
            <w:top w:val="single" w:sz="4" w:space="0" w:color="000000"/>
            <w:left w:val="single" w:sz="4" w:space="0" w:color="000000"/>
            <w:bottom w:val="single" w:sz="4" w:space="0" w:color="000000"/>
            <w:right w:val="single" w:sz="4" w:space="0" w:color="000000"/>
          </w:tcBorders>
          <w:shd w:color="auto" w:fill="C00000" w:val="clear"/>
        </w:tcPr>
        <w:p>
          <w:pPr>
            <w:pStyle w:val="Contenudetableau"/>
            <w:widowControl w:val="false"/>
            <w:jc w:val="center"/>
            <w:rPr/>
          </w:pPr>
          <w:r>
            <w:rPr>
              <w:rFonts w:eastAsia="" w:eastAsiaTheme="minorEastAsia"/>
            </w:rPr>
            <w:t>Rapport Annexe Technique – ${SRV_TITLE}</w:t>
          </w:r>
        </w:p>
        <w:p>
          <w:pPr>
            <w:pStyle w:val="Contenudetableau"/>
            <w:widowControl w:val="false"/>
            <w:jc w:val="center"/>
            <w:rPr/>
          </w:pPr>
          <w:r>
            <w:rPr/>
            <w:t>Version 1.0</w:t>
          </w:r>
        </w:p>
      </w:tc>
      <w:tc>
        <w:tcPr>
          <w:tcW w:w="203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rPr/>
          </w:pPr>
          <w:r>
            <w:rPr/>
          </w:r>
        </w:p>
      </w:tc>
    </w:tr>
  </w:tbl>
  <w:p>
    <w:pPr>
      <w:pStyle w:val="Normal"/>
      <w:rPr/>
    </w:pPr>
    <w:r>
      <w:rPr/>
      <w:drawing>
        <wp:anchor behindDoc="1" distT="0" distB="0" distL="0" distR="0" simplePos="0" locked="0" layoutInCell="1" allowOverlap="1" relativeHeight="0">
          <wp:simplePos x="0" y="0"/>
          <wp:positionH relativeFrom="page">
            <wp:align>center</wp:align>
          </wp:positionH>
          <wp:positionV relativeFrom="page">
            <wp:align>bottom</wp:align>
          </wp:positionV>
          <wp:extent cx="7672070" cy="6800215"/>
          <wp:effectExtent l="0" t="0" r="0" b="0"/>
          <wp:wrapNone/>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7672070" cy="6800215"/>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righ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627342"/>
    <w:pPr>
      <w:keepNext w:val="true"/>
      <w:keepLines/>
      <w:widowControl/>
      <w:numPr>
        <w:ilvl w:val="0"/>
        <w:numId w:val="2"/>
      </w:numPr>
      <w:ind w:hanging="0" w:right="552"/>
      <w:outlineLvl w:val="0"/>
    </w:pPr>
    <w:rPr>
      <w:rFonts w:ascii="Calibri" w:hAnsi="Calibri" w:eastAsia="" w:eastAsiaTheme="majorEastAsia"/>
      <w:b/>
      <w:bCs/>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1"/>
    <w:next w:val="BodyText"/>
    <w:qFormat/>
    <w:pPr>
      <w:spacing w:before="140" w:after="120"/>
      <w:outlineLvl w:val="2"/>
    </w:pPr>
    <w:rPr>
      <w:b/>
      <w:bCs/>
    </w:rPr>
  </w:style>
  <w:style w:type="paragraph" w:styleId="Heading4">
    <w:name w:val="Heading 4"/>
    <w:basedOn w:val="Titre1"/>
    <w:next w:val="BodyText"/>
    <w:qFormat/>
    <w:pPr>
      <w:numPr>
        <w:ilvl w:val="3"/>
        <w:numId w:val="1"/>
      </w:numPr>
      <w:spacing w:before="120" w:after="120"/>
      <w:outlineLvl w:val="3"/>
    </w:pPr>
    <w:rPr>
      <w:b/>
      <w:bCs/>
      <w:i/>
      <w:iCs/>
      <w:sz w:val="26"/>
      <w:szCs w:val="26"/>
    </w:rPr>
  </w:style>
  <w:style w:type="paragraph" w:styleId="Heading5">
    <w:name w:val="Heading 5"/>
    <w:basedOn w:val="Titre1"/>
    <w:next w:val="BodyText"/>
    <w:qFormat/>
    <w:pPr>
      <w:numPr>
        <w:ilvl w:val="4"/>
        <w:numId w:val="1"/>
      </w:numPr>
      <w:spacing w:before="120" w:after="60"/>
      <w:outlineLvl w:val="4"/>
    </w:pPr>
    <w:rPr>
      <w:b/>
      <w:bCs/>
      <w:sz w:val="24"/>
      <w:szCs w:val="24"/>
    </w:rPr>
  </w:style>
  <w:style w:type="paragraph" w:styleId="Heading6">
    <w:name w:val="Heading 6"/>
    <w:basedOn w:val="Titre1"/>
    <w:next w:val="BodyText"/>
    <w:qFormat/>
    <w:pPr>
      <w:numPr>
        <w:ilvl w:val="5"/>
        <w:numId w:val="1"/>
      </w:numPr>
      <w:spacing w:before="60" w:after="60"/>
      <w:outlineLvl w:val="5"/>
    </w:pPr>
    <w:rPr>
      <w:b/>
      <w:bCs/>
      <w:i/>
      <w:iCs/>
      <w:sz w:val="24"/>
      <w:szCs w:val="24"/>
    </w:rPr>
  </w:style>
  <w:style w:type="paragraph" w:styleId="Heading7">
    <w:name w:val="Heading 7"/>
    <w:basedOn w:val="Titre1"/>
    <w:next w:val="BodyText"/>
    <w:qFormat/>
    <w:pPr>
      <w:numPr>
        <w:ilvl w:val="6"/>
        <w:numId w:val="1"/>
      </w:numPr>
      <w:spacing w:before="60" w:after="60"/>
      <w:outlineLvl w:val="6"/>
    </w:pPr>
    <w:rPr>
      <w:b/>
      <w:bCs/>
      <w:sz w:val="20"/>
      <w:szCs w:val="20"/>
    </w:rPr>
  </w:style>
  <w:style w:type="paragraph" w:styleId="Heading8">
    <w:name w:val="Heading 8"/>
    <w:basedOn w:val="Titre1"/>
    <w:next w:val="BodyText"/>
    <w:qFormat/>
    <w:pPr>
      <w:numPr>
        <w:ilvl w:val="7"/>
        <w:numId w:val="1"/>
      </w:numPr>
      <w:spacing w:before="60" w:after="60"/>
      <w:outlineLvl w:val="7"/>
    </w:pPr>
    <w:rPr>
      <w:b/>
      <w:bCs/>
      <w:i/>
      <w:iCs/>
      <w:sz w:val="20"/>
      <w:szCs w:val="20"/>
    </w:rPr>
  </w:style>
  <w:style w:type="paragraph" w:styleId="Heading9">
    <w:name w:val="Heading 9"/>
    <w:basedOn w:val="Titre1"/>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627342"/>
    <w:rPr>
      <w:rFonts w:ascii="Calibri" w:hAnsi="Calibri" w:eastAsia="" w:cs="Calibri" w:eastAsiaTheme="majorEastAsia"/>
      <w:b/>
      <w:bCs/>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uiPriority w:val="99"/>
    <w:rPr>
      <w:color w:val="000080"/>
      <w:u w:val="single"/>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PieddepageCar" w:customStyle="1">
    <w:name w:val="Pied de page Car"/>
    <w:basedOn w:val="DefaultParagraphFont"/>
    <w:uiPriority w:val="99"/>
    <w:qFormat/>
    <w:rsid w:val="005c22cf"/>
    <w:rPr>
      <w:rFonts w:cs="Calibri"/>
      <w:lang w:val="fr-FR" w:eastAsia="fr-F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re1" w:customStyle="1">
    <w:name w:val="Titre1"/>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1" w:customStyle="1">
    <w:name w:val="caption1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link w:val="PieddepageCar"/>
    <w:uiPriority w:val="99"/>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customStyle="1">
    <w:name w:val="Titre de tableau"/>
    <w:basedOn w:val="Contenudetableau"/>
    <w:qFormat/>
    <w:pPr>
      <w:jc w:val="center"/>
    </w:pPr>
    <w:rPr>
      <w:b/>
      <w:bCs/>
    </w:rPr>
  </w:style>
  <w:style w:type="paragraph" w:styleId="TOC1">
    <w:name w:val="TOC 1"/>
    <w:basedOn w:val="Normal"/>
    <w:next w:val="Normal"/>
    <w:uiPriority w:val="39"/>
    <w:pPr>
      <w:spacing w:before="0" w:after="100"/>
    </w:pPr>
    <w:rPr/>
  </w:style>
  <w:style w:type="paragraph" w:styleId="TOC2">
    <w:name w:val="TOC 2"/>
    <w:basedOn w:val="Normal"/>
    <w:next w:val="Normal"/>
    <w:uiPriority w:val="39"/>
    <w:pPr>
      <w:spacing w:before="0" w:after="100"/>
      <w:ind w:hanging="0" w:left="220"/>
    </w:pPr>
    <w:rPr/>
  </w:style>
  <w:style w:type="paragraph" w:styleId="TOC3">
    <w:name w:val="TOC 3"/>
    <w:basedOn w:val="Index"/>
    <w:uiPriority w:val="39"/>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customStyle="1">
    <w:name w:val="Titre 10"/>
    <w:basedOn w:val="Titre1"/>
    <w:next w:val="BodyText"/>
    <w:qFormat/>
    <w:pPr>
      <w:tabs>
        <w:tab w:val="clear" w:pos="720"/>
        <w:tab w:val="left" w:pos="0" w:leader="none"/>
      </w:tabs>
      <w:spacing w:before="60" w:after="60"/>
      <w:ind w:hanging="180" w:left="6480"/>
      <w:outlineLvl w:val="8"/>
    </w:pPr>
    <w:rPr>
      <w:b/>
      <w:bCs/>
      <w:sz w:val="18"/>
      <w:szCs w:val="18"/>
    </w:rPr>
  </w:style>
  <w:style w:type="paragraph" w:styleId="Indexheading1">
    <w:name w:val="index heading1"/>
    <w:basedOn w:val="Titre1"/>
    <w:qFormat/>
    <w:pPr>
      <w:suppressLineNumbers/>
    </w:pPr>
    <w:rPr>
      <w:b/>
      <w:bCs/>
      <w:sz w:val="32"/>
      <w:szCs w:val="32"/>
    </w:rPr>
  </w:style>
  <w:style w:type="paragraph" w:styleId="IndexHeading">
    <w:name w:val="Index Heading"/>
    <w:basedOn w:val="Titre"/>
    <w:pPr/>
    <w:rPr/>
  </w:style>
  <w:style w:type="paragraph" w:styleId="TOCHeading">
    <w:name w:val="TOC Heading"/>
    <w:basedOn w:val="Indexheading1"/>
    <w:qFormat/>
    <w:pPr/>
    <w:rPr/>
  </w:style>
  <w:style w:type="paragraph" w:styleId="Normal0" w:customStyle="1">
    <w:name w:val="Normal0"/>
    <w:qFormat/>
    <w:rsid w:val="00187b05"/>
    <w:pPr>
      <w:widowControl w:val="false"/>
      <w:suppressAutoHyphens w:val="fals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6.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7572-630F-45CA-866A-9CC70F6AE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Application>LibreOffice/7.6.0.3$Windows_X86_64 LibreOffice_project/69edd8b8ebc41d00b4de3915dc82f8f0fc3b6265</Application>
  <AppVersion>15.0000</AppVersion>
  <Pages>5</Pages>
  <Words>480</Words>
  <Characters>3488</Characters>
  <CharactersWithSpaces>3812</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2023-10-17T10:55:00Z</dcterms:created>
  <dc:creator>hazemhosni</dc:creator>
  <dc:description/>
  <dc:language>en-US</dc:language>
  <cp:lastModifiedBy/>
  <dcterms:modified xsi:type="dcterms:W3CDTF">2023-10-23T13:06:52Z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