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20"/>
          <w:szCs w:val="20"/>
        </w:rPr>
        <w:t xml:space="preserve">Original Research</w:t>
      </w:r>
    </w:p>
    <w:p>
      <w:pPr>
        <w:spacing w:after="240"/>
        <w:jc w:val="center"/>
      </w:pPr>
      <w:r>
        <w:rPr>
          <w:b/>
          <w:bCs/>
          <w:sz w:val="32"/>
          <w:szCs w:val="32"/>
        </w:rPr>
        <w:t xml:space="preserve">Effect of an AI-assisted triage decision-support tool on under-triage in Kenyan county referral hospital emergency departments: an interrupted time-series study</w:t>
      </w:r>
    </w:p>
    <w:p>
      <w:pPr>
        <w:spacing w:after="120"/>
        <w:jc w:val="center"/>
      </w:pPr>
      <w:r>
        <w:t xml:space="preserve">Joy Owango</w:t>
      </w:r>
      <w:r>
        <w:rPr>
          <w:vertAlign w:val="superscript"/>
        </w:rPr>
        <w:t xml:space="preserve">1*</w:t>
      </w:r>
      <w:r>
        <w:t xml:space="preserve">, Amani Wekesa</w:t>
      </w:r>
      <w:r>
        <w:rPr>
          <w:vertAlign w:val="superscript"/>
        </w:rPr>
        <w:t xml:space="preserve">2</w:t>
      </w:r>
      <w:r>
        <w:t xml:space="preserve">, Faith Chebet</w:t>
      </w:r>
      <w:r>
        <w:rPr>
          <w:vertAlign w:val="superscript"/>
        </w:rPr>
        <w:t xml:space="preserve">1</w:t>
      </w:r>
      <w:r>
        <w:t xml:space="preserve">, Grace Njeri Kamau</w:t>
      </w:r>
      <w:r>
        <w:rPr>
          <w:vertAlign w:val="superscript"/>
        </w:rPr>
        <w:t xml:space="preserve">3</w:t>
      </w:r>
      <w:r>
        <w:t xml:space="preserve">, Daniel Otieno Mbugua</w:t>
      </w:r>
      <w:r>
        <w:rPr>
          <w:vertAlign w:val="superscript"/>
        </w:rPr>
        <w:t xml:space="preserve">4</w:t>
      </w:r>
    </w:p>
    <w:p>
      <w:pPr>
        <w:spacing w:after="40"/>
        <w:jc w:val="center"/>
      </w:pPr>
      <w:r>
        <w:rPr>
          <w:vertAlign w:val="superscript"/>
        </w:rPr>
        <w:t xml:space="preserve">1</w:t>
      </w:r>
      <w:r>
        <w:rPr>
          <w:sz w:val="20"/>
          <w:szCs w:val="20"/>
        </w:rPr>
        <w:t xml:space="preserve">Department of Health Informatics, Hospitium Institute of Health Sciences (Demo), Nairobi, Kenya</w:t>
      </w:r>
    </w:p>
    <w:p>
      <w:pPr>
        <w:spacing w:after="40"/>
        <w:jc w:val="center"/>
      </w:pPr>
      <w:r>
        <w:rPr>
          <w:vertAlign w:val="superscript"/>
        </w:rPr>
        <w:t xml:space="preserve">2</w:t>
      </w:r>
      <w:r>
        <w:rPr>
          <w:sz w:val="20"/>
          <w:szCs w:val="20"/>
        </w:rPr>
        <w:t xml:space="preserve">Department of Emergency Medicine, Hospitium Institute of Health Sciences (Demo), Nairobi, Kenya</w:t>
      </w:r>
    </w:p>
    <w:p>
      <w:pPr>
        <w:spacing w:after="40"/>
        <w:jc w:val="center"/>
      </w:pPr>
      <w:r>
        <w:rPr>
          <w:vertAlign w:val="superscript"/>
        </w:rPr>
        <w:t xml:space="preserve">3</w:t>
      </w:r>
      <w:r>
        <w:rPr>
          <w:sz w:val="20"/>
          <w:szCs w:val="20"/>
        </w:rPr>
        <w:t xml:space="preserve">Department of Nursing, Hospitium Institute of Health Sciences (Demo), Nairobi, Kenya</w:t>
      </w:r>
    </w:p>
    <w:p>
      <w:pPr>
        <w:spacing w:after="40"/>
        <w:jc w:val="center"/>
      </w:pPr>
      <w:r>
        <w:rPr>
          <w:vertAlign w:val="superscript"/>
        </w:rPr>
        <w:t xml:space="preserve">4</w:t>
      </w:r>
      <w:r>
        <w:rPr>
          <w:sz w:val="20"/>
          <w:szCs w:val="20"/>
        </w:rPr>
        <w:t xml:space="preserve">Department of Biostatistics &amp; Epidemiology, Hospitium Institute of Health Sciences (Demo), Nairobi, Kenya</w:t>
      </w:r>
    </w:p>
    <w:p>
      <w:pPr>
        <w:spacing w:after="60" w:before="120"/>
        <w:jc w:val="center"/>
      </w:pPr>
      <w:r>
        <w:rPr>
          <w:sz w:val="20"/>
          <w:szCs w:val="20"/>
        </w:rPr>
        <w:t xml:space="preserve">*Corresponding author: Joy Owango, j.owango@hospitium-demo.ac.ke</w:t>
      </w:r>
    </w:p>
    <w:p>
      <w:pPr>
        <w:spacing w:after="240"/>
        <w:jc w:val="center"/>
      </w:pPr>
      <w:r>
        <w:rPr>
          <w:color w:val="555555"/>
          <w:sz w:val="20"/>
          <w:szCs w:val="20"/>
        </w:rPr>
        <w:t xml:space="preserve">Word count: ~1,300 (main text) · Tables: 3 · References: 11</w:t>
      </w:r>
    </w:p>
    <w:p>
      <w:pPr>
        <w:pStyle w:val="Heading1"/>
        <w:spacing w:after="140" w:before="280"/>
      </w:pPr>
      <w:r>
        <w:t xml:space="preserve">Abstract</w:t>
      </w:r>
    </w:p>
    <w:p>
      <w:pPr>
        <w:spacing w:after="160" w:line="360"/>
        <w:jc w:val="both"/>
      </w:pPr>
      <w:r>
        <w:rPr>
          <w:b/>
          <w:bCs/>
        </w:rPr>
        <w:t xml:space="preserve">Background: </w:t>
      </w:r>
      <w:r>
        <w:t xml:space="preserve">Under-triage in busy emergency departments (EDs) delays care for critically ill patients. We evaluated whether an AI-assisted decision-support tool that suggests a South African Triage Scale (SATS) category reduces under-triage in Kenyan county referral hospitals.</w:t>
      </w:r>
    </w:p>
    <w:p>
      <w:pPr>
        <w:spacing w:after="160" w:line="360"/>
        <w:jc w:val="both"/>
      </w:pPr>
      <w:r>
        <w:rPr>
          <w:b/>
          <w:bCs/>
        </w:rPr>
        <w:t xml:space="preserve">Methods: </w:t>
      </w:r>
      <w:r>
        <w:t xml:space="preserve">We conducted a multi-site pre–post implementation study with interrupted time-series (ITS) analysis in three county referral hospital EDs. We compared a 3-month baseline (December 2026–February 2027) with a 6-month implementation period (March–August 2027). Triage decisions were compared with a blinded two-physician reference standard. The primary outcome was under-triage. Secondary outcomes were over-triage, weighted agreement (κ), time to triage and clinician usability (System Usability Scale, SUS).</w:t>
      </w:r>
    </w:p>
    <w:p>
      <w:pPr>
        <w:spacing w:after="160" w:line="360"/>
        <w:jc w:val="both"/>
      </w:pPr>
      <w:r>
        <w:rPr>
          <w:b/>
          <w:bCs/>
        </w:rPr>
        <w:t xml:space="preserve">Results: </w:t>
      </w:r>
      <w:r>
        <w:t xml:space="preserve">We analysed 3,758 encounters (baseline 1,812; implementation 1,946). Under-triage fell from 18.4% to 9.7% (adjusted OR 0.47, 95% CI 0.38–0.58), with an immediate ITS level change of −7.9 percentage points (95% CI −10.6 to −5.2). Over-triage fell from 21.3% to 17.8%, weighted κ rose from 0.61 to 0.78, and median time to triage fell from 14 to 9 minutes. Nurses overrode the tool in 14.6% of encounters. The mean SUS score was 74.2 (n = 58). The safety stopping rule was never triggered.</w:t>
      </w:r>
    </w:p>
    <w:p>
      <w:pPr>
        <w:spacing w:after="160" w:line="360"/>
        <w:jc w:val="both"/>
      </w:pPr>
      <w:r>
        <w:rPr>
          <w:b/>
          <w:bCs/>
        </w:rPr>
        <w:t xml:space="preserve">Conclusions: </w:t>
      </w:r>
      <w:r>
        <w:t xml:space="preserve">An advisory AI triage tool, with nurses keeping the final decision, was associated with substantially lower under-triage and faster triage, and was acceptable to clinicians. Controlled evaluation over a longer period, including patient outcomes, is warranted.</w:t>
      </w:r>
    </w:p>
    <w:p>
      <w:pPr>
        <w:spacing w:after="160" w:line="360"/>
        <w:jc w:val="both"/>
      </w:pPr>
      <w:r>
        <w:rPr>
          <w:b/>
          <w:bCs/>
        </w:rPr>
        <w:t xml:space="preserve">Keywords: </w:t>
      </w:r>
      <w:r>
        <w:t xml:space="preserve">artificial intelligence; triage; emergency department; clinical decision support; Kenya; implementation science</w:t>
      </w:r>
    </w:p>
    <w:p>
      <w:pPr>
        <w:pStyle w:val="Heading1"/>
        <w:spacing w:after="140" w:before="280"/>
      </w:pPr>
      <w:r>
        <w:t xml:space="preserve">Introduction</w:t>
      </w:r>
    </w:p>
    <w:p>
      <w:pPr>
        <w:spacing w:after="160" w:line="360"/>
        <w:jc w:val="both"/>
      </w:pPr>
      <w:r>
        <w:t xml:space="preserve">Triage is the first clinical decision most emergency patients receive, and its accuracy determines how quickly the sickest patients reach care. The South African Triage Scale (SATS), widely adopted in Kenyan public hospitals, combines a Triage Early Warning Score with clinical discriminators and has shown good reliability in trained hands [1]. In practice, however, high patient volumes, rotating staff and limited supervision lead to variable performance, and under-triage remains a recognised patient-safety risk.</w:t>
      </w:r>
    </w:p>
    <w:p>
      <w:pPr>
        <w:spacing w:after="160" w:line="360"/>
        <w:jc w:val="both"/>
      </w:pPr>
      <w:r>
        <w:t xml:space="preserve">Machine-learning (ML) models using data available at triage can predict critical outcomes and hospital admission more accurately than conventional scores [2, 3, 11]. Almost all of this evidence comes from high-income settings and from retrospective model evaluation rather than real-world deployment. Implementation in low-resource EDs raises distinct questions: whether models stay accurate with local case mix, whether clinicians over-rely on suggestions (automation bias) [7], and whether tools can work under intermittent connectivity and data-protection requirements [8, 9].</w:t>
      </w:r>
    </w:p>
    <w:p>
      <w:pPr>
        <w:spacing w:after="160" w:line="360"/>
        <w:jc w:val="both"/>
      </w:pPr>
      <w:r>
        <w:t xml:space="preserve">TRIAGE-KE was designed to address these gaps. We report the primary effectiveness results: the effect of an advisory AI triage tool on under-triage, over-triage, agreement with a reference standard and time to triage, together with clinician usability.</w:t>
      </w:r>
    </w:p>
    <w:p>
      <w:pPr>
        <w:pStyle w:val="Heading1"/>
        <w:spacing w:after="140" w:before="280"/>
      </w:pPr>
      <w:r>
        <w:t xml:space="preserve">Methods</w:t>
      </w:r>
    </w:p>
    <w:p>
      <w:pPr>
        <w:pStyle w:val="Heading2"/>
        <w:spacing w:after="100" w:before="200"/>
      </w:pPr>
      <w:r>
        <w:t xml:space="preserve">Study design and setting</w:t>
      </w:r>
    </w:p>
    <w:p>
      <w:pPr>
        <w:spacing w:after="160" w:line="360"/>
        <w:jc w:val="both"/>
      </w:pPr>
      <w:r>
        <w:t xml:space="preserve">We conducted a multi-site pre–post implementation study with ITS analysis [5] in the EDs of three county referral hospitals in Kisumu, Nakuru and Machakos counties, Kenya. All three EDs used paper-based SATS triage performed by nurses before the study. The study ran from October 2026 to August 2027, comprising preparation (late October–November 2026), baseline (December 2026–February 2027) and implementation (March–August 2027) periods.</w:t>
      </w:r>
    </w:p>
    <w:p>
      <w:pPr>
        <w:pStyle w:val="Heading2"/>
        <w:spacing w:after="100" w:before="200"/>
      </w:pPr>
      <w:r>
        <w:t xml:space="preserve">Intervention</w:t>
      </w:r>
    </w:p>
    <w:p>
      <w:pPr>
        <w:spacing w:after="160" w:line="360"/>
        <w:jc w:val="both"/>
      </w:pPr>
      <w:r>
        <w:t xml:space="preserve">The tool is a gradient-boosted tree model that suggests a SATS category (red, orange, yellow, green) from age, vital signs (respiratory rate, heart rate, systolic blood pressure, temperature, oxygen saturation, level of consciousness), mobility, trauma status and a coded presenting complaint. It was calibrated locally on 41,200 de-identified retrospective triage records from the three sites. On a held-out set, it achieved an AUROC of 0.89 for identifying red/orange acuity. The tool ran offline-first on tablets at each triage desk and displayed a suggested category with the three features contributing most. Nurses kept full decision authority; every acceptance or override was logged. Staff received a half-day training that covered automation bias.</w:t>
      </w:r>
    </w:p>
    <w:p>
      <w:pPr>
        <w:pStyle w:val="Heading2"/>
        <w:spacing w:after="100" w:before="200"/>
      </w:pPr>
      <w:r>
        <w:t xml:space="preserve">Participants and sampling</w:t>
      </w:r>
    </w:p>
    <w:p>
      <w:pPr>
        <w:spacing w:after="160" w:line="360"/>
        <w:jc w:val="both"/>
      </w:pPr>
      <w:r>
        <w:t xml:space="preserve">Patients aged 12 years or older presenting during study hours were eligible. We excluded patients brought in dead and inter-facility transfers that had already been triaged. A systematic random sample of encounters was drawn at each site in each period, targeting approximately 600 encounters per site per period.</w:t>
      </w:r>
    </w:p>
    <w:p>
      <w:pPr>
        <w:pStyle w:val="Heading2"/>
        <w:spacing w:after="100" w:before="200"/>
      </w:pPr>
      <w:r>
        <w:t xml:space="preserve">Reference standard and outcomes</w:t>
      </w:r>
    </w:p>
    <w:p>
      <w:pPr>
        <w:spacing w:after="160" w:line="360"/>
        <w:jc w:val="both"/>
      </w:pPr>
      <w:r>
        <w:t xml:space="preserve">Two emergency physicians, blinded to period and to the tool's suggestion, independently assigned a reference SATS category using the full ED record; a third physician adjudicated disagreements. The primary outcome was under-triage, defined as a nurse-assigned category at least one level below the reference category. Secondary outcomes were over-triage (at least one level above), exact agreement, linearly weighted Cohen's κ, minutes from arrival to completed triage, and clinician usability measured by the System Usability Scale (SUS) [6, 10].</w:t>
      </w:r>
    </w:p>
    <w:p>
      <w:pPr>
        <w:pStyle w:val="Heading2"/>
        <w:spacing w:after="100" w:before="200"/>
      </w:pPr>
      <w:r>
        <w:t xml:space="preserve">Statistical analysis</w:t>
      </w:r>
    </w:p>
    <w:p>
      <w:pPr>
        <w:spacing w:after="160" w:line="360"/>
        <w:jc w:val="both"/>
      </w:pPr>
      <w:r>
        <w:t xml:space="preserve">Weekly under-triage proportions were analysed using segmented regression with Newey–West standard errors, estimating the immediate level change and slope change after implementation [5]. Encounter-level outcomes were modelled with mixed-effects logistic regression with a random intercept for site, adjusted for age, sex, arrival mode, shift and reference acuity. Sample size was set to detect a reduction in under-triage from 18% to 12% with 90% power at α = 0.05. Analyses were conducted in R 4.4. Qualitative findings will be reported separately using the Consolidated Framework for Implementation Research [4].</w:t>
      </w:r>
    </w:p>
    <w:p>
      <w:pPr>
        <w:pStyle w:val="Heading2"/>
        <w:spacing w:after="100" w:before="200"/>
      </w:pPr>
      <w:r>
        <w:t xml:space="preserve">Ethics</w:t>
      </w:r>
    </w:p>
    <w:p>
      <w:pPr>
        <w:spacing w:after="160" w:line="360"/>
        <w:jc w:val="both"/>
      </w:pPr>
      <w:r>
        <w:t xml:space="preserve">The study was approved by the National Research Ethics &amp; Innovation Board (Demo) (ref. NREIB/ERC/2026/0417; 6 October 2026). A waiver of individual consent was granted for de-identified record abstraction, with opt-out notices displayed in English and Kiswahili. Clinicians gave written informed consent for the survey. A pre-specified stopping rule required suspension if under-triage rose more than 5 percentage points above baseline for two consecutive weeks.</w:t>
      </w:r>
    </w:p>
    <w:p>
      <w:pPr>
        <w:pStyle w:val="Heading1"/>
        <w:spacing w:after="140" w:before="280"/>
      </w:pPr>
      <w:r>
        <w:t xml:space="preserve">Results</w:t>
      </w:r>
    </w:p>
    <w:p>
      <w:pPr>
        <w:pStyle w:val="Heading2"/>
        <w:spacing w:after="100" w:before="200"/>
      </w:pPr>
      <w:r>
        <w:t xml:space="preserve">Participants</w:t>
      </w:r>
    </w:p>
    <w:p>
      <w:pPr>
        <w:spacing w:after="160" w:line="360"/>
        <w:jc w:val="both"/>
      </w:pPr>
      <w:r>
        <w:t xml:space="preserve">We analysed 3,758 encounters: 1,812 at baseline and 1,946 during implementation (Table 1). The two periods had similar patient characteristics and reference acuity distributions.</w:t>
      </w:r>
    </w:p>
    <w:p>
      <w:pPr>
        <w:spacing w:after="100" w:before="240"/>
      </w:pPr>
      <w:r>
        <w:rPr>
          <w:b/>
          <w:bCs/>
        </w:rPr>
        <w:t xml:space="preserve">Table 1. </w:t>
      </w:r>
      <w:r>
        <w:t xml:space="preserve">Characteristics of sampled ED encounters by study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left"/>
            </w:pPr>
            <w:r>
              <w:rPr>
                <w:b/>
                <w:bCs/>
                <w:sz w:val="19"/>
                <w:szCs w:val="19"/>
              </w:rPr>
              <w:t xml:space="preserve">Characteristic</w:t>
            </w:r>
          </w:p>
        </w:tc>
        <w:tc>
          <w:tcPr>
            <w:tcW w:type="dxa" w:w="258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19"/>
                <w:szCs w:val="19"/>
              </w:rPr>
              <w:t xml:space="preserve">Baseline (n = 1,812)</w:t>
            </w:r>
          </w:p>
        </w:tc>
        <w:tc>
          <w:tcPr>
            <w:tcW w:type="dxa" w:w="258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19"/>
                <w:szCs w:val="19"/>
              </w:rPr>
              <w:t xml:space="preserve">Implementation (n = 1,946)</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Site: Kisumu, n</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640</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688</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Site: Nakuru, n</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598</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641</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Site: Machakos, n</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574</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617</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Age, years, median (IQR)</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34 (24–51)</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35 (24–52)</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Female, %</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52.1</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51.4</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Arrival by ambulance, %</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11.2</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10.8</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Reference acuity: red, %</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6.1</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6.4</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Reference acuity: orange, %</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18.9</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19.3</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Reference acuity: yellow, %</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37.2</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36.8</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Reference acuity: green, %</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37.8</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37.5</w:t>
            </w:r>
          </w:p>
        </w:tc>
      </w:tr>
    </w:tbl>
    <w:p>
      <w:pPr>
        <w:spacing w:after="240" w:before="60"/>
      </w:pPr>
      <w:r>
        <w:rPr>
          <w:i/>
          <w:iCs/>
          <w:sz w:val="18"/>
          <w:szCs w:val="18"/>
        </w:rPr>
        <w:t xml:space="preserve">IQR, interquartile range. Reference acuity assigned by a blinded physician panel.</w:t>
      </w:r>
    </w:p>
    <w:p>
      <w:pPr>
        <w:pStyle w:val="Heading2"/>
        <w:spacing w:after="100" w:before="200"/>
      </w:pPr>
      <w:r>
        <w:t xml:space="preserve">Triage accuracy</w:t>
      </w:r>
    </w:p>
    <w:p>
      <w:pPr>
        <w:spacing w:after="160" w:line="360"/>
        <w:jc w:val="both"/>
      </w:pPr>
      <w:r>
        <w:t xml:space="preserve">Under-triage fell from 18.4% (333/1,812) to 9.7% (189/1,946); the adjusted odds ratio was 0.47 (95% CI 0.38–0.58). In the ITS analysis, implementation was associated with an immediate level change of −7.9 percentage points (95% CI −10.6 to −5.2; p &lt; 0.001), with no significant further change in slope (−0.12 percentage points per week, 95% CI −0.31 to 0.07; p = 0.21). Among patients whose reference acuity was red or orange, under-triage fell from 27.4% (124/453) to 14.4% (72/500). Over-triage, exact agreement and κ also improved (Table 2).</w:t>
      </w:r>
    </w:p>
    <w:p>
      <w:pPr>
        <w:spacing w:after="100" w:before="240"/>
      </w:pPr>
      <w:r>
        <w:rPr>
          <w:b/>
          <w:bCs/>
        </w:rPr>
        <w:t xml:space="preserve">Table 2. </w:t>
      </w:r>
      <w:r>
        <w:t xml:space="preserve">Triage outcomes by study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2260"/>
      </w:tblGrid>
      <w:tr>
        <w:trPr>
          <w:tblHeader/>
        </w:trPr>
        <w:tc>
          <w:tcPr>
            <w:tcW w:type="dxa" w:w="3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left"/>
            </w:pPr>
            <w:r>
              <w:rPr>
                <w:b/>
                <w:bCs/>
                <w:sz w:val="19"/>
                <w:szCs w:val="19"/>
              </w:rPr>
              <w:t xml:space="preserve">Outcome</w:t>
            </w:r>
          </w:p>
        </w:tc>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19"/>
                <w:szCs w:val="19"/>
              </w:rPr>
              <w:t xml:space="preserve">Baseline</w:t>
            </w:r>
          </w:p>
        </w:tc>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19"/>
                <w:szCs w:val="19"/>
              </w:rPr>
              <w:t xml:space="preserve">Implementation</w:t>
            </w:r>
          </w:p>
        </w:tc>
        <w:tc>
          <w:tcPr>
            <w:tcW w:type="dxa" w:w="22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19"/>
                <w:szCs w:val="19"/>
              </w:rPr>
              <w:t xml:space="preserve">Effect (95% CI)</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Under-triage, n (%)</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333 (18.4)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189 (9.7)</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aOR 0.47 (0.38–0.58)</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Over-triage, n (%)</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386 (21.3)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346 (17.8)</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aOR 0.80 (0.68–0.94)</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Exact agreement, n (%)</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1,093 (60.3)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1,411 (72.5)</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aOR 1.74 (1.51–2.01)</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Weighted κ</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0.61 (0.58–0.64)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0.78 (0.76–0.80)</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Δ 0.17</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Under-triage of red/orange, n (%)</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124/453 (27.4)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72/500 (14.4)</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aOR 0.45 (0.32–0.63)</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Arrival-to-triage, min, median (IQR)</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14 (8–27)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9 (5–16)</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−5 min</w:t>
            </w:r>
          </w:p>
        </w:tc>
      </w:tr>
    </w:tbl>
    <w:p>
      <w:pPr>
        <w:spacing w:after="240" w:before="60"/>
      </w:pPr>
      <w:r>
        <w:rPr>
          <w:i/>
          <w:iCs/>
          <w:sz w:val="18"/>
          <w:szCs w:val="18"/>
        </w:rPr>
        <w:t xml:space="preserve">aOR, adjusted odds ratio from mixed-effects logistic regression (random intercept for site), adjusted for age, sex, arrival mode, shift and reference acuity.</w:t>
      </w:r>
    </w:p>
    <w:p>
      <w:pPr>
        <w:pStyle w:val="Heading2"/>
        <w:spacing w:after="100" w:before="200"/>
      </w:pPr>
      <w:r>
        <w:t xml:space="preserve">Use of the tool and safety</w:t>
      </w:r>
    </w:p>
    <w:p>
      <w:pPr>
        <w:spacing w:after="160" w:line="360"/>
        <w:jc w:val="both"/>
      </w:pPr>
      <w:r>
        <w:t xml:space="preserve">Nurses overrode the tool's suggestion in 14.6% (284/1,946) of implementation encounters. Where they did, the nurse's category matched the reference standard in 61.3% (174/284) of cases, suggesting overrides often corrected the tool rather than reflecting disengagement. The stopping rule was never triggered, and the weekly safety review identified no serious adverse event attributable to the tool.</w:t>
      </w:r>
    </w:p>
    <w:p>
      <w:pPr>
        <w:pStyle w:val="Heading2"/>
        <w:spacing w:after="100" w:before="200"/>
      </w:pPr>
      <w:r>
        <w:t xml:space="preserve">Usability</w:t>
      </w:r>
    </w:p>
    <w:p>
      <w:pPr>
        <w:spacing w:after="160" w:line="360"/>
        <w:jc w:val="both"/>
      </w:pPr>
      <w:r>
        <w:t xml:space="preserve">Fifty-eight of 60 invited clinicians (96.7%) completed the survey. The mean SUS score was 74.2 (SD 11.8), corresponding to "good" usability [10] (Table 3).</w:t>
      </w:r>
    </w:p>
    <w:p>
      <w:pPr>
        <w:spacing w:after="100" w:before="240"/>
      </w:pPr>
      <w:r>
        <w:rPr>
          <w:b/>
          <w:bCs/>
        </w:rPr>
        <w:t xml:space="preserve">Table 3. </w:t>
      </w:r>
      <w:r>
        <w:t xml:space="preserve">Clinician usability and acceptability (n =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left"/>
            </w:pPr>
            <w:r>
              <w:rPr>
                <w:b/>
                <w:bCs/>
                <w:sz w:val="19"/>
                <w:szCs w:val="19"/>
              </w:rPr>
              <w:t xml:space="preserve">Measure</w:t>
            </w:r>
          </w:p>
        </w:tc>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19"/>
                <w:szCs w:val="19"/>
              </w:rPr>
              <w:t xml:space="preserve">Result</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Respondents: nurses / clinical officers / doctors, 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41 / 11 / 6</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SUS score, mean (SD)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74.2 (11.8)</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"The suggestion helped me identify sick patients faster", agree %</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81.0</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"I felt pressured to follow the suggestion", agree %</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12.1</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19"/>
                <w:szCs w:val="19"/>
              </w:rPr>
              <w:t xml:space="preserve">Would recommend continued use, %</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19"/>
                <w:szCs w:val="19"/>
              </w:rPr>
              <w:t xml:space="preserve">86.2</w:t>
            </w:r>
          </w:p>
        </w:tc>
      </w:tr>
    </w:tbl>
    <w:p>
      <w:pPr>
        <w:pStyle w:val="Heading1"/>
        <w:spacing w:after="140" w:before="280"/>
      </w:pPr>
      <w:r>
        <w:t xml:space="preserve">Discussion</w:t>
      </w:r>
    </w:p>
    <w:p>
      <w:pPr>
        <w:spacing w:after="160" w:line="360"/>
        <w:jc w:val="both"/>
      </w:pPr>
      <w:r>
        <w:t xml:space="preserve">In three Kenyan county referral hospital EDs, introducing an advisory AI triage tool was associated with halving of under-triage, a modest fall in over-triage, substantially better agreement with an expert reference standard and five minutes faster triage. Usability was good, and nurses continued to exercise independent judgement, overriding about one in seven suggestions, often appropriately.</w:t>
      </w:r>
    </w:p>
    <w:p>
      <w:pPr>
        <w:spacing w:after="160" w:line="360"/>
        <w:jc w:val="both"/>
      </w:pPr>
      <w:r>
        <w:t xml:space="preserve">These findings extend retrospective evidence that ML models outperform conventional triage [2, 3, 11] to prospective deployment in a low-resource African setting. The immediate level change with a flat subsequent slope suggests the effect came from the tool itself rather than a gradual learning curve, although secular improvements cannot be excluded without a concurrent control. The pattern of overrides is reassuring with respect to automation bias [7], but its persistence over longer periods needs monitoring.</w:t>
      </w:r>
    </w:p>
    <w:p>
      <w:pPr>
        <w:pStyle w:val="Heading2"/>
        <w:spacing w:after="100" w:before="200"/>
      </w:pPr>
      <w:r>
        <w:t xml:space="preserve">Strengths and limitations</w:t>
      </w:r>
    </w:p>
    <w:p>
      <w:pPr>
        <w:spacing w:after="160" w:line="360"/>
        <w:jc w:val="both"/>
      </w:pPr>
      <w:r>
        <w:t xml:space="preserve">Strengths include a blinded physician reference standard, multiple sites and pre-specified safety governance. Limitations include the uncontrolled pre–post design, a relatively short implementation period, sampling restricted to study hours, and the absence of patient-level clinical outcomes such as mortality or time to treatment. Hawthorne effects are possible, as staff knew they were being studied.</w:t>
      </w:r>
    </w:p>
    <w:p>
      <w:pPr>
        <w:pStyle w:val="Heading2"/>
        <w:spacing w:after="100" w:before="200"/>
      </w:pPr>
      <w:r>
        <w:t xml:space="preserve">Implications</w:t>
      </w:r>
    </w:p>
    <w:p>
      <w:pPr>
        <w:spacing w:after="160" w:line="360"/>
        <w:jc w:val="both"/>
      </w:pPr>
      <w:r>
        <w:t xml:space="preserve">County health departments considering AI decision support should pair deployment with local calibration, override logging, drift monitoring and a data protection impact assessment, in line with national law and WHO guidance [8, 9]. A stepped-wedge or cluster-randomised evaluation with patient outcomes is the logical next step.</w:t>
      </w:r>
    </w:p>
    <w:p>
      <w:pPr>
        <w:pStyle w:val="Heading1"/>
        <w:spacing w:after="140" w:before="280"/>
      </w:pPr>
      <w:r>
        <w:t xml:space="preserve">Conclusion</w:t>
      </w:r>
    </w:p>
    <w:p>
      <w:pPr>
        <w:spacing w:after="160" w:line="360"/>
        <w:jc w:val="both"/>
      </w:pPr>
      <w:r>
        <w:t xml:space="preserve">An advisory AI triage tool was associated with substantially lower under-triage and faster triage in Kenyan county referral hospital EDs, and clinicians found it acceptable. Rigorous controlled evaluation is warranted before scale-up.</w:t>
      </w:r>
    </w:p>
    <w:p>
      <w:pPr>
        <w:pStyle w:val="Heading1"/>
        <w:spacing w:after="140" w:before="280"/>
      </w:pPr>
      <w:r>
        <w:t xml:space="preserve">Declarations</w:t>
      </w:r>
    </w:p>
    <w:p>
      <w:pPr>
        <w:spacing w:after="160" w:line="360"/>
        <w:jc w:val="both"/>
      </w:pPr>
      <w:r>
        <w:rPr>
          <w:b/>
          <w:bCs/>
        </w:rPr>
        <w:t xml:space="preserve">Ethics approval and consent: </w:t>
      </w:r>
      <w:r>
        <w:t xml:space="preserve">National Research Ethics &amp; Innovation Board (Demo), ref. NREIB/ERC/2026/0417, approved 6 October 2026. Consent procedures are described in Methods.</w:t>
      </w:r>
    </w:p>
    <w:p>
      <w:pPr>
        <w:spacing w:after="160" w:line="360"/>
        <w:jc w:val="both"/>
      </w:pPr>
      <w:r>
        <w:rPr>
          <w:b/>
          <w:bCs/>
        </w:rPr>
        <w:t xml:space="preserve">Funding: </w:t>
      </w:r>
      <w:r>
        <w:t xml:space="preserve">Hospitium Digital Health Innovation Fund (Demo), grant HDHIF/2026/017. The funder had no role in study design, analysis or the decision to publish.</w:t>
      </w:r>
    </w:p>
    <w:p>
      <w:pPr>
        <w:spacing w:after="160" w:line="360"/>
        <w:jc w:val="both"/>
      </w:pPr>
      <w:r>
        <w:rPr>
          <w:b/>
          <w:bCs/>
        </w:rPr>
        <w:t xml:space="preserve">Data availability: </w:t>
      </w:r>
      <w:r>
        <w:t xml:space="preserve">De-identified data and analysis code are available from the corresponding author on reasonable request under a data-use agreement.</w:t>
      </w:r>
    </w:p>
    <w:p>
      <w:pPr>
        <w:spacing w:after="160" w:line="360"/>
        <w:jc w:val="both"/>
      </w:pPr>
      <w:r>
        <w:rPr>
          <w:b/>
          <w:bCs/>
        </w:rPr>
        <w:t xml:space="preserve">Competing interests: </w:t>
      </w:r>
      <w:r>
        <w:t xml:space="preserve">The authors declare no competing interests.</w:t>
      </w:r>
    </w:p>
    <w:p>
      <w:pPr>
        <w:spacing w:after="160" w:line="360"/>
        <w:jc w:val="both"/>
      </w:pPr>
      <w:r>
        <w:rPr>
          <w:b/>
          <w:bCs/>
        </w:rPr>
        <w:t xml:space="preserve">Author contributions (CRediT): </w:t>
      </w:r>
      <w:r>
        <w:t xml:space="preserve">JO: conceptualisation, funding acquisition, supervision, writing – original draft. AW: methodology, investigation, validation. FC: software, data curation. GNK: investigation, project administration. DOM: formal analysis, methodology. All authors reviewed and approved the final manuscript.</w:t>
      </w:r>
    </w:p>
    <w:p>
      <w:pPr>
        <w:pStyle w:val="Heading1"/>
        <w:spacing w:after="140" w:before="280"/>
      </w:pPr>
      <w:r>
        <w:t xml:space="preserve">References</w:t>
      </w:r>
    </w:p>
    <w:p>
      <w:pPr>
        <w:pStyle w:val="ListParagraph"/>
        <w:numPr>
          <w:ilvl w:val="0"/>
          <w:numId w:val="2"/>
        </w:numPr>
        <w:spacing w:after="80" w:line="300"/>
      </w:pPr>
      <w:r>
        <w:rPr>
          <w:sz w:val="21"/>
          <w:szCs w:val="21"/>
        </w:rPr>
        <w:t xml:space="preserve">Twomey M, Wallis LA, Thompson ML, Myers JE. The South African Triage Scale (adult version) provides reliable acuity ratings. Int Emerg Nurs. 2012;20(3):142–150.</w:t>
      </w:r>
    </w:p>
    <w:p>
      <w:pPr>
        <w:pStyle w:val="ListParagraph"/>
        <w:numPr>
          <w:ilvl w:val="0"/>
          <w:numId w:val="2"/>
        </w:numPr>
        <w:spacing w:after="80" w:line="300"/>
      </w:pPr>
      <w:r>
        <w:rPr>
          <w:sz w:val="21"/>
          <w:szCs w:val="21"/>
        </w:rPr>
        <w:t xml:space="preserve">Raita Y, Goto T, Faridi MK, Brown DFM, Camargo CA Jr, Hasegawa K. Emergency department triage prediction of clinical outcomes using machine learning models. Crit Care. 2019;23(1):64.</w:t>
      </w:r>
    </w:p>
    <w:p>
      <w:pPr>
        <w:pStyle w:val="ListParagraph"/>
        <w:numPr>
          <w:ilvl w:val="0"/>
          <w:numId w:val="2"/>
        </w:numPr>
        <w:spacing w:after="80" w:line="300"/>
      </w:pPr>
      <w:r>
        <w:rPr>
          <w:sz w:val="21"/>
          <w:szCs w:val="21"/>
        </w:rPr>
        <w:t xml:space="preserve">Levin S, Toerper M, Hamrock E, et al. Machine-learning-based electronic triage more accurately differentiates patients with respect to clinical outcomes compared with the Emergency Severity Index. Ann Emerg Med. 2018;71(5):565–574.</w:t>
      </w:r>
    </w:p>
    <w:p>
      <w:pPr>
        <w:pStyle w:val="ListParagraph"/>
        <w:numPr>
          <w:ilvl w:val="0"/>
          <w:numId w:val="2"/>
        </w:numPr>
        <w:spacing w:after="80" w:line="300"/>
      </w:pPr>
      <w:r>
        <w:rPr>
          <w:sz w:val="21"/>
          <w:szCs w:val="21"/>
        </w:rPr>
        <w:t xml:space="preserve">Damschroder LJ, Aron DC, Keith RE, Kirsh SR, Alexander JA, Lowery JC. Fostering implementation of health services research findings into practice: a consolidated framework for advancing implementation science. Implement Sci. 2009;4:50.</w:t>
      </w:r>
    </w:p>
    <w:p>
      <w:pPr>
        <w:pStyle w:val="ListParagraph"/>
        <w:numPr>
          <w:ilvl w:val="0"/>
          <w:numId w:val="2"/>
        </w:numPr>
        <w:spacing w:after="80" w:line="300"/>
      </w:pPr>
      <w:r>
        <w:rPr>
          <w:sz w:val="21"/>
          <w:szCs w:val="21"/>
        </w:rPr>
        <w:t xml:space="preserve">Bernal JL, Cummins S, Gasparrini A. Interrupted time series regression for the evaluation of public health interventions: a tutorial. Int J Epidemiol. 2017;46(1):348–355.</w:t>
      </w:r>
    </w:p>
    <w:p>
      <w:pPr>
        <w:pStyle w:val="ListParagraph"/>
        <w:numPr>
          <w:ilvl w:val="0"/>
          <w:numId w:val="2"/>
        </w:numPr>
        <w:spacing w:after="80" w:line="300"/>
      </w:pPr>
      <w:r>
        <w:rPr>
          <w:sz w:val="21"/>
          <w:szCs w:val="21"/>
        </w:rPr>
        <w:t xml:space="preserve">Brooke J. SUS: a 'quick and dirty' usability scale. In: Jordan PW, et al., editors. Usability Evaluation in Industry. London: Taylor &amp; Francis; 1996. p. 189–194.</w:t>
      </w:r>
    </w:p>
    <w:p>
      <w:pPr>
        <w:pStyle w:val="ListParagraph"/>
        <w:numPr>
          <w:ilvl w:val="0"/>
          <w:numId w:val="2"/>
        </w:numPr>
        <w:spacing w:after="80" w:line="300"/>
      </w:pPr>
      <w:r>
        <w:rPr>
          <w:sz w:val="21"/>
          <w:szCs w:val="21"/>
        </w:rPr>
        <w:t xml:space="preserve">Goddard K, Roudsari A, Wyatt JC. Automation bias: a systematic review of frequency, effect mediators, and mitigators. J Am Med Inform Assoc. 2012;19(1):121–127.</w:t>
      </w:r>
    </w:p>
    <w:p>
      <w:pPr>
        <w:pStyle w:val="ListParagraph"/>
        <w:numPr>
          <w:ilvl w:val="0"/>
          <w:numId w:val="2"/>
        </w:numPr>
        <w:spacing w:after="80" w:line="300"/>
      </w:pPr>
      <w:r>
        <w:rPr>
          <w:sz w:val="21"/>
          <w:szCs w:val="21"/>
        </w:rPr>
        <w:t xml:space="preserve">Republic of Kenya. The Data Protection Act, No. 24 of 2019. Nairobi: Government Printer; 2019.</w:t>
      </w:r>
    </w:p>
    <w:p>
      <w:pPr>
        <w:pStyle w:val="ListParagraph"/>
        <w:numPr>
          <w:ilvl w:val="0"/>
          <w:numId w:val="2"/>
        </w:numPr>
        <w:spacing w:after="80" w:line="300"/>
      </w:pPr>
      <w:r>
        <w:rPr>
          <w:sz w:val="21"/>
          <w:szCs w:val="21"/>
        </w:rPr>
        <w:t xml:space="preserve">World Health Organization. Ethics and governance of artificial intelligence for health: WHO guidance. Geneva: WHO; 2021.</w:t>
      </w:r>
    </w:p>
    <w:p>
      <w:pPr>
        <w:pStyle w:val="ListParagraph"/>
        <w:numPr>
          <w:ilvl w:val="0"/>
          <w:numId w:val="2"/>
        </w:numPr>
        <w:spacing w:after="80" w:line="300"/>
      </w:pPr>
      <w:r>
        <w:rPr>
          <w:sz w:val="21"/>
          <w:szCs w:val="21"/>
        </w:rPr>
        <w:t xml:space="preserve">Bangor A, Kortum P, Miller J. Determining what individual SUS scores mean: adding an adjective rating scale. J Usability Stud. 2009;4(3):114–123.</w:t>
      </w:r>
    </w:p>
    <w:p>
      <w:pPr>
        <w:pStyle w:val="ListParagraph"/>
        <w:numPr>
          <w:ilvl w:val="0"/>
          <w:numId w:val="2"/>
        </w:numPr>
        <w:spacing w:after="80" w:line="300"/>
      </w:pPr>
      <w:r>
        <w:rPr>
          <w:sz w:val="21"/>
          <w:szCs w:val="21"/>
        </w:rPr>
        <w:t xml:space="preserve">Hong WS, Haimovich AD, Taylor RA. Predicting hospital admission at emergency department triage using machine learning. PLoS One. 2018;13(7):e0201016.</w:t>
      </w:r>
    </w:p>
    <w:sectPr>
      <w:headerReference w:type="default" r:id="rId6"/>
      <w:footerReference w:type="default" r:id="rId7"/>
      <w:pgSz w:w="11906" w:h="16838" w:orient="portrait"/>
      <w:pgMar w:top="1440" w:right="1270" w:bottom="1440" w:left="127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C00000"/>
        <w:sz w:val="16"/>
        <w:szCs w:val="16"/>
      </w:rPr>
      <w:t xml:space="preserve">TRIAGE-KE · Owango et al. · SAMPLE MANUSCRIPT – synthetic projected data for HospitiumRIS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540" w:hanging="5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TRIAGE-KE manuscript (sample)</dc:title>
  <dc:creator>Joy Owango</dc:creator>
  <dc:description>SAMPLE manuscript with synthetic data for HospitiumRIS testing</dc:description>
  <cp:lastModifiedBy>Un-named</cp:lastModifiedBy>
  <cp:revision>1</cp:revision>
  <dcterms:created xsi:type="dcterms:W3CDTF">2026-10-20T19:50:56.984Z</dcterms:created>
  <dcterms:modified xsi:type="dcterms:W3CDTF">2026-10-20T19:50:56.993Z</dcterms:modified>
</cp:coreProperties>
</file>

<file path=docProps/custom.xml><?xml version="1.0" encoding="utf-8"?>
<Properties xmlns="http://schemas.openxmlformats.org/officeDocument/2006/custom-properties" xmlns:vt="http://schemas.openxmlformats.org/officeDocument/2006/docPropsVTypes"/>
</file>