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60"/>
      </w:pPr>
      <w:r>
        <w:rPr>
          <w:rFonts w:ascii="Calibri" w:hAnsi="Calibri"/>
          <w:b/>
          <w:color w:val="2E74B5"/>
          <w:sz w:val="20"/>
        </w:rPr>
        <w:t>PRODUCT REQUIREMENTS DOCUMENT</w:t>
      </w:r>
    </w:p>
    <w:p>
      <w:pPr>
        <w:pStyle w:val="Title"/>
      </w:pPr>
      <w:r>
        <w:rPr>
          <w:rFonts w:ascii="Calibri" w:hAnsi="Calibri"/>
          <w:color w:val="20242A"/>
        </w:rPr>
        <w:t>Mini ERP SaaS Platform</w:t>
      </w:r>
    </w:p>
    <w:p>
      <w:pPr>
        <w:pStyle w:val="Subtitle"/>
      </w:pPr>
      <w:r>
        <w:t>Final Product Requirements Document and BRD Baseline</w:t>
      </w:r>
    </w:p>
    <w:p>
      <w:pPr>
        <w:spacing w:after="40" w:line="240" w:lineRule="auto"/>
      </w:pPr>
      <w:r>
        <w:t>Version: 1.2 - Final approved baseline</w:t>
      </w:r>
    </w:p>
    <w:p>
      <w:pPr>
        <w:spacing w:after="40" w:line="240" w:lineRule="auto"/>
      </w:pPr>
      <w:r>
        <w:t>Status: APPROVED - Approved to Start Business Requirements Definition (BRD)</w:t>
      </w:r>
    </w:p>
    <w:p>
      <w:pPr>
        <w:spacing w:after="40" w:line="240" w:lineRule="auto"/>
      </w:pPr>
      <w:r>
        <w:rPr>
          <w:rFonts w:ascii="Calibri" w:hAnsi="Calibri"/>
          <w:b/>
          <w:color w:val="20242A"/>
          <w:sz w:val="21"/>
        </w:rPr>
        <w:t xml:space="preserve">Date: </w:t>
      </w:r>
      <w:r>
        <w:rPr>
          <w:rFonts w:ascii="Calibri" w:hAnsi="Calibri"/>
          <w:color w:val="20242A"/>
          <w:sz w:val="21"/>
        </w:rPr>
        <w:t>31 July 2026</w:t>
      </w:r>
    </w:p>
    <w:p>
      <w:pPr>
        <w:spacing w:after="40" w:line="240" w:lineRule="auto"/>
      </w:pPr>
      <w:r>
        <w:rPr>
          <w:rFonts w:ascii="Calibri" w:hAnsi="Calibri"/>
          <w:b/>
          <w:color w:val="20242A"/>
        </w:rPr>
        <w:t xml:space="preserve">Owner: </w:t>
      </w:r>
      <w:r>
        <w:rPr>
          <w:rFonts w:ascii="Calibri" w:hAnsi="Calibri"/>
          <w:color w:val="20242A"/>
        </w:rPr>
        <w:t>Product, Business Analysis &amp; Engineering</w:t>
      </w:r>
    </w:p>
    <w:p>
      <w:pPr>
        <w:spacing w:after="40" w:line="240" w:lineRule="auto"/>
      </w:pPr>
      <w:r>
        <w:rPr>
          <w:rFonts w:ascii="Calibri" w:hAnsi="Calibri"/>
          <w:b/>
          <w:color w:val="20242A"/>
        </w:rPr>
        <w:t xml:space="preserve">Audience: </w:t>
      </w:r>
      <w:r>
        <w:rPr>
          <w:rFonts w:ascii="Calibri" w:hAnsi="Calibri"/>
          <w:color w:val="20242A"/>
        </w:rPr>
        <w:t>Business sponsors, product, business analysis, design, engineering, QA, finance, operations, security, compliance, and implementation teams</w:t>
      </w:r>
    </w:p>
    <w:p>
      <w:pPr>
        <w:spacing w:before="160" w:after="240"/>
        <w:pBdr>
          <w:bottom w:val="single" w:sz="12" w:space="1" w:color="2E74B5"/>
        </w:pBdr>
      </w:pPr>
    </w:p>
    <w:p>
      <w:pPr>
        <w:keepLines/>
        <w:spacing w:before="140" w:after="180"/>
        <w:ind w:left="259" w:right="173"/>
        <w:shd w:fill="FFF7E8"/>
        <w:pBdr>
          <w:left w:val="single" w:sz="20" w:space="8" w:color="A15C00"/>
        </w:pBdr>
      </w:pPr>
      <w:r>
        <w:t>Consolidation basis  This final baseline consolidates the initial product draft, the detailed BRD baseline, and the approved decision addendum. It preserves the strongest requirements and controls while applying the final product decisions: Saudi launch, Wafra as Tenant #1 without tenant-specific code, Arabic/English, multi-currency, weighted-average inventory valuation, manual supplier confirmation, the approved organization hierarchy, and B2B sales only for Release 1.</w:t>
      </w:r>
    </w:p>
    <w:p>
      <w:pPr>
        <w:pStyle w:val="Heading1"/>
      </w:pPr>
      <w:r>
        <w:t>Executive summary</w:t>
      </w:r>
    </w:p>
    <w:p>
      <w:r>
        <w:t>The Mini ERP SaaS Platform will give Saudi small and medium businesses one coherent, bilingual system for purchasing, stock control, B2B sales, cash, receivables, payables, and core accounting. Wafra will be the first production tenant and validation customer, but no workflow, schema, report, permission, or user experience may be hard-coded for Wafra.</w:t>
      </w:r>
    </w:p>
    <w:p>
      <w:r>
        <w:t>The first release emphasizes dependable end-to-end B2B transactions, Saudi launch readiness, multi-tenant isolation, Arabic and English usability, multi-currency processing, core financial posting, and operational auditability. The platform remains modular and configuration-led so additional tenants, industries, country packs, and integrations can be introduced without customer-specific forks.</w:t>
      </w:r>
    </w:p>
    <w:p>
      <w:pPr>
        <w:keepLines/>
        <w:spacing w:before="140" w:after="180"/>
        <w:ind w:left="259" w:right="173"/>
        <w:shd w:fill="EAF2F8"/>
        <w:pBdr>
          <w:left w:val="single" w:sz="20" w:space="8" w:color="2E74B5"/>
        </w:pBdr>
      </w:pPr>
      <w:r>
        <w:t>Product promise  A Saudi-ready, finance-controlled operational record from purchase request to supplier payment and from B2B quotation to customer receipt, without the cost and implementation burden of a heavyweight enterprise ERP.</w:t>
      </w:r>
    </w:p>
    <w:p>
      <w:pPr>
        <w:pStyle w:val="Heading2"/>
        <w:pageBreakBefore/>
      </w:pPr>
      <w:r>
        <w:t>Document map</w:t>
      </w:r>
    </w:p>
    <w:p>
      <w:pPr>
        <w:pStyle w:val="ListBullet"/>
      </w:pPr>
      <w:r>
        <w:rPr>
          <w:rFonts w:ascii="Calibri" w:hAnsi="Calibri"/>
          <w:b/>
        </w:rPr>
        <w:t xml:space="preserve">Vision and outcomes: </w:t>
      </w:r>
      <w:r>
        <w:rPr>
          <w:rFonts w:ascii="Calibri" w:hAnsi="Calibri"/>
        </w:rPr>
        <w:t>problem, users, goals, metrics, scope, and product principles.</w:t>
      </w:r>
    </w:p>
    <w:p>
      <w:pPr>
        <w:pStyle w:val="ListBullet"/>
      </w:pPr>
      <w:r>
        <w:rPr>
          <w:rFonts w:ascii="Calibri" w:hAnsi="Calibri"/>
          <w:b/>
        </w:rPr>
        <w:t xml:space="preserve">Functional requirements: </w:t>
      </w:r>
      <w:r>
        <w:rPr>
          <w:rFonts w:ascii="Calibri" w:hAnsi="Calibri"/>
        </w:rPr>
        <w:t>platform, procurement, inventory, sales, finance, reporting, and administration.</w:t>
      </w:r>
    </w:p>
    <w:p>
      <w:pPr>
        <w:pStyle w:val="ListBullet"/>
      </w:pPr>
      <w:r>
        <w:rPr>
          <w:rFonts w:ascii="Calibri" w:hAnsi="Calibri"/>
          <w:b/>
        </w:rPr>
        <w:t xml:space="preserve">System design: </w:t>
      </w:r>
      <w:r>
        <w:rPr>
          <w:rFonts w:ascii="Calibri" w:hAnsi="Calibri"/>
        </w:rPr>
        <w:t>workflows, domain model, state machines, module boundaries, security, and integrations.</w:t>
      </w:r>
    </w:p>
    <w:p>
      <w:pPr>
        <w:pStyle w:val="ListBullet"/>
      </w:pPr>
      <w:r>
        <w:rPr>
          <w:rFonts w:ascii="Calibri" w:hAnsi="Calibri"/>
          <w:b/>
        </w:rPr>
        <w:t xml:space="preserve">Delivery controls: </w:t>
      </w:r>
      <w:r>
        <w:rPr>
          <w:rFonts w:ascii="Calibri" w:hAnsi="Calibri"/>
        </w:rPr>
        <w:t>non-functional requirements, phased release, acceptance criteria, risks, and open decisions.</w:t>
      </w:r>
    </w:p>
    <w:p>
      <w:r>
        <w:br w:type="page"/>
      </w:r>
    </w:p>
    <w:p>
      <w:pPr>
        <w:pStyle w:val="Heading1"/>
      </w:pPr>
      <w:r>
        <w:t>0. Consolidated launch baseline</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350"/>
        <w:gridCol w:w="7010"/>
      </w:tblGrid>
      <w:tr>
        <w:trPr>
          <w:tblHeader w:val="true"/>
          <w:cantSplit/>
        </w:trPr>
        <w:tc>
          <w:tcPr>
            <w:tcW w:type="dxa" w:w="2350"/>
            <w:shd w:fill="F2F4F7"/>
            <w:vAlign w:val="center"/>
            <w:tcMar>
              <w:top w:w="80" w:type="dxa"/>
              <w:start w:w="120" w:type="dxa"/>
              <w:bottom w:w="80" w:type="dxa"/>
              <w:end w:w="120" w:type="dxa"/>
            </w:tcMar>
          </w:tcPr>
          <w:p>
            <w:pPr>
              <w:spacing w:after="0"/>
              <w:jc w:val="left"/>
            </w:pPr>
            <w:r>
              <w:rPr>
                <w:rFonts w:ascii="Calibri" w:hAnsi="Calibri"/>
                <w:b/>
                <w:color w:val="20242A"/>
                <w:sz w:val="18"/>
              </w:rPr>
              <w:t>Decision area</w:t>
            </w:r>
          </w:p>
        </w:tc>
        <w:tc>
          <w:tcPr>
            <w:tcW w:type="dxa" w:w="7010"/>
            <w:shd w:fill="F2F4F7"/>
            <w:vAlign w:val="center"/>
            <w:tcMar>
              <w:top w:w="80" w:type="dxa"/>
              <w:start w:w="120" w:type="dxa"/>
              <w:bottom w:w="80" w:type="dxa"/>
              <w:end w:w="120" w:type="dxa"/>
            </w:tcMar>
          </w:tcPr>
          <w:p>
            <w:pPr>
              <w:spacing w:after="0"/>
              <w:jc w:val="left"/>
            </w:pPr>
            <w:r>
              <w:rPr>
                <w:rFonts w:ascii="Calibri" w:hAnsi="Calibri"/>
                <w:b/>
                <w:color w:val="20242A"/>
                <w:sz w:val="18"/>
              </w:rPr>
              <w:t>Approved baseline</w:t>
            </w:r>
          </w:p>
        </w:tc>
      </w:tr>
      <w:tr>
        <w:trPr>
          <w:cantSplit/>
        </w:trPr>
        <w:tc>
          <w:tcPr>
            <w:tcW w:type="dxa" w:w="2350"/>
            <w:vAlign w:val="center"/>
            <w:tcMar>
              <w:top w:w="80" w:type="dxa"/>
              <w:start w:w="120" w:type="dxa"/>
              <w:bottom w:w="80" w:type="dxa"/>
              <w:end w:w="120" w:type="dxa"/>
            </w:tcMar>
          </w:tcPr>
          <w:p>
            <w:pPr>
              <w:spacing w:after="0" w:line="252" w:lineRule="auto"/>
              <w:jc w:val="left"/>
            </w:pPr>
            <w:r>
              <w:rPr>
                <w:rFonts w:ascii="Calibri" w:hAnsi="Calibri"/>
                <w:color w:val="20242A"/>
                <w:sz w:val="18"/>
              </w:rPr>
              <w:t>Product</w:t>
            </w:r>
          </w:p>
        </w:tc>
        <w:tc>
          <w:tcPr>
            <w:tcW w:type="dxa" w:w="7010"/>
            <w:vAlign w:val="center"/>
            <w:tcMar>
              <w:top w:w="80" w:type="dxa"/>
              <w:start w:w="120" w:type="dxa"/>
              <w:bottom w:w="80" w:type="dxa"/>
              <w:end w:w="120" w:type="dxa"/>
            </w:tcMar>
          </w:tcPr>
          <w:p>
            <w:pPr>
              <w:spacing w:after="0" w:line="252" w:lineRule="auto"/>
              <w:jc w:val="left"/>
            </w:pPr>
            <w:r>
              <w:rPr>
                <w:rFonts w:ascii="Calibri" w:hAnsi="Calibri"/>
                <w:color w:val="20242A"/>
                <w:sz w:val="18"/>
              </w:rPr>
              <w:t>Cloud-native, multi-tenant, modular ERP SaaS for SMEs</w:t>
            </w:r>
          </w:p>
        </w:tc>
      </w:tr>
      <w:tr>
        <w:trPr>
          <w:cantSplit/>
        </w:trPr>
        <w:tc>
          <w:tcPr>
            <w:tcW w:type="dxa" w:w="2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Initial market</w:t>
            </w:r>
          </w:p>
        </w:tc>
        <w:tc>
          <w:tcPr>
            <w:tcW w:type="dxa" w:w="7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Kingdom of Saudi Arabia</w:t>
            </w:r>
          </w:p>
        </w:tc>
      </w:tr>
      <w:tr>
        <w:trPr>
          <w:cantSplit/>
        </w:trPr>
        <w:tc>
          <w:tcPr>
            <w:tcW w:type="dxa" w:w="2350"/>
            <w:vAlign w:val="center"/>
            <w:tcMar>
              <w:top w:w="80" w:type="dxa"/>
              <w:start w:w="120" w:type="dxa"/>
              <w:bottom w:w="80" w:type="dxa"/>
              <w:end w:w="120" w:type="dxa"/>
            </w:tcMar>
          </w:tcPr>
          <w:p>
            <w:pPr>
              <w:spacing w:after="0" w:line="252" w:lineRule="auto"/>
              <w:jc w:val="left"/>
            </w:pPr>
            <w:r>
              <w:rPr>
                <w:rFonts w:ascii="Calibri" w:hAnsi="Calibri"/>
                <w:color w:val="20242A"/>
                <w:sz w:val="18"/>
              </w:rPr>
              <w:t>First production tenant</w:t>
            </w:r>
          </w:p>
        </w:tc>
        <w:tc>
          <w:tcPr>
            <w:tcW w:type="dxa" w:w="7010"/>
            <w:vAlign w:val="center"/>
            <w:tcMar>
              <w:top w:w="80" w:type="dxa"/>
              <w:start w:w="120" w:type="dxa"/>
              <w:bottom w:w="80" w:type="dxa"/>
              <w:end w:w="120" w:type="dxa"/>
            </w:tcMar>
          </w:tcPr>
          <w:p>
            <w:pPr>
              <w:spacing w:after="0" w:line="252" w:lineRule="auto"/>
              <w:jc w:val="left"/>
            </w:pPr>
            <w:r>
              <w:rPr>
                <w:rFonts w:ascii="Calibri" w:hAnsi="Calibri"/>
                <w:color w:val="20242A"/>
                <w:sz w:val="18"/>
              </w:rPr>
              <w:t>Wafra - validation customer, not a product-specific fork</w:t>
            </w:r>
          </w:p>
        </w:tc>
      </w:tr>
      <w:tr>
        <w:trPr>
          <w:cantSplit/>
        </w:trPr>
        <w:tc>
          <w:tcPr>
            <w:tcW w:type="dxa" w:w="2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Target segment</w:t>
            </w:r>
          </w:p>
        </w:tc>
        <w:tc>
          <w:tcPr>
            <w:tcW w:type="dxa" w:w="7010"/>
            <w:shd w:fill="FAFBFC"/>
            <w:vAlign w:val="center"/>
            <w:tcMar>
              <w:top w:w="80" w:type="dxa"/>
              <w:start w:w="120" w:type="dxa"/>
              <w:bottom w:w="80" w:type="dxa"/>
              <w:end w:w="120" w:type="dxa"/>
            </w:tcMar>
          </w:tcPr>
          <w:p>
            <w:pPr>
              <w:spacing w:after="0"/>
            </w:pPr>
            <w:r>
              <w:t>Approximately 5-500 employees; wholesale, distribution, pharmacy, grocery, electronics, fashion, medical supply, trading, services, and retail organizations that require ERP back-office and B2B operations. Retail point-of-sale is not part of Release 1.</w:t>
            </w:r>
          </w:p>
        </w:tc>
      </w:tr>
      <w:tr>
        <w:trPr>
          <w:cantSplit/>
        </w:trPr>
        <w:tc>
          <w:tcPr>
            <w:tcW w:type="dxa" w:w="2350"/>
            <w:vAlign w:val="center"/>
            <w:tcMar>
              <w:top w:w="80" w:type="dxa"/>
              <w:start w:w="120" w:type="dxa"/>
              <w:bottom w:w="80" w:type="dxa"/>
              <w:end w:w="120" w:type="dxa"/>
            </w:tcMar>
          </w:tcPr>
          <w:p>
            <w:pPr>
              <w:spacing w:after="0" w:line="252" w:lineRule="auto"/>
              <w:jc w:val="left"/>
            </w:pPr>
            <w:r>
              <w:rPr>
                <w:rFonts w:ascii="Calibri" w:hAnsi="Calibri"/>
                <w:color w:val="20242A"/>
                <w:sz w:val="18"/>
              </w:rPr>
              <w:t>Languages</w:t>
            </w:r>
          </w:p>
        </w:tc>
        <w:tc>
          <w:tcPr>
            <w:tcW w:type="dxa" w:w="7010"/>
            <w:vAlign w:val="center"/>
            <w:tcMar>
              <w:top w:w="80" w:type="dxa"/>
              <w:start w:w="120" w:type="dxa"/>
              <w:bottom w:w="80" w:type="dxa"/>
              <w:end w:w="120" w:type="dxa"/>
            </w:tcMar>
          </w:tcPr>
          <w:p>
            <w:pPr>
              <w:spacing w:after="0" w:line="252" w:lineRule="auto"/>
              <w:jc w:val="left"/>
            </w:pPr>
            <w:r>
              <w:rPr>
                <w:rFonts w:ascii="Calibri" w:hAnsi="Calibri"/>
                <w:color w:val="20242A"/>
                <w:sz w:val="18"/>
              </w:rPr>
              <w:t>Arabic and English from Release 1; full RTL capability</w:t>
            </w:r>
          </w:p>
        </w:tc>
      </w:tr>
      <w:tr>
        <w:trPr>
          <w:cantSplit/>
        </w:trPr>
        <w:tc>
          <w:tcPr>
            <w:tcW w:type="dxa" w:w="2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Base currency</w:t>
            </w:r>
          </w:p>
        </w:tc>
        <w:tc>
          <w:tcPr>
            <w:tcW w:type="dxa" w:w="7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SAR by default for Saudi tenants; multi-currency transaction foundation</w:t>
            </w:r>
          </w:p>
        </w:tc>
      </w:tr>
      <w:tr>
        <w:trPr>
          <w:cantSplit/>
        </w:trPr>
        <w:tc>
          <w:tcPr>
            <w:tcW w:type="dxa" w:w="2350"/>
            <w:vAlign w:val="center"/>
            <w:tcMar>
              <w:top w:w="80" w:type="dxa"/>
              <w:start w:w="120" w:type="dxa"/>
              <w:bottom w:w="80" w:type="dxa"/>
              <w:end w:w="120" w:type="dxa"/>
            </w:tcMar>
          </w:tcPr>
          <w:p>
            <w:pPr>
              <w:spacing w:after="0" w:line="252" w:lineRule="auto"/>
              <w:jc w:val="left"/>
            </w:pPr>
            <w:r>
              <w:rPr>
                <w:rFonts w:ascii="Calibri" w:hAnsi="Calibri"/>
                <w:color w:val="20242A"/>
                <w:sz w:val="18"/>
              </w:rPr>
              <w:t>Release 1 backbone</w:t>
            </w:r>
          </w:p>
        </w:tc>
        <w:tc>
          <w:tcPr>
            <w:tcW w:type="dxa" w:w="7010"/>
            <w:vAlign w:val="center"/>
            <w:tcMar>
              <w:top w:w="80" w:type="dxa"/>
              <w:start w:w="120" w:type="dxa"/>
              <w:bottom w:w="80" w:type="dxa"/>
              <w:end w:w="120" w:type="dxa"/>
            </w:tcMar>
          </w:tcPr>
          <w:p>
            <w:pPr>
              <w:spacing w:after="0"/>
            </w:pPr>
            <w:r>
              <w:t>SaaS administration, identity, organization, master data, procurement, inventory, B2B sales, AP, AR, core GL, cash/bank, reporting, audit, and Saudi country pack</w:t>
            </w:r>
          </w:p>
        </w:tc>
      </w:tr>
      <w:tr>
        <w:trPr>
          <w:cantSplit/>
        </w:trPr>
        <w:tc>
          <w:tcPr>
            <w:tcW w:type="dxa" w:w="2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Customization rule</w:t>
            </w:r>
          </w:p>
        </w:tc>
        <w:tc>
          <w:tcPr>
            <w:tcW w:type="dxa" w:w="7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Configuration, entitlement, country pack, and controlled extensions before tenant-specific customization</w:t>
            </w:r>
          </w:p>
        </w:tc>
      </w:tr>
      <w:tr>
        <w:trPr>
          <w:cantSplit/>
        </w:trPr>
        <w:tc>
          <w:tcPr>
            <w:tcW w:type="dxa" w:w="2350"/>
          </w:tcPr>
          <w:p>
            <w:pPr>
              <w:spacing w:after="0"/>
            </w:pPr>
            <w:r>
              <w:t>Architecture</w:t>
            </w:r>
          </w:p>
        </w:tc>
        <w:tc>
          <w:tcPr>
            <w:tcW w:type="dxa" w:w="7010"/>
          </w:tcPr>
          <w:p>
            <w:pPr>
              <w:spacing w:after="0"/>
            </w:pPr>
            <w:r>
              <w:t>Modular monolith with strict domain boundaries and a shared relational database using governed tenant isolation</w:t>
            </w:r>
          </w:p>
        </w:tc>
      </w:tr>
      <w:tr>
        <w:trPr>
          <w:cantSplit/>
        </w:trPr>
        <w:tc>
          <w:tcPr>
            <w:tcW w:type="dxa" w:w="2350"/>
          </w:tcPr>
          <w:p>
            <w:pPr>
              <w:spacing w:after="0"/>
            </w:pPr>
            <w:r>
              <w:t>Organization hierarchy</w:t>
            </w:r>
          </w:p>
        </w:tc>
        <w:tc>
          <w:tcPr>
            <w:tcW w:type="dxa" w:w="7010"/>
          </w:tcPr>
          <w:p>
            <w:pPr>
              <w:spacing w:after="0"/>
            </w:pPr>
            <w:r>
              <w:t>Platform -&gt; Tenant -&gt; Company (Legal Entity) -&gt; Branch -&gt; Warehouse. A tenant may contain one or more legal entities; consolidation is outside Release 1.</w:t>
            </w:r>
          </w:p>
        </w:tc>
      </w:tr>
      <w:tr>
        <w:trPr>
          <w:cantSplit/>
        </w:trPr>
        <w:tc>
          <w:tcPr>
            <w:tcW w:type="dxa" w:w="2350"/>
          </w:tcPr>
          <w:p>
            <w:pPr>
              <w:spacing w:after="0"/>
            </w:pPr>
            <w:r>
              <w:t>Inventory valuation</w:t>
            </w:r>
          </w:p>
        </w:tc>
        <w:tc>
          <w:tcPr>
            <w:tcW w:type="dxa" w:w="7010"/>
          </w:tcPr>
          <w:p>
            <w:pPr>
              <w:spacing w:after="0"/>
            </w:pPr>
            <w:r>
              <w:t>Moving weighted average for Release 1; detailed valuation scope and posting matrix are validated in the BRD</w:t>
            </w:r>
          </w:p>
        </w:tc>
      </w:tr>
      <w:tr>
        <w:trPr>
          <w:cantSplit/>
        </w:trPr>
        <w:tc>
          <w:tcPr>
            <w:tcW w:type="dxa" w:w="2350"/>
          </w:tcPr>
          <w:p>
            <w:pPr>
              <w:spacing w:after="0"/>
            </w:pPr>
            <w:r>
              <w:t>Supplier operating model</w:t>
            </w:r>
          </w:p>
        </w:tc>
        <w:tc>
          <w:tcPr>
            <w:tcW w:type="dxa" w:w="7010"/>
          </w:tcPr>
          <w:p>
            <w:pPr>
              <w:spacing w:after="0"/>
            </w:pPr>
            <w:r>
              <w:t>Suppliers are external parties, not system users. Authorized tenant users manually record supplier confirmation, partial confirmation, rejection, and supporting evidence.</w:t>
            </w:r>
          </w:p>
        </w:tc>
      </w:tr>
      <w:tr>
        <w:trPr>
          <w:cantSplit/>
        </w:trPr>
        <w:tc>
          <w:tcPr>
            <w:tcW w:type="dxa" w:w="2350"/>
          </w:tcPr>
          <w:p>
            <w:pPr>
              <w:spacing w:after="0"/>
            </w:pPr>
            <w:r>
              <w:t>Sales model</w:t>
            </w:r>
          </w:p>
        </w:tc>
        <w:tc>
          <w:tcPr>
            <w:tcW w:type="dxa" w:w="7010"/>
          </w:tcPr>
          <w:p>
            <w:pPr>
              <w:spacing w:after="0"/>
            </w:pPr>
            <w:r>
              <w:t>B2B quotation-to-cash only. Retail POS is excluded from Release 1 and requires a separately approved future product release.</w:t>
            </w:r>
          </w:p>
        </w:tc>
      </w:tr>
    </w:tbl>
    <w:p>
      <w:pPr>
        <w:spacing w:before="80" w:after="0"/>
      </w:pPr>
    </w:p>
    <w:p>
      <w:pPr>
        <w:pStyle w:val="Heading2"/>
      </w:pPr>
      <w:r>
        <w:t>0.1 Final consolidation outcome</w:t>
      </w:r>
    </w:p>
    <w:p>
      <w:pPr>
        <w:pStyle w:val="ListBullet"/>
      </w:pPr>
      <w:r>
        <w:t>Integrated from the initial draft: product vision, modular ERP scope, measurable quality objectives, core B2B purchase-to-pay and order-to-cash workflows, domain boundaries, security, and delivery controls.</w:t>
      </w:r>
    </w:p>
    <w:p>
      <w:pPr>
        <w:pStyle w:val="ListBullet"/>
      </w:pPr>
      <w:r>
        <w:t>Integrated from the consolidated baseline: Saudi launch requirements, SaaS tenant operations, core finance controls, state machines, business invariants, migration readiness, reporting reconciliation, BRD governance, and official Saudi reference links.</w:t>
      </w:r>
    </w:p>
    <w:p>
      <w:pPr>
        <w:pStyle w:val="ListBullet"/>
      </w:pPr>
      <w:r>
        <w:t>Applied from the approved decision addendum: Release 1 is B2B only; Wafra is Tenant #1 without customer-specific code; the organization hierarchy is fixed; suppliers remain external; supplier confirmations are manually captured; and weighted average is the initial inventory valuation method.</w:t>
      </w:r>
    </w:p>
    <w:p>
      <w:pPr>
        <w:pStyle w:val="ListBullet"/>
      </w:pPr>
      <w:r>
        <w:t>Scope correction: all operational Retail POS requirements, rules, acceptance evidence, and workshop references have been removed from Release 1. POS is documented only as an explicit future non-goal requiring separate approval and scope.</w:t>
      </w:r>
    </w:p>
    <w:p>
      <w:pPr>
        <w:pStyle w:val="Heading2"/>
      </w:pPr>
      <w:r>
        <w:t>0.2 Document purpose</w:t>
      </w:r>
    </w:p>
    <w:p>
      <w:r>
        <w:rPr>
          <w:rFonts w:ascii="Calibri" w:hAnsi="Calibri"/>
          <w:i w:val="0"/>
          <w:color w:val="20242A"/>
        </w:rPr>
        <w:t>This PRD is the approved starting point for BRD discovery. It defines what the product must achieve and the product-level constraints. The BRD must validate business processes, actors, rules, data, reports, integrations, migration, controls, organizational change, and acceptance evidence with named stakeholders.</w:t>
      </w:r>
    </w:p>
    <w:p>
      <w:pPr>
        <w:keepLines/>
        <w:spacing w:before="140" w:after="180"/>
        <w:ind w:left="259" w:right="173"/>
        <w:shd w:fill="FFF7E8"/>
        <w:pBdr>
          <w:left w:val="single" w:sz="20" w:space="8" w:color="A15C00"/>
        </w:pBdr>
      </w:pPr>
      <w:r>
        <w:rPr>
          <w:rFonts w:ascii="Calibri" w:hAnsi="Calibri"/>
          <w:b/>
          <w:color w:val="A15C00"/>
          <w:sz w:val="21"/>
        </w:rPr>
        <w:t xml:space="preserve">BRD gate  </w:t>
      </w:r>
      <w:r>
        <w:rPr>
          <w:rFonts w:ascii="Calibri" w:hAnsi="Calibri"/>
          <w:color w:val="20242A"/>
          <w:sz w:val="21"/>
        </w:rPr>
        <w:t>No module should enter detailed design until its process owner, finance/control owner, product owner, and engineering representative approve the corresponding BRD process map, business rules, exception catalogue, data definitions, reports, and acceptance scenarios.</w:t>
      </w:r>
    </w:p>
    <w:p>
      <w:pPr>
        <w:pStyle w:val="Heading2"/>
      </w:pPr>
      <w:r>
        <w:t>0.3 Approved product decisions</w:t>
      </w:r>
    </w:p>
    <w:p>
      <w:pPr>
        <w:pStyle w:val="ListBullet"/>
      </w:pPr>
      <w:r>
        <w:t>Release 1 delivers B2B ERP capabilities only: procurement, inventory, B2B sales, finance, reporting, and SaaS administration.</w:t>
      </w:r>
    </w:p>
    <w:p>
      <w:pPr>
        <w:pStyle w:val="ListBullet"/>
      </w:pPr>
      <w:r>
        <w:t>Wafra is Tenant #1 and a validation customer only. Product behavior must remain reusable and configuration-led.</w:t>
      </w:r>
    </w:p>
    <w:p>
      <w:pPr>
        <w:pStyle w:val="ListBullet"/>
      </w:pPr>
      <w:r>
        <w:t>The architecture baseline is a modular monolith with strict domain ownership and versioned module contracts.</w:t>
      </w:r>
    </w:p>
    <w:p>
      <w:pPr>
        <w:pStyle w:val="ListBullet"/>
      </w:pPr>
      <w:r>
        <w:t>The organization hierarchy is Platform -&gt; Tenant -&gt; Company (Legal Entity) -&gt; Branch -&gt; Warehouse.</w:t>
      </w:r>
    </w:p>
    <w:p>
      <w:pPr>
        <w:pStyle w:val="ListBullet"/>
      </w:pPr>
      <w:r>
        <w:t>A tenant may operate one or more legal entities; financial consolidation across legal entities is outside Release 1.</w:t>
      </w:r>
    </w:p>
    <w:p>
      <w:pPr>
        <w:pStyle w:val="ListBullet"/>
      </w:pPr>
      <w:r>
        <w:t>Arabic and English are foundational Release 1 capabilities, including complete RTL behavior and bilingual documents where configured.</w:t>
      </w:r>
    </w:p>
    <w:p>
      <w:pPr>
        <w:pStyle w:val="ListBullet"/>
      </w:pPr>
      <w:r>
        <w:t>Saudi tenant setup defaults to SAR and Asia/Riyadh. Each legal entity owns a functional currency; transactions may use other currencies with preserved posting-time rates.</w:t>
      </w:r>
    </w:p>
    <w:p>
      <w:pPr>
        <w:pStyle w:val="ListBullet"/>
      </w:pPr>
      <w:r>
        <w:t>Moving weighted average is the Release 1 inventory valuation method.</w:t>
      </w:r>
    </w:p>
    <w:p>
      <w:pPr>
        <w:pStyle w:val="ListBullet"/>
      </w:pPr>
      <w:r>
        <w:t>Suppliers are external parties. Supplier responses are manually recorded by authorized purchasing users with dates, references, notes, and attachments.</w:t>
      </w:r>
    </w:p>
    <w:p>
      <w:pPr>
        <w:pStyle w:val="ListBullet"/>
      </w:pPr>
      <w:r>
        <w:t>Retail POS is not part of Release 1 and must not enter BRD scope, Jira stories, architecture, or implementation without a future product decision.</w:t>
      </w:r>
    </w:p>
    <w:p>
      <w:pPr>
        <w:pStyle w:val="Heading1"/>
      </w:pPr>
      <w:r>
        <w:t>1. Product vision and business context</w:t>
      </w:r>
    </w:p>
    <w:p>
      <w:pPr>
        <w:pStyle w:val="Heading2"/>
      </w:pPr>
      <w:r>
        <w:t>1.1 Problem statement</w:t>
      </w:r>
    </w:p>
    <w:p>
      <w:r>
        <w:rPr>
          <w:rFonts w:ascii="Calibri" w:hAnsi="Calibri"/>
          <w:i w:val="0"/>
          <w:color w:val="20242A"/>
        </w:rPr>
        <w:t>Growing companies commonly operate procurement, inventory, sales, and accounting in separate spreadsheets or loosely connected applications. The resulting duplicate entry, inconsistent stock figures, delayed reconciliation, weak approval evidence, and limited end-to-end traceability increase operating cost and financial risk.</w:t>
      </w:r>
    </w:p>
    <w:p>
      <w:r>
        <w:rPr>
          <w:rFonts w:ascii="Calibri" w:hAnsi="Calibri"/>
          <w:i w:val="0"/>
          <w:color w:val="20242A"/>
        </w:rPr>
        <w:t>The product must establish a single transactional backbone without introducing the cost, configuration burden, or implementation timeline of a large enterprise ERP.</w:t>
      </w:r>
    </w:p>
    <w:p>
      <w:pPr>
        <w:pStyle w:val="Heading2"/>
      </w:pPr>
      <w:r>
        <w:t>1.2 Vision</w:t>
      </w:r>
    </w:p>
    <w:p>
      <w:r>
        <w:rPr>
          <w:rFonts w:ascii="Calibri" w:hAnsi="Calibri"/>
          <w:i w:val="0"/>
          <w:color w:val="20242A"/>
        </w:rPr>
        <w:t>Deliver a secure cloud ERP that is understandable on day one, configurable for common SMB operating models, and trustworthy enough to become the operational system of record.</w:t>
      </w:r>
    </w:p>
    <w:p>
      <w:pPr>
        <w:pStyle w:val="Heading2"/>
      </w:pPr>
      <w:r>
        <w:t>1.3 Target customers</w:t>
      </w:r>
    </w:p>
    <w:p>
      <w:pPr>
        <w:pStyle w:val="ListBullet"/>
      </w:pPr>
      <w:r>
        <w:t>Saudi SMEs with approximately 5 to 500 employees, initially focused on wholesalers, distributors, pharmacies, grocery, electronics, fashion, medical supply, services, trading companies, and retail organizations requiring back-office and B2B ERP operations.</w:t>
      </w:r>
    </w:p>
    <w:p>
      <w:pPr>
        <w:pStyle w:val="ListBullet"/>
      </w:pPr>
      <w:r>
        <w:rPr>
          <w:rFonts w:ascii="Calibri" w:hAnsi="Calibri"/>
          <w:color w:val="20242A"/>
        </w:rPr>
        <w:t>Organizations operating one or more branches or warehouses and requiring centralized operational, tax, and financial visibility.</w:t>
      </w:r>
    </w:p>
    <w:p>
      <w:pPr>
        <w:pStyle w:val="ListBullet"/>
      </w:pPr>
      <w:r>
        <w:rPr>
          <w:rFonts w:ascii="Calibri" w:hAnsi="Calibri"/>
          <w:color w:val="20242A"/>
        </w:rPr>
        <w:t>Teams outgrowing spreadsheets or entry-level accounting systems but not ready for a traditional enterprise ERP implementation.</w:t>
      </w:r>
    </w:p>
    <w:p>
      <w:pPr>
        <w:pStyle w:val="ListBullet"/>
      </w:pPr>
      <w:r>
        <w:rPr>
          <w:rFonts w:ascii="Calibri" w:hAnsi="Calibri"/>
          <w:color w:val="20242A"/>
        </w:rPr>
        <w:t>Wafra as the first production tenant, followed by repeatable onboarding for future Saudi tenants and implementation partners.</w:t>
      </w:r>
    </w:p>
    <w:p>
      <w:pPr>
        <w:pStyle w:val="Heading2"/>
      </w:pPr>
      <w:r>
        <w:t>1.4 Primary personas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900"/>
        <w:gridCol w:w="3350"/>
        <w:gridCol w:w="4110"/>
      </w:tblGrid>
      <w:tr>
        <w:trPr>
          <w:tblHeader w:val="true"/>
          <w:cantSplit/>
        </w:trPr>
        <w:tc>
          <w:tcPr>
            <w:tcW w:type="dxa" w:w="1900"/>
            <w:shd w:fill="F2F4F7"/>
            <w:tcMar>
              <w:top w:w="80" w:type="dxa"/>
              <w:start w:w="120" w:type="dxa"/>
              <w:bottom w:w="80" w:type="dxa"/>
              <w:end w:w="120" w:type="dxa"/>
            </w:tcMar>
            <w:vAlign w:val="center"/>
          </w:tcPr>
          <w:p>
            <w:pPr>
              <w:spacing w:after="0"/>
              <w:jc w:val="left"/>
            </w:pPr>
            <w:r>
              <w:rPr>
                <w:rFonts w:ascii="Calibri" w:hAnsi="Calibri"/>
                <w:b/>
                <w:color w:val="20242A"/>
                <w:sz w:val="19"/>
              </w:rPr>
              <w:t>Persona</w:t>
            </w:r>
          </w:p>
        </w:tc>
        <w:tc>
          <w:tcPr>
            <w:tcW w:type="dxa" w:w="3350"/>
            <w:shd w:fill="F2F4F7"/>
            <w:tcMar>
              <w:top w:w="80" w:type="dxa"/>
              <w:start w:w="120" w:type="dxa"/>
              <w:bottom w:w="80" w:type="dxa"/>
              <w:end w:w="120" w:type="dxa"/>
            </w:tcMar>
            <w:vAlign w:val="center"/>
          </w:tcPr>
          <w:p>
            <w:pPr>
              <w:spacing w:after="0"/>
              <w:jc w:val="left"/>
            </w:pPr>
            <w:r>
              <w:rPr>
                <w:rFonts w:ascii="Calibri" w:hAnsi="Calibri"/>
                <w:b/>
                <w:color w:val="20242A"/>
                <w:sz w:val="19"/>
              </w:rPr>
              <w:t>Core need</w:t>
            </w:r>
          </w:p>
        </w:tc>
        <w:tc>
          <w:tcPr>
            <w:tcW w:type="dxa" w:w="4110"/>
            <w:shd w:fill="F2F4F7"/>
            <w:tcMar>
              <w:top w:w="80" w:type="dxa"/>
              <w:start w:w="120" w:type="dxa"/>
              <w:bottom w:w="80" w:type="dxa"/>
              <w:end w:w="120" w:type="dxa"/>
            </w:tcMar>
            <w:vAlign w:val="center"/>
          </w:tcPr>
          <w:p>
            <w:pPr>
              <w:spacing w:after="0"/>
              <w:jc w:val="left"/>
            </w:pPr>
            <w:r>
              <w:rPr>
                <w:rFonts w:ascii="Calibri" w:hAnsi="Calibri"/>
                <w:b/>
                <w:color w:val="20242A"/>
                <w:sz w:val="19"/>
              </w:rPr>
              <w:t>Critical experience</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color w:val="20242A"/>
                <w:sz w:val="18"/>
              </w:rPr>
              <w:t>Business owner / executive</w:t>
            </w:r>
          </w:p>
        </w:tc>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Trustworthy view of cash, sales, purchasing, and stock</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Role-based dashboard, exceptions, drill-down, export</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Procurement officer</w:t>
            </w:r>
          </w:p>
        </w:tc>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Controlled sourcing and purchasing</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Requests, approvals, purchase orders, receiving status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color w:val="20242A"/>
                <w:sz w:val="18"/>
              </w:rPr>
              <w:t>Warehouse operator</w:t>
            </w:r>
          </w:p>
        </w:tc>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Accurate, fast stock movements</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Mobile-friendly receiving, transfer, counting, adjustments</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Sales representative</w:t>
            </w:r>
          </w:p>
        </w:tc>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Fast quote and order processing</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Availability, pricing, customer status, fulfillment progress</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color w:val="20242A"/>
                <w:sz w:val="18"/>
              </w:rPr>
              <w:t>Accountant / finance manager</w:t>
            </w:r>
          </w:p>
        </w:tc>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Complete, reconcilable books</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Posting review, receivables, payables, tax, period close</w:t>
            </w:r>
          </w:p>
        </w:tc>
      </w:tr>
      <w:tr>
        <w:trPr>
          <w:cantSplit/>
        </w:trPr>
        <w:tc>
          <w:tcPr>
            <w:tcW w:type="dxa" w:w="1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System administrator</w:t>
            </w:r>
          </w:p>
        </w:tc>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Safe configuration and access</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Tenant setup, roles, numbering, audit, imports</w:t>
            </w:r>
          </w:p>
        </w:tc>
      </w:tr>
    </w:tbl>
    <w:p>
      <w:pPr>
        <w:spacing w:before="80" w:after="0"/>
      </w:pPr>
    </w:p>
    <w:p>
      <w:pPr>
        <w:pStyle w:val="Heading1"/>
      </w:pPr>
      <w:r>
        <w:t>2. Objectives, metrics, and boundaries</w:t>
      </w:r>
    </w:p>
    <w:p>
      <w:pPr>
        <w:pStyle w:val="Heading2"/>
      </w:pPr>
      <w:r>
        <w:t>2.1 Product objectives</w:t>
      </w:r>
    </w:p>
    <w:p>
      <w:pPr>
        <w:pStyle w:val="ListBullet"/>
      </w:pPr>
      <w:r>
        <w:rPr>
          <w:rFonts w:ascii="Calibri" w:hAnsi="Calibri"/>
        </w:rPr>
        <w:t>Create one auditable record for core purchase-to-pay, inventory, order-to-cash, and financial transactions.</w:t>
      </w:r>
    </w:p>
    <w:p>
      <w:pPr>
        <w:pStyle w:val="ListBullet"/>
      </w:pPr>
      <w:r>
        <w:rPr>
          <w:rFonts w:ascii="Calibri" w:hAnsi="Calibri"/>
        </w:rPr>
        <w:t>Reduce repeated data entry through shared master data and controlled document conversion.</w:t>
      </w:r>
    </w:p>
    <w:p>
      <w:pPr>
        <w:pStyle w:val="ListBullet"/>
      </w:pPr>
      <w:r>
        <w:rPr>
          <w:rFonts w:ascii="Calibri" w:hAnsi="Calibri"/>
        </w:rPr>
        <w:t>Provide accurate stock and financial positions with documented posting rules.</w:t>
      </w:r>
    </w:p>
    <w:p>
      <w:pPr>
        <w:pStyle w:val="ListBullet"/>
      </w:pPr>
      <w:r>
        <w:rPr>
          <w:rFonts w:ascii="Calibri" w:hAnsi="Calibri"/>
        </w:rPr>
        <w:t>Support multiple tenants, branches, warehouses, currencies, taxes, and approval policies from a common platform.</w:t>
      </w:r>
    </w:p>
    <w:p>
      <w:pPr>
        <w:pStyle w:val="ListBullet"/>
      </w:pPr>
      <w:r>
        <w:rPr>
          <w:rFonts w:ascii="Calibri" w:hAnsi="Calibri"/>
        </w:rPr>
        <w:t>Make routine workflows usable with minimal training and expose exceptions that require attention.</w:t>
      </w:r>
    </w:p>
    <w:p>
      <w:pPr>
        <w:pStyle w:val="Heading2"/>
      </w:pPr>
      <w:r>
        <w:t>2.2 Success metrics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600"/>
        <w:gridCol w:w="2500"/>
        <w:gridCol w:w="4260"/>
      </w:tblGrid>
      <w:tr>
        <w:trPr>
          <w:tblHeader w:val="true"/>
          <w:cantSplit/>
        </w:trPr>
        <w:tc>
          <w:tcPr>
            <w:tcW w:type="dxa" w:w="2600"/>
            <w:shd w:fill="F2F4F7"/>
            <w:tcMar>
              <w:top w:w="80" w:type="dxa"/>
              <w:start w:w="120" w:type="dxa"/>
              <w:bottom w:w="80" w:type="dxa"/>
              <w:end w:w="120" w:type="dxa"/>
            </w:tcMar>
            <w:vAlign w:val="center"/>
          </w:tcPr>
          <w:p>
            <w:pPr>
              <w:spacing w:after="0"/>
              <w:jc w:val="left"/>
            </w:pPr>
            <w:r>
              <w:rPr>
                <w:rFonts w:ascii="Calibri" w:hAnsi="Calibri"/>
                <w:b/>
                <w:color w:val="20242A"/>
                <w:sz w:val="19"/>
              </w:rPr>
              <w:t>Measure</w:t>
            </w:r>
          </w:p>
        </w:tc>
        <w:tc>
          <w:tcPr>
            <w:tcW w:type="dxa" w:w="2500"/>
            <w:shd w:fill="F2F4F7"/>
            <w:tcMar>
              <w:top w:w="80" w:type="dxa"/>
              <w:start w:w="120" w:type="dxa"/>
              <w:bottom w:w="80" w:type="dxa"/>
              <w:end w:w="120" w:type="dxa"/>
            </w:tcMar>
            <w:vAlign w:val="center"/>
          </w:tcPr>
          <w:p>
            <w:pPr>
              <w:spacing w:after="0"/>
              <w:jc w:val="left"/>
            </w:pPr>
            <w:r>
              <w:rPr>
                <w:rFonts w:ascii="Calibri" w:hAnsi="Calibri"/>
                <w:b/>
                <w:color w:val="20242A"/>
                <w:sz w:val="19"/>
              </w:rPr>
              <w:t>Initial target</w:t>
            </w:r>
          </w:p>
        </w:tc>
        <w:tc>
          <w:tcPr>
            <w:tcW w:type="dxa" w:w="4260"/>
            <w:shd w:fill="F2F4F7"/>
            <w:tcMar>
              <w:top w:w="80" w:type="dxa"/>
              <w:start w:w="120" w:type="dxa"/>
              <w:bottom w:w="80" w:type="dxa"/>
              <w:end w:w="120" w:type="dxa"/>
            </w:tcMar>
            <w:vAlign w:val="center"/>
          </w:tcPr>
          <w:p>
            <w:pPr>
              <w:spacing w:after="0"/>
              <w:jc w:val="left"/>
            </w:pPr>
            <w:r>
              <w:rPr>
                <w:rFonts w:ascii="Calibri" w:hAnsi="Calibri"/>
                <w:b/>
                <w:color w:val="20242A"/>
                <w:sz w:val="19"/>
              </w:rPr>
              <w:t>How measured</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color w:val="20242A"/>
                <w:sz w:val="18"/>
              </w:rPr>
              <w:t>Core workflow completion</w:t>
            </w:r>
          </w:p>
        </w:tc>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A"/>
                <w:sz w:val="18"/>
              </w:rPr>
              <w:t>&gt;= 95% without support intervention</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42A"/>
                <w:sz w:val="18"/>
              </w:rPr>
              <w:t>Product analytics across approved pilot workflows</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Inventory accuracy</w:t>
            </w:r>
          </w:p>
        </w:tc>
        <w:tc>
          <w:tcPr>
            <w:tcW w:type="dxa" w:w="25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&gt;= 98% in controlled pilot counts</w:t>
            </w:r>
          </w:p>
        </w:tc>
        <w:tc>
          <w:tcPr>
            <w:tcW w:type="dxa" w:w="42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System quantity compared with verified physical counts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color w:val="20242A"/>
                <w:sz w:val="18"/>
              </w:rPr>
              <w:t>Posting integrity</w:t>
            </w:r>
          </w:p>
        </w:tc>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A"/>
                <w:sz w:val="18"/>
              </w:rPr>
              <w:t>100% balanced journal entries</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42A"/>
                <w:sz w:val="18"/>
              </w:rPr>
              <w:t>Automated invariant and reconciliation checks</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Operational availability</w:t>
            </w:r>
          </w:p>
        </w:tc>
        <w:tc>
          <w:tcPr>
            <w:tcW w:type="dxa" w:w="25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&gt;= 99.9% monthly, excluding planned maintenance</w:t>
            </w:r>
          </w:p>
        </w:tc>
        <w:tc>
          <w:tcPr>
            <w:tcW w:type="dxa" w:w="42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External uptime monitoring and incident records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color w:val="20242A"/>
                <w:sz w:val="18"/>
              </w:rPr>
              <w:t>Common screen response</w:t>
            </w:r>
          </w:p>
        </w:tc>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A"/>
                <w:sz w:val="18"/>
              </w:rPr>
              <w:t>p95 &lt;= 2 seconds under target load</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42A"/>
                <w:sz w:val="18"/>
              </w:rPr>
              <w:t>Application performance monitoring</w:t>
            </w:r>
          </w:p>
        </w:tc>
      </w:tr>
      <w:tr>
        <w:trPr>
          <w:cantSplit/>
        </w:trPr>
        <w:tc>
          <w:tcPr>
            <w:tcW w:type="dxa" w:w="26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 coverage</w:t>
            </w:r>
          </w:p>
        </w:tc>
        <w:tc>
          <w:tcPr>
            <w:tcW w:type="dxa" w:w="25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100% of material create, approve, post, reverse, and permission events</w:t>
            </w:r>
          </w:p>
        </w:tc>
        <w:tc>
          <w:tcPr>
            <w:tcW w:type="dxa" w:w="42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Audit-event completeness tests</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color w:val="20242A"/>
                <w:sz w:val="18"/>
              </w:rPr>
              <w:t>Pilot close time</w:t>
            </w:r>
          </w:p>
        </w:tc>
        <w:tc>
          <w:tcPr>
            <w:tcW w:type="dxa" w:w="2500"/>
            <w:tcMar>
              <w:top w:w="80" w:type="dxa"/>
              <w:start w:w="120" w:type="dxa"/>
              <w:bottom w:w="80" w:type="dxa"/>
              <w:end w:w="120" w:type="dxa"/>
            </w:tcMar>
            <w:vAlign w:val="center"/>
          </w:tcPr>
          <w:p>
            <w:pPr>
              <w:spacing w:after="0" w:line="252" w:lineRule="auto"/>
              <w:jc w:val="left"/>
            </w:pPr>
            <w:r>
              <w:rPr>
                <w:rFonts w:ascii="Calibri" w:hAnsi="Calibri"/>
                <w:color w:val="20242A"/>
                <w:sz w:val="18"/>
              </w:rPr>
              <w:t>At least 30% faster than baseline</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42A"/>
                <w:sz w:val="18"/>
              </w:rPr>
              <w:t>Customer-reported period-close elapsed time</w:t>
            </w:r>
          </w:p>
        </w:tc>
      </w:tr>
    </w:tbl>
    <w:p>
      <w:pPr>
        <w:spacing w:before="80" w:after="0"/>
      </w:pPr>
    </w:p>
    <w:p>
      <w:pPr>
        <w:pStyle w:val="Heading2"/>
      </w:pPr>
      <w:r>
        <w:t>2.3 In scope</w:t>
      </w:r>
    </w:p>
    <w:p>
      <w:pPr>
        <w:pStyle w:val="ListBullet"/>
      </w:pPr>
      <w:r>
        <w:rPr>
          <w:rFonts w:ascii="Calibri" w:hAnsi="Calibri"/>
        </w:rPr>
        <w:t>Multi-tenant identity, organization, branch, warehouse, user, role, permission, and audit capabilities.</w:t>
      </w:r>
    </w:p>
    <w:p>
      <w:pPr>
        <w:pStyle w:val="ListBullet"/>
      </w:pPr>
      <w:r>
        <w:rPr>
          <w:rFonts w:ascii="Calibri" w:hAnsi="Calibri"/>
        </w:rPr>
        <w:t>Master data for products, units, categories, suppliers, customers, accounts, taxes, currencies, exchange rates, and payment terms.</w:t>
      </w:r>
    </w:p>
    <w:p>
      <w:pPr>
        <w:pStyle w:val="ListBullet"/>
      </w:pPr>
      <w:r>
        <w:t>Procurement, inventory, B2B sales, receivables, payables, general ledger, cash/bank, and baseline reporting.</w:t>
      </w:r>
    </w:p>
    <w:p>
      <w:pPr>
        <w:pStyle w:val="ListBullet"/>
      </w:pPr>
      <w:r>
        <w:rPr>
          <w:rFonts w:ascii="Calibri" w:hAnsi="Calibri"/>
        </w:rPr>
        <w:t>Document attachments, comments, imports, exports, configurable numbering, approvals, and notifications.</w:t>
      </w:r>
    </w:p>
    <w:p>
      <w:pPr>
        <w:pStyle w:val="ListBullet"/>
      </w:pPr>
      <w:r>
        <w:rPr>
          <w:rFonts w:ascii="Calibri" w:hAnsi="Calibri"/>
        </w:rPr>
        <w:t>Responsive web application and documented APIs for approved integrations.</w:t>
      </w:r>
    </w:p>
    <w:p>
      <w:pPr>
        <w:pStyle w:val="Heading2"/>
      </w:pPr>
      <w:r>
        <w:t>2.4 Non-goals for the first release</w:t>
      </w:r>
    </w:p>
    <w:p>
      <w:pPr>
        <w:pStyle w:val="ListBullet"/>
      </w:pPr>
      <w:r>
        <w:rPr>
          <w:rFonts w:ascii="Calibri" w:hAnsi="Calibri"/>
        </w:rPr>
        <w:t>Advanced manufacturing planning, bill of materials, shop-floor execution, or quality management.</w:t>
      </w:r>
    </w:p>
    <w:p>
      <w:pPr>
        <w:pStyle w:val="ListBullet"/>
      </w:pPr>
      <w:r>
        <w:rPr>
          <w:rFonts w:ascii="Calibri" w:hAnsi="Calibri"/>
        </w:rPr>
        <w:t>Payroll, human resources, customer relationship management, e-commerce storefront, or field service.</w:t>
      </w:r>
    </w:p>
    <w:p>
      <w:pPr>
        <w:pStyle w:val="ListBullet"/>
      </w:pPr>
      <w:r>
        <w:rPr>
          <w:rFonts w:ascii="Calibri" w:hAnsi="Calibri"/>
          <w:color w:val="20242A"/>
        </w:rPr>
        <w:t>Statutory filing or certification automation outside the approved Saudi VAT and e-invoicing country pack.</w:t>
      </w:r>
    </w:p>
    <w:p>
      <w:pPr>
        <w:pStyle w:val="ListBullet"/>
      </w:pPr>
      <w:r>
        <w:rPr>
          <w:rFonts w:ascii="Calibri" w:hAnsi="Calibri"/>
        </w:rPr>
        <w:t>Offline-first operation, unrestricted workflow scripting, or customer-authored code inside the platform.</w:t>
      </w:r>
    </w:p>
    <w:p>
      <w:pPr>
        <w:pStyle w:val="ListBullet"/>
      </w:pPr>
      <w:r>
        <w:rPr>
          <w:rFonts w:ascii="Calibri" w:hAnsi="Calibri"/>
        </w:rPr>
        <w:t>Complex consolidation across legal entities, transfer pricing, or enterprise treasury management.</w:t>
      </w:r>
    </w:p>
    <w:p>
      <w:pPr>
        <w:pStyle w:val="ListBullet"/>
      </w:pPr>
      <w:r>
        <w:t>Retail point-of-sale, cashier shifts, cash drawers, receipt peripherals, offline store operation, loyalty, promotions, and other POS-specific capabilities.</w:t>
      </w:r>
    </w:p>
    <w:p>
      <w:pPr>
        <w:pStyle w:val="Heading2"/>
      </w:pPr>
      <w:r>
        <w:t>2.5 Product principles</w:t>
      </w:r>
    </w:p>
    <w:p>
      <w:pPr>
        <w:pStyle w:val="ListBullet"/>
      </w:pPr>
      <w:r>
        <w:rPr>
          <w:rFonts w:ascii="Calibri" w:hAnsi="Calibri"/>
          <w:b/>
        </w:rPr>
        <w:t xml:space="preserve">Traceability by design. </w:t>
      </w:r>
      <w:r>
        <w:rPr>
          <w:rFonts w:ascii="Calibri" w:hAnsi="Calibri"/>
        </w:rPr>
        <w:t>Every material balance must lead back to its source document and actor.</w:t>
      </w:r>
    </w:p>
    <w:p>
      <w:pPr>
        <w:pStyle w:val="ListBullet"/>
      </w:pPr>
      <w:r>
        <w:rPr>
          <w:rFonts w:ascii="Calibri" w:hAnsi="Calibri"/>
          <w:b/>
        </w:rPr>
        <w:t xml:space="preserve">Posted means controlled. </w:t>
      </w:r>
      <w:r>
        <w:rPr>
          <w:rFonts w:ascii="Calibri" w:hAnsi="Calibri"/>
        </w:rPr>
        <w:t>Posted financial and inventory effects are corrected through reversal or adjustment, not silent editing.</w:t>
      </w:r>
    </w:p>
    <w:p>
      <w:pPr>
        <w:pStyle w:val="ListBullet"/>
      </w:pPr>
      <w:r>
        <w:rPr>
          <w:rFonts w:ascii="Calibri" w:hAnsi="Calibri"/>
          <w:b/>
        </w:rPr>
        <w:t xml:space="preserve">Configuration before customization. </w:t>
      </w:r>
      <w:r>
        <w:rPr>
          <w:rFonts w:ascii="Calibri" w:hAnsi="Calibri"/>
        </w:rPr>
        <w:t>Use versioned policies and metadata for common variation; keep the core domain deterministic.</w:t>
      </w:r>
    </w:p>
    <w:p>
      <w:pPr>
        <w:pStyle w:val="ListBullet"/>
      </w:pPr>
      <w:r>
        <w:rPr>
          <w:rFonts w:ascii="Calibri" w:hAnsi="Calibri"/>
          <w:b/>
        </w:rPr>
        <w:t xml:space="preserve">Least privilege. </w:t>
      </w:r>
      <w:r>
        <w:rPr>
          <w:rFonts w:ascii="Calibri" w:hAnsi="Calibri"/>
        </w:rPr>
        <w:t>Users see and act only within authorized tenants, organizations, branches, warehouses, and functions.</w:t>
      </w:r>
    </w:p>
    <w:p>
      <w:pPr>
        <w:pStyle w:val="ListBullet"/>
      </w:pPr>
      <w:r>
        <w:rPr>
          <w:rFonts w:ascii="Calibri" w:hAnsi="Calibri"/>
          <w:b/>
        </w:rPr>
        <w:t xml:space="preserve">Operational simplicity. </w:t>
      </w:r>
      <w:r>
        <w:rPr>
          <w:rFonts w:ascii="Calibri" w:hAnsi="Calibri"/>
        </w:rPr>
        <w:t>Common work should be fast; exceptions and required decisions should be explicit.</w:t>
      </w:r>
    </w:p>
    <w:p>
      <w:r>
        <w:br w:type="page"/>
      </w:r>
    </w:p>
    <w:p>
      <w:pPr>
        <w:pStyle w:val="Heading1"/>
      </w:pPr>
      <w:r>
        <w:t>3. Functional requirements</w:t>
      </w:r>
    </w:p>
    <w:p>
      <w:pPr>
        <w:pStyle w:val="Heading2"/>
      </w:pPr>
      <w:r>
        <w:t>3.1 Platform foundation</w:t>
      </w:r>
    </w:p>
    <w:p>
      <w:pPr>
        <w:pStyle w:val="RequirementID"/>
        <w:ind w:left="216" w:hanging="216"/>
      </w:pPr>
      <w:r>
        <w:rPr>
          <w:rFonts w:ascii="Calibri" w:hAnsi="Calibri"/>
          <w:b/>
          <w:color w:val="1F4D78"/>
          <w:sz w:val="20"/>
        </w:rPr>
        <w:t xml:space="preserve">PLT-001  Tenant isolation. </w:t>
      </w:r>
      <w:r>
        <w:rPr>
          <w:rFonts w:ascii="Calibri" w:hAnsi="Calibri"/>
          <w:color w:val="20242A"/>
          <w:sz w:val="20"/>
        </w:rPr>
        <w:t>All tenant-owned records, jobs, files, cache keys, logs, and search indexes must be scoped by tenant. Cross-tenant access must be denied by default and covered by automated tests.</w:t>
      </w:r>
    </w:p>
    <w:p>
      <w:pPr>
        <w:pStyle w:val="RequirementID"/>
        <w:ind w:left="216" w:hanging="216"/>
      </w:pPr>
      <w:r>
        <w:t>PLT-002  Organization structure. The governed hierarchy is Platform -&gt; Tenant -&gt; Company (Legal Entity) -&gt; Branch -&gt; Warehouse. A tenant may configure one or more legal entities, branches, warehouses, fiscal calendars, functional currencies, time zones, and document sequences within supported limits. Release 1 does not include cross-entity financial consolidation.</w:t>
      </w:r>
    </w:p>
    <w:p>
      <w:pPr>
        <w:pStyle w:val="RequirementID"/>
        <w:ind w:left="216" w:hanging="216"/>
      </w:pPr>
      <w:r>
        <w:rPr>
          <w:rFonts w:ascii="Calibri" w:hAnsi="Calibri"/>
          <w:b/>
          <w:color w:val="1F4D78"/>
          <w:sz w:val="20"/>
        </w:rPr>
        <w:t xml:space="preserve">PLT-003  Master data. </w:t>
      </w:r>
      <w:r>
        <w:rPr>
          <w:rFonts w:ascii="Calibri" w:hAnsi="Calibri"/>
          <w:color w:val="20242A"/>
          <w:sz w:val="20"/>
        </w:rPr>
        <w:t>Authorized users can create, review, activate, deactivate, import, export, and search shared business master data with validation and duplicate detection.</w:t>
      </w:r>
    </w:p>
    <w:p>
      <w:pPr>
        <w:pStyle w:val="RequirementID"/>
        <w:ind w:left="216" w:hanging="216"/>
      </w:pPr>
      <w:r>
        <w:rPr>
          <w:rFonts w:ascii="Calibri" w:hAnsi="Calibri"/>
          <w:b/>
          <w:color w:val="1F4D78"/>
          <w:sz w:val="20"/>
        </w:rPr>
        <w:t xml:space="preserve">PLT-004  Document identity. </w:t>
      </w:r>
      <w:r>
        <w:rPr>
          <w:rFonts w:ascii="Calibri" w:hAnsi="Calibri"/>
          <w:color w:val="20242A"/>
          <w:sz w:val="20"/>
        </w:rPr>
        <w:t>Each business document receives a unique, human-readable number within its configured sequence and an immutable internal identifier.</w:t>
      </w:r>
    </w:p>
    <w:p>
      <w:pPr>
        <w:pStyle w:val="RequirementID"/>
        <w:ind w:left="216" w:hanging="216"/>
      </w:pPr>
      <w:r>
        <w:rPr>
          <w:rFonts w:ascii="Calibri" w:hAnsi="Calibri"/>
          <w:b/>
          <w:color w:val="1F4D78"/>
          <w:sz w:val="20"/>
        </w:rPr>
        <w:t xml:space="preserve">PLT-005  Approval policies. </w:t>
      </w:r>
      <w:r>
        <w:rPr>
          <w:rFonts w:ascii="Calibri" w:hAnsi="Calibri"/>
          <w:color w:val="20242A"/>
          <w:sz w:val="20"/>
        </w:rPr>
        <w:t>Approval requirements can be selected by document type, amount threshold, branch, and user role; policy versions must remain linked to historical decisions.</w:t>
      </w:r>
    </w:p>
    <w:p>
      <w:pPr>
        <w:pStyle w:val="RequirementID"/>
        <w:ind w:left="216" w:hanging="216"/>
      </w:pPr>
      <w:r>
        <w:rPr>
          <w:rFonts w:ascii="Calibri" w:hAnsi="Calibri"/>
          <w:b/>
          <w:color w:val="1F4D78"/>
          <w:sz w:val="20"/>
        </w:rPr>
        <w:t xml:space="preserve">PLT-006  Attachments and notes. </w:t>
      </w:r>
      <w:r>
        <w:rPr>
          <w:rFonts w:ascii="Calibri" w:hAnsi="Calibri"/>
          <w:color w:val="20242A"/>
          <w:sz w:val="20"/>
        </w:rPr>
        <w:t>Users can attach supported files and add internal notes to business documents subject to authorization, malware scanning, retention, and size policies.</w:t>
      </w:r>
    </w:p>
    <w:p>
      <w:pPr>
        <w:pStyle w:val="RequirementID"/>
        <w:ind w:left="216" w:hanging="216"/>
      </w:pPr>
      <w:r>
        <w:rPr>
          <w:rFonts w:ascii="Calibri" w:hAnsi="Calibri"/>
          <w:b/>
          <w:color w:val="1F4D78"/>
          <w:sz w:val="20"/>
        </w:rPr>
        <w:t xml:space="preserve">PLT-007  Notifications. </w:t>
      </w:r>
      <w:r>
        <w:rPr>
          <w:rFonts w:ascii="Calibri" w:hAnsi="Calibri"/>
          <w:color w:val="20242A"/>
          <w:sz w:val="20"/>
        </w:rPr>
        <w:t>The platform provides in-app notifications for assignments, approvals, rejections, failures, and material exceptions; email delivery is configurable.</w:t>
      </w:r>
    </w:p>
    <w:p>
      <w:pPr>
        <w:pStyle w:val="RequirementID"/>
        <w:ind w:left="216" w:hanging="216"/>
      </w:pPr>
      <w:r>
        <w:rPr>
          <w:rFonts w:ascii="Calibri" w:hAnsi="Calibri"/>
          <w:b/>
          <w:color w:val="1F4D78"/>
          <w:sz w:val="20"/>
        </w:rPr>
        <w:t xml:space="preserve">PLT-008  Audit trail. </w:t>
      </w:r>
      <w:r>
        <w:rPr>
          <w:rFonts w:ascii="Calibri" w:hAnsi="Calibri"/>
          <w:color w:val="20242A"/>
          <w:sz w:val="20"/>
        </w:rPr>
        <w:t>Material actions record actor, timestamp, tenant, entity, action, source, correlation identifier, and safe before/after values. Audit events cannot be edited by tenant users.</w:t>
      </w:r>
    </w:p>
    <w:p>
      <w:pPr>
        <w:pStyle w:val="RequirementID"/>
        <w:ind w:left="216" w:hanging="216"/>
      </w:pPr>
      <w:r>
        <w:rPr>
          <w:rFonts w:ascii="Calibri" w:hAnsi="Calibri"/>
          <w:b/>
          <w:color w:val="1F4D78"/>
          <w:sz w:val="20"/>
        </w:rPr>
        <w:t xml:space="preserve">PLT-009  Search and exports. </w:t>
      </w:r>
      <w:r>
        <w:rPr>
          <w:rFonts w:ascii="Calibri" w:hAnsi="Calibri"/>
          <w:color w:val="20242A"/>
          <w:sz w:val="20"/>
        </w:rPr>
        <w:t>Users can search authorized records, save common filters, export bounded result sets, and see export status for long-running jobs.</w:t>
      </w:r>
    </w:p>
    <w:p>
      <w:pPr>
        <w:pStyle w:val="RequirementID"/>
        <w:ind w:left="216" w:hanging="216"/>
      </w:pPr>
      <w:r>
        <w:rPr>
          <w:rFonts w:ascii="Calibri" w:hAnsi="Calibri"/>
          <w:b/>
          <w:color w:val="1F4D78"/>
          <w:sz w:val="20"/>
        </w:rPr>
        <w:t xml:space="preserve">PLT-010  Idempotency. </w:t>
      </w:r>
      <w:r>
        <w:rPr>
          <w:rFonts w:ascii="Calibri" w:hAnsi="Calibri"/>
          <w:color w:val="20242A"/>
          <w:sz w:val="20"/>
        </w:rPr>
        <w:t>Commands exposed to integrations must support safe retries for configured operations and prevent duplicate financial or inventory effects.</w:t>
      </w:r>
    </w:p>
    <w:p>
      <w:pPr>
        <w:pStyle w:val="RequirementID"/>
        <w:ind w:left="216" w:hanging="216"/>
      </w:pPr>
      <w:r>
        <w:rPr>
          <w:rFonts w:ascii="Calibri" w:hAnsi="Calibri"/>
          <w:b/>
          <w:color w:val="1F4D78"/>
          <w:sz w:val="20"/>
        </w:rPr>
        <w:t xml:space="preserve">PLT-011  Tenant provisioning. </w:t>
      </w:r>
      <w:r>
        <w:rPr>
          <w:rFonts w:ascii="Calibri" w:hAnsi="Calibri"/>
          <w:color w:val="20242A"/>
          <w:sz w:val="20"/>
        </w:rPr>
        <w:t>A platform administrator can create a tenant from an approved plan and country pack without source-code changes, then track provisioning, activation, suspension, export, and closure states.</w:t>
      </w:r>
    </w:p>
    <w:p>
      <w:pPr>
        <w:pStyle w:val="RequirementID"/>
        <w:ind w:left="216" w:hanging="216"/>
      </w:pPr>
      <w:r>
        <w:rPr>
          <w:rFonts w:ascii="Calibri" w:hAnsi="Calibri"/>
          <w:b/>
          <w:color w:val="1F4D78"/>
          <w:sz w:val="20"/>
        </w:rPr>
        <w:t xml:space="preserve">PLT-012  Subscriptions and entitlements. </w:t>
      </w:r>
      <w:r>
        <w:rPr>
          <w:rFonts w:ascii="Calibri" w:hAnsi="Calibri"/>
          <w:color w:val="20242A"/>
          <w:sz w:val="20"/>
        </w:rPr>
        <w:t>Plans define enabled modules, limits, features, service tier, and effective dates. Server-side entitlement checks must remain separate from role permissions and must be auditable.</w:t>
      </w:r>
    </w:p>
    <w:p>
      <w:pPr>
        <w:pStyle w:val="RequirementID"/>
        <w:ind w:left="216" w:hanging="216"/>
      </w:pPr>
      <w:r>
        <w:rPr>
          <w:rFonts w:ascii="Calibri" w:hAnsi="Calibri"/>
          <w:b/>
          <w:color w:val="1F4D78"/>
          <w:sz w:val="20"/>
        </w:rPr>
        <w:t xml:space="preserve">PLT-013  Tenant branding and structure. </w:t>
      </w:r>
      <w:r>
        <w:rPr>
          <w:rFonts w:ascii="Calibri" w:hAnsi="Calibri"/>
          <w:color w:val="20242A"/>
          <w:sz w:val="20"/>
        </w:rPr>
        <w:t>Authorized tenant administrators can configure company identity, logo, Arabic and English display names, departments, branches, warehouses, document templates, and numbering within governed options.</w:t>
      </w:r>
    </w:p>
    <w:p>
      <w:pPr>
        <w:pStyle w:val="RequirementID"/>
        <w:ind w:left="216" w:hanging="216"/>
      </w:pPr>
      <w:r>
        <w:rPr>
          <w:rFonts w:ascii="Calibri" w:hAnsi="Calibri"/>
          <w:b/>
          <w:color w:val="1F4D78"/>
          <w:sz w:val="20"/>
        </w:rPr>
        <w:t xml:space="preserve">PLT-014  No tenant-specific code. </w:t>
      </w:r>
      <w:r>
        <w:rPr>
          <w:rFonts w:ascii="Calibri" w:hAnsi="Calibri"/>
          <w:color w:val="20242A"/>
          <w:sz w:val="20"/>
        </w:rPr>
        <w:t>Wafra and future tenants must be supported through configuration, entitlements, roles, country packs, branding, data, and controlled extension points rather than customer-specific core branches.</w:t>
      </w:r>
    </w:p>
    <w:p>
      <w:pPr>
        <w:pStyle w:val="Heading2"/>
      </w:pPr>
      <w:r>
        <w:t>3.2 Procurement</w:t>
      </w:r>
    </w:p>
    <w:p>
      <w:pPr>
        <w:pStyle w:val="RequirementID"/>
        <w:ind w:left="216" w:hanging="216"/>
      </w:pPr>
      <w:r>
        <w:rPr>
          <w:rFonts w:ascii="Calibri" w:hAnsi="Calibri"/>
          <w:b/>
          <w:color w:val="1F4D78"/>
          <w:sz w:val="20"/>
        </w:rPr>
        <w:t xml:space="preserve">PROC-001  Purchase requests. </w:t>
      </w:r>
      <w:r>
        <w:rPr>
          <w:rFonts w:ascii="Calibri" w:hAnsi="Calibri"/>
          <w:color w:val="20242A"/>
          <w:sz w:val="20"/>
        </w:rPr>
        <w:t>Users can draft requests with items, quantities, need-by dates, cost center, branch, attachments, and justification, then submit them for policy-driven approval.</w:t>
      </w:r>
    </w:p>
    <w:p>
      <w:pPr>
        <w:pStyle w:val="RequirementID"/>
        <w:ind w:left="216" w:hanging="216"/>
      </w:pPr>
      <w:r>
        <w:rPr>
          <w:rFonts w:ascii="Calibri" w:hAnsi="Calibri"/>
          <w:b/>
          <w:color w:val="1F4D78"/>
          <w:sz w:val="20"/>
        </w:rPr>
        <w:t xml:space="preserve">PROC-002  Supplier quotations. </w:t>
      </w:r>
      <w:r>
        <w:rPr>
          <w:rFonts w:ascii="Calibri" w:hAnsi="Calibri"/>
          <w:color w:val="20242A"/>
          <w:sz w:val="20"/>
        </w:rPr>
        <w:t>Buyers can record supplier offers, validity, price, currency, tax, delivery terms, and attachments, then compare qualified offers before selection.</w:t>
      </w:r>
    </w:p>
    <w:p>
      <w:pPr>
        <w:pStyle w:val="RequirementID"/>
        <w:ind w:left="216" w:hanging="216"/>
      </w:pPr>
      <w:r>
        <w:rPr>
          <w:rFonts w:ascii="Calibri" w:hAnsi="Calibri"/>
          <w:b/>
          <w:color w:val="1F4D78"/>
          <w:sz w:val="20"/>
        </w:rPr>
        <w:t xml:space="preserve">PROC-003  Purchase orders. </w:t>
      </w:r>
      <w:r>
        <w:rPr>
          <w:rFonts w:ascii="Calibri" w:hAnsi="Calibri"/>
          <w:color w:val="20242A"/>
          <w:sz w:val="20"/>
        </w:rPr>
        <w:t>Approved demand can be converted into one or more purchase orders with explicit supplier, ship-to warehouse, terms, expected dates, taxes, discounts, and approval state.</w:t>
      </w:r>
    </w:p>
    <w:p>
      <w:pPr>
        <w:pStyle w:val="RequirementID"/>
      </w:pPr>
      <w:r>
        <w:t>PROC-008  Supplier confirmation. Suppliers are external parties and do not require platform accounts. An authorized purchasing user records Confirmed, Partially Confirmed, Rejected, or No Response, together with response date, supplier contact/reference, confirmed line quantities, expected delivery date, notes, and supporting attachments. The BRD defines whether confirmation is mandatory per tenant policy and how material changes affect approval.</w:t>
      </w:r>
    </w:p>
    <w:p>
      <w:pPr>
        <w:pStyle w:val="RequirementID"/>
        <w:ind w:left="216" w:hanging="216"/>
      </w:pPr>
      <w:r>
        <w:rPr>
          <w:rFonts w:ascii="Calibri" w:hAnsi="Calibri"/>
          <w:b/>
          <w:color w:val="1F4D78"/>
          <w:sz w:val="20"/>
        </w:rPr>
        <w:t xml:space="preserve">PROC-004  Partial receipt. </w:t>
      </w:r>
      <w:r>
        <w:rPr>
          <w:rFonts w:ascii="Calibri" w:hAnsi="Calibri"/>
          <w:color w:val="20242A"/>
          <w:sz w:val="20"/>
        </w:rPr>
        <w:t>Warehouses can receive all or part of a purchase order, record accepted and rejected quantities, batch or serial information where enabled, and delivery evidence.</w:t>
      </w:r>
    </w:p>
    <w:p>
      <w:pPr>
        <w:pStyle w:val="RequirementID"/>
        <w:ind w:left="216" w:hanging="216"/>
      </w:pPr>
      <w:r>
        <w:rPr>
          <w:rFonts w:ascii="Calibri" w:hAnsi="Calibri"/>
          <w:b/>
          <w:color w:val="1F4D78"/>
          <w:sz w:val="20"/>
        </w:rPr>
        <w:t xml:space="preserve">PROC-005  Three-way control. </w:t>
      </w:r>
      <w:r>
        <w:rPr>
          <w:rFonts w:ascii="Calibri" w:hAnsi="Calibri"/>
          <w:color w:val="20242A"/>
          <w:sz w:val="20"/>
        </w:rPr>
        <w:t>Supplier invoices can be matched to purchase orders and goods receipts with configurable quantity and amount tolerances; exceptions require authorized resolution.</w:t>
      </w:r>
    </w:p>
    <w:p>
      <w:pPr>
        <w:pStyle w:val="RequirementID"/>
        <w:ind w:left="216" w:hanging="216"/>
      </w:pPr>
      <w:r>
        <w:rPr>
          <w:rFonts w:ascii="Calibri" w:hAnsi="Calibri"/>
          <w:b/>
          <w:color w:val="1F4D78"/>
          <w:sz w:val="20"/>
        </w:rPr>
        <w:t xml:space="preserve">PROC-006  Returns and cancellation. </w:t>
      </w:r>
      <w:r>
        <w:rPr>
          <w:rFonts w:ascii="Calibri" w:hAnsi="Calibri"/>
          <w:color w:val="20242A"/>
          <w:sz w:val="20"/>
        </w:rPr>
        <w:t>Authorized users can return received goods, cancel eligible open quantities, and preserve links to the original order, receipt, stock movement, and accounting impact.</w:t>
      </w:r>
    </w:p>
    <w:p>
      <w:pPr>
        <w:pStyle w:val="RequirementID"/>
        <w:ind w:left="216" w:hanging="216"/>
      </w:pPr>
      <w:r>
        <w:rPr>
          <w:rFonts w:ascii="Calibri" w:hAnsi="Calibri"/>
          <w:b/>
          <w:color w:val="1F4D78"/>
          <w:sz w:val="20"/>
        </w:rPr>
        <w:t xml:space="preserve">PROC-007  Supplier visibility. </w:t>
      </w:r>
      <w:r>
        <w:rPr>
          <w:rFonts w:ascii="Calibri" w:hAnsi="Calibri"/>
          <w:color w:val="20242A"/>
          <w:sz w:val="20"/>
        </w:rPr>
        <w:t>Users can view open commitments, delivery performance, invoice exceptions, balances, and transaction history for authorized suppliers.</w:t>
      </w:r>
    </w:p>
    <w:p>
      <w:pPr>
        <w:pStyle w:val="Heading2"/>
      </w:pPr>
      <w:r>
        <w:t>3.3 Inventory</w:t>
      </w:r>
    </w:p>
    <w:p>
      <w:pPr>
        <w:pStyle w:val="RequirementID"/>
        <w:ind w:left="216" w:hanging="216"/>
      </w:pPr>
      <w:r>
        <w:rPr>
          <w:rFonts w:ascii="Calibri" w:hAnsi="Calibri"/>
          <w:b/>
          <w:color w:val="1F4D78"/>
          <w:sz w:val="20"/>
        </w:rPr>
        <w:t xml:space="preserve">INV-001  Stock ledger. </w:t>
      </w:r>
      <w:r>
        <w:rPr>
          <w:rFonts w:ascii="Calibri" w:hAnsi="Calibri"/>
          <w:color w:val="20242A"/>
          <w:sz w:val="20"/>
        </w:rPr>
        <w:t>Every quantity-changing event creates an immutable stock ledger entry with item, location, quantity, unit, cost basis, source document, actor, and timestamp.</w:t>
      </w:r>
    </w:p>
    <w:p>
      <w:pPr>
        <w:pStyle w:val="RequirementID"/>
        <w:ind w:left="216" w:hanging="216"/>
      </w:pPr>
      <w:r>
        <w:rPr>
          <w:rFonts w:ascii="Calibri" w:hAnsi="Calibri"/>
          <w:b/>
          <w:color w:val="1F4D78"/>
          <w:sz w:val="20"/>
        </w:rPr>
        <w:t xml:space="preserve">INV-002  Availability. </w:t>
      </w:r>
      <w:r>
        <w:rPr>
          <w:rFonts w:ascii="Calibri" w:hAnsi="Calibri"/>
          <w:color w:val="20242A"/>
          <w:sz w:val="20"/>
        </w:rPr>
        <w:t>The system distinguishes on-hand, reserved, available, expected, damaged, and in-transit quantities without double counting.</w:t>
      </w:r>
    </w:p>
    <w:p>
      <w:pPr>
        <w:pStyle w:val="RequirementID"/>
        <w:ind w:left="216" w:hanging="216"/>
      </w:pPr>
      <w:r>
        <w:rPr>
          <w:rFonts w:ascii="Calibri" w:hAnsi="Calibri"/>
          <w:b/>
          <w:color w:val="1F4D78"/>
          <w:sz w:val="20"/>
        </w:rPr>
        <w:t xml:space="preserve">INV-003  Warehouse transfers. </w:t>
      </w:r>
      <w:r>
        <w:rPr>
          <w:rFonts w:ascii="Calibri" w:hAnsi="Calibri"/>
          <w:color w:val="20242A"/>
          <w:sz w:val="20"/>
        </w:rPr>
        <w:t>Users can request, approve where required, ship, receive, and reconcile transfers between authorized warehouses, including in-transit ownership.</w:t>
      </w:r>
    </w:p>
    <w:p>
      <w:pPr>
        <w:pStyle w:val="RequirementID"/>
        <w:ind w:left="216" w:hanging="216"/>
      </w:pPr>
      <w:r>
        <w:rPr>
          <w:rFonts w:ascii="Calibri" w:hAnsi="Calibri"/>
          <w:b/>
          <w:color w:val="1F4D78"/>
          <w:sz w:val="20"/>
        </w:rPr>
        <w:t xml:space="preserve">INV-004  Adjustments. </w:t>
      </w:r>
      <w:r>
        <w:rPr>
          <w:rFonts w:ascii="Calibri" w:hAnsi="Calibri"/>
          <w:color w:val="20242A"/>
          <w:sz w:val="20"/>
        </w:rPr>
        <w:t>Positive and negative adjustments require reason codes and permissions; material adjustments may require approval and must post linked accounting effects where configured.</w:t>
      </w:r>
    </w:p>
    <w:p>
      <w:pPr>
        <w:pStyle w:val="RequirementID"/>
        <w:ind w:left="216" w:hanging="216"/>
      </w:pPr>
      <w:r>
        <w:rPr>
          <w:rFonts w:ascii="Calibri" w:hAnsi="Calibri"/>
          <w:b/>
          <w:color w:val="1F4D78"/>
          <w:sz w:val="20"/>
        </w:rPr>
        <w:t xml:space="preserve">INV-005  Counts. </w:t>
      </w:r>
      <w:r>
        <w:rPr>
          <w:rFonts w:ascii="Calibri" w:hAnsi="Calibri"/>
          <w:color w:val="20242A"/>
          <w:sz w:val="20"/>
        </w:rPr>
        <w:t>The platform supports full and cycle counts, count assignment, blind counting, variance review, approval, and posting without overwriting ledger history.</w:t>
      </w:r>
    </w:p>
    <w:p>
      <w:pPr>
        <w:pStyle w:val="RequirementID"/>
        <w:ind w:left="216" w:hanging="216"/>
      </w:pPr>
      <w:r>
        <w:rPr>
          <w:rFonts w:ascii="Calibri" w:hAnsi="Calibri"/>
          <w:b/>
          <w:color w:val="1F4D78"/>
          <w:sz w:val="20"/>
        </w:rPr>
        <w:t xml:space="preserve">INV-006  Traceability. </w:t>
      </w:r>
      <w:r>
        <w:rPr>
          <w:rFonts w:ascii="Calibri" w:hAnsi="Calibri"/>
          <w:color w:val="20242A"/>
          <w:sz w:val="20"/>
        </w:rPr>
        <w:t>Items may enable batch, lot, serial, manufacturing-date, and expiry-date tracking; validation prevents unsupported or duplicate identifiers.</w:t>
      </w:r>
    </w:p>
    <w:p>
      <w:pPr>
        <w:pStyle w:val="RequirementID"/>
        <w:ind w:left="216" w:hanging="216"/>
      </w:pPr>
      <w:r>
        <w:t>INV-007  Costing. Release 1 uses moving weighted average inventory valuation. Cost calculations must be deterministic, reproducible from posted source documents and currency rates, and protected from silent historical recalculation. The BRD must confirm valuation scope, landed-cost treatment, returns, and opening-balance rules.</w:t>
      </w:r>
    </w:p>
    <w:p>
      <w:pPr>
        <w:pStyle w:val="RequirementID"/>
        <w:ind w:left="216" w:hanging="216"/>
      </w:pPr>
      <w:r>
        <w:rPr>
          <w:rFonts w:ascii="Calibri" w:hAnsi="Calibri"/>
          <w:b/>
          <w:color w:val="1F4D78"/>
          <w:sz w:val="20"/>
        </w:rPr>
        <w:t xml:space="preserve">INV-008  Stock controls. </w:t>
      </w:r>
      <w:r>
        <w:rPr>
          <w:rFonts w:ascii="Calibri" w:hAnsi="Calibri"/>
          <w:color w:val="20242A"/>
          <w:sz w:val="20"/>
        </w:rPr>
        <w:t>The system blocks or warns about negative stock according to tenant policy and authorization; overrides are explicit audit events.</w:t>
      </w:r>
    </w:p>
    <w:p>
      <w:r>
        <w:br w:type="page"/>
      </w:r>
    </w:p>
    <w:p>
      <w:pPr>
        <w:pStyle w:val="Heading2"/>
      </w:pPr>
      <w:r>
        <w:t>3.4 B2B sales and order-to-cash</w:t>
      </w:r>
    </w:p>
    <w:p>
      <w:pPr>
        <w:pStyle w:val="RequirementID"/>
        <w:ind w:left="216" w:hanging="216"/>
      </w:pPr>
      <w:r>
        <w:rPr>
          <w:rFonts w:ascii="Calibri" w:hAnsi="Calibri"/>
          <w:b/>
          <w:color w:val="1F4D78"/>
          <w:sz w:val="20"/>
        </w:rPr>
        <w:t xml:space="preserve">SAL-001  Customer account. </w:t>
      </w:r>
      <w:r>
        <w:rPr>
          <w:rFonts w:ascii="Calibri" w:hAnsi="Calibri"/>
          <w:color w:val="20242A"/>
          <w:sz w:val="20"/>
        </w:rPr>
        <w:t>Authorized users can manage customer identity, addresses, tax attributes, contacts, payment terms, price list, credit limit, status, and supporting documents.</w:t>
      </w:r>
    </w:p>
    <w:p>
      <w:pPr>
        <w:pStyle w:val="RequirementID"/>
        <w:ind w:left="216" w:hanging="216"/>
      </w:pPr>
      <w:r>
        <w:rPr>
          <w:rFonts w:ascii="Calibri" w:hAnsi="Calibri"/>
          <w:b/>
          <w:color w:val="1F4D78"/>
          <w:sz w:val="20"/>
        </w:rPr>
        <w:t xml:space="preserve">SAL-002  Quotes. </w:t>
      </w:r>
      <w:r>
        <w:rPr>
          <w:rFonts w:ascii="Calibri" w:hAnsi="Calibri"/>
          <w:color w:val="20242A"/>
          <w:sz w:val="20"/>
        </w:rPr>
        <w:t>Users can create, revise, approve where required, expire, send, and convert customer quotations while preserving revision history.</w:t>
      </w:r>
    </w:p>
    <w:p>
      <w:pPr>
        <w:pStyle w:val="RequirementID"/>
        <w:ind w:left="216" w:hanging="216"/>
      </w:pPr>
      <w:r>
        <w:rPr>
          <w:rFonts w:ascii="Calibri" w:hAnsi="Calibri"/>
          <w:b/>
          <w:color w:val="1F4D78"/>
          <w:sz w:val="20"/>
        </w:rPr>
        <w:t xml:space="preserve">SAL-003  Sales orders. </w:t>
      </w:r>
      <w:r>
        <w:rPr>
          <w:rFonts w:ascii="Calibri" w:hAnsi="Calibri"/>
          <w:color w:val="20242A"/>
          <w:sz w:val="20"/>
        </w:rPr>
        <w:t>Orders validate customer status, price, discount authority, tax, availability, requested dates, fulfillment location, currency, and credit policy before confirmation.</w:t>
      </w:r>
    </w:p>
    <w:p>
      <w:pPr>
        <w:pStyle w:val="RequirementID"/>
        <w:ind w:left="216" w:hanging="216"/>
      </w:pPr>
      <w:r>
        <w:rPr>
          <w:rFonts w:ascii="Calibri" w:hAnsi="Calibri"/>
          <w:b/>
          <w:color w:val="1F4D78"/>
          <w:sz w:val="20"/>
        </w:rPr>
        <w:t xml:space="preserve">SAL-004  Reservation and fulfillment. </w:t>
      </w:r>
      <w:r>
        <w:rPr>
          <w:rFonts w:ascii="Calibri" w:hAnsi="Calibri"/>
          <w:color w:val="20242A"/>
          <w:sz w:val="20"/>
        </w:rPr>
        <w:t>Confirmed orders can reserve eligible stock, release reservations, support partial allocation, pick, pack, ship, and retain fulfillment evidence.</w:t>
      </w:r>
    </w:p>
    <w:p>
      <w:pPr>
        <w:pStyle w:val="RequirementID"/>
        <w:ind w:left="216" w:hanging="216"/>
      </w:pPr>
      <w:r>
        <w:rPr>
          <w:rFonts w:ascii="Calibri" w:hAnsi="Calibri"/>
          <w:b/>
          <w:color w:val="1F4D78"/>
          <w:sz w:val="20"/>
        </w:rPr>
        <w:t xml:space="preserve">SAL-005  Invoicing. </w:t>
      </w:r>
      <w:r>
        <w:rPr>
          <w:rFonts w:ascii="Calibri" w:hAnsi="Calibri"/>
          <w:color w:val="20242A"/>
          <w:sz w:val="20"/>
        </w:rPr>
        <w:t>Invoices may be generated from approved shipments or authorized service milestones, with configurable controls for partial invoicing, taxes, discounts, and rounding.</w:t>
      </w:r>
    </w:p>
    <w:p>
      <w:pPr>
        <w:pStyle w:val="RequirementID"/>
        <w:ind w:left="216" w:hanging="216"/>
      </w:pPr>
      <w:r>
        <w:rPr>
          <w:rFonts w:ascii="Calibri" w:hAnsi="Calibri"/>
          <w:b/>
          <w:color w:val="1F4D78"/>
          <w:sz w:val="20"/>
        </w:rPr>
        <w:t xml:space="preserve">SAL-006  Receipts. </w:t>
      </w:r>
      <w:r>
        <w:rPr>
          <w:rFonts w:ascii="Calibri" w:hAnsi="Calibri"/>
          <w:color w:val="20242A"/>
          <w:sz w:val="20"/>
        </w:rPr>
        <w:t>Cash and bank receipts can be recorded, allocated to one or more invoices, partially applied, left on account, reversed, and reconciled.</w:t>
      </w:r>
    </w:p>
    <w:p>
      <w:pPr>
        <w:pStyle w:val="RequirementID"/>
        <w:ind w:left="216" w:hanging="216"/>
      </w:pPr>
      <w:r>
        <w:rPr>
          <w:rFonts w:ascii="Calibri" w:hAnsi="Calibri"/>
          <w:b/>
          <w:color w:val="1F4D78"/>
          <w:sz w:val="20"/>
        </w:rPr>
        <w:t xml:space="preserve">SAL-007  Returns and credit notes. </w:t>
      </w:r>
      <w:r>
        <w:rPr>
          <w:rFonts w:ascii="Calibri" w:hAnsi="Calibri"/>
          <w:color w:val="20242A"/>
          <w:sz w:val="20"/>
        </w:rPr>
        <w:t>Customer returns and credit notes require reason codes, authorization, links to original transactions, disposition, stock effects, and balanced accounting entries.</w:t>
      </w:r>
    </w:p>
    <w:p>
      <w:pPr>
        <w:pStyle w:val="RequirementID"/>
        <w:ind w:left="216" w:hanging="216"/>
      </w:pPr>
      <w:r>
        <w:rPr>
          <w:rFonts w:ascii="Calibri" w:hAnsi="Calibri"/>
          <w:b/>
          <w:color w:val="1F4D78"/>
          <w:sz w:val="20"/>
        </w:rPr>
        <w:t xml:space="preserve">SAL-008  Credit control. </w:t>
      </w:r>
      <w:r>
        <w:rPr>
          <w:rFonts w:ascii="Calibri" w:hAnsi="Calibri"/>
          <w:color w:val="20242A"/>
          <w:sz w:val="20"/>
        </w:rPr>
        <w:t>The system calculates exposure from open invoices and configured commitments, then warns or blocks orders according to versioned policy and override permission.</w:t>
      </w:r>
    </w:p>
    <w:p>
      <w:pPr>
        <w:pStyle w:val="Heading2"/>
      </w:pPr>
      <w:r>
        <w:t>3.5 Finance</w:t>
      </w:r>
    </w:p>
    <w:p>
      <w:pPr>
        <w:pStyle w:val="RequirementID"/>
        <w:ind w:left="216" w:hanging="216"/>
      </w:pPr>
      <w:r>
        <w:rPr>
          <w:rFonts w:ascii="Calibri" w:hAnsi="Calibri"/>
          <w:b/>
          <w:color w:val="1F4D78"/>
          <w:sz w:val="20"/>
        </w:rPr>
        <w:t xml:space="preserve">FIN-001  Chart of accounts. </w:t>
      </w:r>
      <w:r>
        <w:rPr>
          <w:rFonts w:ascii="Calibri" w:hAnsi="Calibri"/>
          <w:color w:val="20242A"/>
          <w:sz w:val="20"/>
        </w:rPr>
        <w:t>Each accounting entity has a controlled chart of accounts, account hierarchy, account type, posting status, currency behavior, and effective dates.</w:t>
      </w:r>
    </w:p>
    <w:p>
      <w:pPr>
        <w:pStyle w:val="RequirementID"/>
        <w:ind w:left="216" w:hanging="216"/>
      </w:pPr>
      <w:r>
        <w:rPr>
          <w:rFonts w:ascii="Calibri" w:hAnsi="Calibri"/>
          <w:b/>
          <w:color w:val="1F4D78"/>
          <w:sz w:val="20"/>
        </w:rPr>
        <w:t xml:space="preserve">FIN-002  Subledgers. </w:t>
      </w:r>
      <w:r>
        <w:rPr>
          <w:rFonts w:ascii="Calibri" w:hAnsi="Calibri"/>
          <w:color w:val="20242A"/>
          <w:sz w:val="20"/>
        </w:rPr>
        <w:t>Purchasing, sales, inventory, cash, payables, and receivables produce traceable subledger events that map to balanced general-ledger entries.</w:t>
      </w:r>
    </w:p>
    <w:p>
      <w:pPr>
        <w:pStyle w:val="RequirementID"/>
        <w:ind w:left="216" w:hanging="216"/>
      </w:pPr>
      <w:r>
        <w:rPr>
          <w:rFonts w:ascii="Calibri" w:hAnsi="Calibri"/>
          <w:b/>
          <w:color w:val="1F4D78"/>
          <w:sz w:val="20"/>
        </w:rPr>
        <w:t xml:space="preserve">FIN-003  Journal lifecycle. </w:t>
      </w:r>
      <w:r>
        <w:rPr>
          <w:rFonts w:ascii="Calibri" w:hAnsi="Calibri"/>
          <w:color w:val="20242A"/>
          <w:sz w:val="20"/>
        </w:rPr>
        <w:t>Journals support draft, review, posting, reversal, source links, dates, periods, currencies, exchange rates, dimensions, and balanced debit/credit validation.</w:t>
      </w:r>
    </w:p>
    <w:p>
      <w:pPr>
        <w:pStyle w:val="RequirementID"/>
        <w:ind w:left="216" w:hanging="216"/>
      </w:pPr>
      <w:r>
        <w:rPr>
          <w:rFonts w:ascii="Calibri" w:hAnsi="Calibri"/>
          <w:b/>
          <w:color w:val="1F4D78"/>
          <w:sz w:val="20"/>
        </w:rPr>
        <w:t xml:space="preserve">FIN-004  Accounts payable. </w:t>
      </w:r>
      <w:r>
        <w:rPr>
          <w:rFonts w:ascii="Calibri" w:hAnsi="Calibri"/>
          <w:color w:val="20242A"/>
          <w:sz w:val="20"/>
        </w:rPr>
        <w:t>Users can record supplier invoices and credit notes, manage due dates, propose payments, approve payment batches, record settlements, and monitor aging.</w:t>
      </w:r>
    </w:p>
    <w:p>
      <w:pPr>
        <w:pStyle w:val="RequirementID"/>
        <w:ind w:left="216" w:hanging="216"/>
      </w:pPr>
      <w:r>
        <w:rPr>
          <w:rFonts w:ascii="Calibri" w:hAnsi="Calibri"/>
          <w:b/>
          <w:color w:val="1F4D78"/>
          <w:sz w:val="20"/>
        </w:rPr>
        <w:t xml:space="preserve">FIN-005  Accounts receivable. </w:t>
      </w:r>
      <w:r>
        <w:rPr>
          <w:rFonts w:ascii="Calibri" w:hAnsi="Calibri"/>
          <w:color w:val="20242A"/>
          <w:sz w:val="20"/>
        </w:rPr>
        <w:t>Users can monitor customer invoices, receipts, credits, allocations, aging, statements, and overdue positions.</w:t>
      </w:r>
    </w:p>
    <w:p>
      <w:pPr>
        <w:pStyle w:val="RequirementID"/>
        <w:ind w:left="216" w:hanging="216"/>
      </w:pPr>
      <w:r>
        <w:rPr>
          <w:rFonts w:ascii="Calibri" w:hAnsi="Calibri"/>
          <w:b/>
          <w:color w:val="1F4D78"/>
          <w:sz w:val="20"/>
        </w:rPr>
        <w:t xml:space="preserve">FIN-006  Cash and bank. </w:t>
      </w:r>
      <w:r>
        <w:rPr>
          <w:rFonts w:ascii="Calibri" w:hAnsi="Calibri"/>
          <w:color w:val="20242A"/>
          <w:sz w:val="20"/>
        </w:rPr>
        <w:t>The platform maintains cash and bank accounts, transfers, charges, deposits, statement imports, matching, reconciliation status, and controlled adjustments.</w:t>
      </w:r>
    </w:p>
    <w:p>
      <w:pPr>
        <w:pStyle w:val="RequirementID"/>
        <w:ind w:left="216" w:hanging="216"/>
      </w:pPr>
      <w:r>
        <w:rPr>
          <w:rFonts w:ascii="Calibri" w:hAnsi="Calibri"/>
          <w:b/>
          <w:color w:val="1F4D78"/>
          <w:sz w:val="20"/>
        </w:rPr>
        <w:t xml:space="preserve">FIN-007  Tax. </w:t>
      </w:r>
      <w:r>
        <w:rPr>
          <w:rFonts w:ascii="Calibri" w:hAnsi="Calibri"/>
          <w:color w:val="20242A"/>
          <w:sz w:val="20"/>
        </w:rPr>
        <w:t>Transactions calculate configured sales and purchase taxes from effective-dated rules, retain the calculation basis, and provide reviewable tax summaries and exports.</w:t>
      </w:r>
    </w:p>
    <w:p>
      <w:pPr>
        <w:pStyle w:val="RequirementID"/>
        <w:ind w:left="216" w:hanging="216"/>
      </w:pPr>
      <w:r>
        <w:rPr>
          <w:rFonts w:ascii="Calibri" w:hAnsi="Calibri"/>
          <w:b/>
          <w:color w:val="1F4D78"/>
          <w:sz w:val="20"/>
        </w:rPr>
        <w:t xml:space="preserve">FIN-008  Fiscal periods. </w:t>
      </w:r>
      <w:r>
        <w:rPr>
          <w:rFonts w:ascii="Calibri" w:hAnsi="Calibri"/>
          <w:color w:val="20242A"/>
          <w:sz w:val="20"/>
        </w:rPr>
        <w:t>Authorized finance users can open, soft-close, close, and reopen periods under policy. Posting outside an open period is blocked unless a controlled adjustment period applies.</w:t>
      </w:r>
    </w:p>
    <w:p>
      <w:pPr>
        <w:pStyle w:val="RequirementID"/>
        <w:ind w:left="216" w:hanging="216"/>
      </w:pPr>
      <w:r>
        <w:rPr>
          <w:rFonts w:ascii="Calibri" w:hAnsi="Calibri"/>
          <w:b/>
          <w:color w:val="1F4D78"/>
          <w:sz w:val="20"/>
        </w:rPr>
        <w:t xml:space="preserve">FIN-009  Financial statements. </w:t>
      </w:r>
      <w:r>
        <w:rPr>
          <w:rFonts w:ascii="Calibri" w:hAnsi="Calibri"/>
          <w:color w:val="20242A"/>
          <w:sz w:val="20"/>
        </w:rPr>
        <w:t>The platform produces trial balance, profit and loss, balance sheet, cash movement, general ledger, receivable aging, and payable aging for authorized scopes.</w:t>
      </w:r>
    </w:p>
    <w:p>
      <w:pPr>
        <w:pStyle w:val="RequirementID"/>
        <w:ind w:left="216" w:hanging="216"/>
      </w:pPr>
      <w:r>
        <w:rPr>
          <w:rFonts w:ascii="Calibri" w:hAnsi="Calibri"/>
          <w:b/>
          <w:color w:val="1F4D78"/>
          <w:sz w:val="20"/>
        </w:rPr>
        <w:t xml:space="preserve">FIN-010  Currency. </w:t>
      </w:r>
      <w:r>
        <w:rPr>
          <w:rFonts w:ascii="Calibri" w:hAnsi="Calibri"/>
          <w:color w:val="20242A"/>
          <w:sz w:val="20"/>
        </w:rPr>
        <w:t>Transactions retain document, functional, and reporting currency amounts where applicable, together with exchange-rate source and rounding differences.</w:t>
      </w:r>
    </w:p>
    <w:p>
      <w:pPr>
        <w:pStyle w:val="RequirementID"/>
        <w:ind w:left="216" w:hanging="216"/>
      </w:pPr>
      <w:r>
        <w:rPr>
          <w:rFonts w:ascii="Calibri" w:hAnsi="Calibri"/>
          <w:b/>
          <w:color w:val="1F4D78"/>
          <w:sz w:val="20"/>
        </w:rPr>
        <w:t xml:space="preserve">FIN-011  Release 1 accounting scope. </w:t>
      </w:r>
      <w:r>
        <w:rPr>
          <w:rFonts w:ascii="Calibri" w:hAnsi="Calibri"/>
          <w:color w:val="20242A"/>
          <w:sz w:val="20"/>
        </w:rPr>
        <w:t>Release 1 includes a balanced core general ledger, AP, AR, cash/bank, tax posting, period control, and source-document traceability. Consolidation, advanced statutory certification, fixed assets, treasury, payroll, and country packs beyond Saudi Arabia require later approval.</w:t>
      </w:r>
    </w:p>
    <w:p>
      <w:pPr>
        <w:pStyle w:val="Heading2"/>
      </w:pPr>
      <w:r>
        <w:t>3.6 Reporting and administration</w:t>
      </w:r>
    </w:p>
    <w:p>
      <w:pPr>
        <w:pStyle w:val="RequirementID"/>
        <w:ind w:left="216" w:hanging="216"/>
      </w:pPr>
      <w:r>
        <w:rPr>
          <w:rFonts w:ascii="Calibri" w:hAnsi="Calibri"/>
          <w:b/>
          <w:color w:val="1F4D78"/>
          <w:sz w:val="20"/>
        </w:rPr>
        <w:t xml:space="preserve">RPT-001  Operational dashboards. </w:t>
      </w:r>
      <w:r>
        <w:rPr>
          <w:rFonts w:ascii="Calibri" w:hAnsi="Calibri"/>
          <w:color w:val="20242A"/>
          <w:sz w:val="20"/>
        </w:rPr>
        <w:t>Dashboards show current authorized KPIs and exceptions, provide freshness indicators, and link to filtered source records.</w:t>
      </w:r>
    </w:p>
    <w:p>
      <w:pPr>
        <w:pStyle w:val="RequirementID"/>
        <w:ind w:left="216" w:hanging="216"/>
      </w:pPr>
      <w:r>
        <w:rPr>
          <w:rFonts w:ascii="Calibri" w:hAnsi="Calibri"/>
          <w:b/>
          <w:color w:val="1F4D78"/>
          <w:sz w:val="20"/>
        </w:rPr>
        <w:t xml:space="preserve">RPT-002  Standard reports. </w:t>
      </w:r>
      <w:r>
        <w:rPr>
          <w:rFonts w:ascii="Calibri" w:hAnsi="Calibri"/>
          <w:color w:val="20242A"/>
          <w:sz w:val="20"/>
        </w:rPr>
        <w:t>Reports support filters, sortable columns, bounded exports, asynchronous generation for large datasets, and repeatable parameters.</w:t>
      </w:r>
    </w:p>
    <w:p>
      <w:pPr>
        <w:pStyle w:val="RequirementID"/>
        <w:ind w:left="216" w:hanging="216"/>
      </w:pPr>
      <w:r>
        <w:rPr>
          <w:rFonts w:ascii="Calibri" w:hAnsi="Calibri"/>
          <w:b/>
          <w:color w:val="1F4D78"/>
          <w:sz w:val="20"/>
        </w:rPr>
        <w:t xml:space="preserve">RPT-003  Data freshness. </w:t>
      </w:r>
      <w:r>
        <w:rPr>
          <w:rFonts w:ascii="Calibri" w:hAnsi="Calibri"/>
          <w:color w:val="20242A"/>
          <w:sz w:val="20"/>
        </w:rPr>
        <w:t>Every report or dashboard indicates its data-as-of timestamp and whether data is transactional or asynchronously projected.</w:t>
      </w:r>
    </w:p>
    <w:p>
      <w:pPr>
        <w:pStyle w:val="RequirementID"/>
        <w:ind w:left="216" w:hanging="216"/>
      </w:pPr>
      <w:r>
        <w:rPr>
          <w:rFonts w:ascii="Calibri" w:hAnsi="Calibri"/>
          <w:b/>
          <w:color w:val="1F4D78"/>
          <w:sz w:val="20"/>
        </w:rPr>
        <w:t xml:space="preserve">ADM-001  Role administration. </w:t>
      </w:r>
      <w:r>
        <w:rPr>
          <w:rFonts w:ascii="Calibri" w:hAnsi="Calibri"/>
          <w:color w:val="20242A"/>
          <w:sz w:val="20"/>
        </w:rPr>
        <w:t>Tenant administrators assign predefined or custom roles within their authorized scope; high-risk permissions are identifiable and auditable.</w:t>
      </w:r>
    </w:p>
    <w:p>
      <w:pPr>
        <w:pStyle w:val="RequirementID"/>
        <w:ind w:left="216" w:hanging="216"/>
      </w:pPr>
      <w:r>
        <w:rPr>
          <w:rFonts w:ascii="Calibri" w:hAnsi="Calibri"/>
          <w:b/>
          <w:color w:val="1F4D78"/>
          <w:sz w:val="20"/>
        </w:rPr>
        <w:t xml:space="preserve">ADM-002  Configuration history. </w:t>
      </w:r>
      <w:r>
        <w:rPr>
          <w:rFonts w:ascii="Calibri" w:hAnsi="Calibri"/>
          <w:color w:val="20242A"/>
          <w:sz w:val="20"/>
        </w:rPr>
        <w:t>Material configuration changes are effective-dated or versioned where historical behavior depends on them.</w:t>
      </w:r>
    </w:p>
    <w:p>
      <w:pPr>
        <w:pStyle w:val="RequirementID"/>
        <w:ind w:left="216" w:hanging="216"/>
      </w:pPr>
      <w:r>
        <w:rPr>
          <w:rFonts w:ascii="Calibri" w:hAnsi="Calibri"/>
          <w:b/>
          <w:color w:val="1F4D78"/>
          <w:sz w:val="20"/>
        </w:rPr>
        <w:t xml:space="preserve">ADM-003  Import controls. </w:t>
      </w:r>
      <w:r>
        <w:rPr>
          <w:rFonts w:ascii="Calibri" w:hAnsi="Calibri"/>
          <w:color w:val="20242A"/>
          <w:sz w:val="20"/>
        </w:rPr>
        <w:t>Imports provide templates, validation previews, row-level errors, duplicate rules, resumable execution where needed, and an audit summary.</w:t>
      </w:r>
    </w:p>
    <w:p>
      <w:r>
        <w:br w:type="page"/>
      </w:r>
    </w:p>
    <w:p>
      <w:pPr>
        <w:pStyle w:val="Heading1"/>
      </w:pPr>
      <w:r>
        <w:t>4. End-to-end workflows</w:t>
      </w:r>
    </w:p>
    <w:p>
      <w:pPr>
        <w:pStyle w:val="Heading2"/>
      </w:pPr>
      <w:r>
        <w:t>4.1 Purchase-to-pay</w:t>
      </w:r>
    </w:p>
    <w:p>
      <w:pPr>
        <w:ind w:left="461" w:hanging="317"/>
      </w:pPr>
      <w:r>
        <w:t>1. Request. A requester records demand, business purpose, delivery location, and need-by date.</w:t>
      </w:r>
    </w:p>
    <w:p>
      <w:pPr>
        <w:ind w:left="461" w:hanging="317"/>
      </w:pPr>
      <w:r>
        <w:t>2. Approve. The active policy routes the request to required approvers and records decisions against the reviewed document version.</w:t>
      </w:r>
    </w:p>
    <w:p>
      <w:pPr>
        <w:ind w:left="461" w:hanging="317"/>
      </w:pPr>
      <w:r>
        <w:t>3. Source and order. A buyer compares supplier offers where required, selects a supplier, and issues an approved purchase order.</w:t>
      </w:r>
    </w:p>
    <w:p>
      <w:pPr>
        <w:ind w:left="461" w:hanging="317"/>
      </w:pPr>
      <w:r>
        <w:t>4. Confirm supplier response. The supplier responds outside the platform. An authorized purchasing user records the response, line-level confirmations, expected delivery dates, external reference, and evidence. Confirmation does not increase stock or create a liability.</w:t>
      </w:r>
    </w:p>
    <w:p>
      <w:pPr>
        <w:ind w:left="461" w:hanging="317"/>
      </w:pPr>
      <w:r>
        <w:t>5. Receive. The warehouse records accepted, rejected, damaged, and outstanding quantities; stock ledger entries are created only when the goods receipt is posted.</w:t>
      </w:r>
    </w:p>
    <w:p>
      <w:pPr>
        <w:ind w:left="461" w:hanging="317"/>
      </w:pPr>
      <w:r>
        <w:t>6. Match and invoice. Finance records the supplier invoice, performs configured two-way or three-way matching, resolves exceptions, and posts the supplier liability.</w:t>
      </w:r>
    </w:p>
    <w:p>
      <w:pPr>
        <w:ind w:left="461" w:hanging="317"/>
      </w:pPr>
      <w:r>
        <w:t>7. Pay and reconcile. An authorized payment is approved, executed, allocated, posted, and reconciled to the bank or cash account.</w:t>
      </w:r>
    </w:p>
    <w:p>
      <w:pPr>
        <w:keepLines/>
        <w:spacing w:before="140" w:after="180"/>
        <w:ind w:left="259" w:right="173"/>
        <w:shd w:fill="EAF2F8"/>
        <w:pBdr>
          <w:left w:val="single" w:sz="20" w:space="8" w:color="2E74B5"/>
        </w:pBdr>
      </w:pPr>
      <w:r>
        <w:rPr>
          <w:rFonts w:ascii="Calibri" w:hAnsi="Calibri"/>
          <w:b/>
          <w:color w:val="2E74B5"/>
          <w:sz w:val="21"/>
        </w:rPr>
        <w:t xml:space="preserve">Invariant  </w:t>
      </w:r>
      <w:r>
        <w:rPr>
          <w:rFonts w:ascii="Calibri" w:hAnsi="Calibri"/>
          <w:color w:val="20242A"/>
          <w:sz w:val="21"/>
        </w:rPr>
        <w:t>A supplier liability cannot be silently disconnected from its source invoice, match result, payment, or reversal. Every accounting effect must remain traceable.</w:t>
      </w:r>
    </w:p>
    <w:p>
      <w:pPr>
        <w:pStyle w:val="Heading2"/>
      </w:pPr>
      <w:r>
        <w:t>4.2 B2B order-to-cash</w:t>
      </w:r>
    </w:p>
    <w:p>
      <w:pPr>
        <w:ind w:left="461" w:hanging="317"/>
      </w:pPr>
      <w:r>
        <w:t>1. Quote. Sales prepares a controlled B2B offer using valid customer, price, discount, currency, tax, payment-term, and delivery data.</w:t>
      </w:r>
    </w:p>
    <w:p>
      <w:pPr>
        <w:ind w:left="461" w:hanging="317"/>
      </w:pPr>
      <w:r>
        <w:t>2. Confirm. The B2B sales order passes customer status, authorization, pricing, availability, credit, and approval checks.</w:t>
      </w:r>
    </w:p>
    <w:p>
      <w:pPr>
        <w:ind w:left="461" w:hanging="317"/>
      </w:pPr>
      <w:r>
        <w:t>3. Reserve and fulfill. Eligible stock is reserved, allocated, picked, packed, and delivered through controlled warehouse and delivery documents with support for partial fulfillment and backorders where configured.</w:t>
      </w:r>
    </w:p>
    <w:p>
      <w:pPr>
        <w:ind w:left="461" w:hanging="317"/>
      </w:pPr>
      <w:r>
        <w:t>4. Invoice. The platform generates or records the B2B sales invoice from delivered quantities or an authorized service milestone, preserving tax, currency, pricing, and source links.</w:t>
      </w:r>
    </w:p>
    <w:p>
      <w:pPr>
        <w:ind w:left="461" w:hanging="317"/>
      </w:pPr>
      <w:r>
        <w:t>5. Collect. Customer receipts are recorded and allocated to one or more invoices; partial and unapplied balances remain visible.</w:t>
      </w:r>
    </w:p>
    <w:p>
      <w:pPr>
        <w:ind w:left="461" w:hanging="317"/>
      </w:pPr>
      <w:r>
        <w:t>6. Reconcile. Finance reconciles customer receipts to cash or bank activity and resolves differences through controlled adjustments.</w:t>
      </w:r>
    </w:p>
    <w:p>
      <w:pPr>
        <w:pStyle w:val="Heading2"/>
      </w:pPr>
      <w:r>
        <w:t>4.3 Inventory lifecycle</w:t>
      </w:r>
    </w:p>
    <w:p>
      <w:pPr>
        <w:pStyle w:val="ListBullet"/>
      </w:pPr>
      <w:r>
        <w:t>Opening balances establish authorized starting quantities and values through controlled migration batches; they do not bypass the inventory ledger.</w:t>
      </w:r>
    </w:p>
    <w:p>
      <w:pPr>
        <w:pStyle w:val="ListBullet"/>
      </w:pPr>
      <w:r>
        <w:t>Posted goods receipts and customer returns increase stock; posted B2B deliveries, supplier returns, and authorized stock issues decrease stock.</w:t>
      </w:r>
    </w:p>
    <w:p>
      <w:pPr>
        <w:pStyle w:val="ListBullet"/>
      </w:pPr>
      <w:r>
        <w:t>Warehouse transfers move stock through explicit shipped, in-transit, and received states. Counts preserve blind entries, calculate variances, and require approval before posting.</w:t>
      </w:r>
    </w:p>
    <w:p>
      <w:pPr>
        <w:pStyle w:val="ListBullet"/>
      </w:pPr>
      <w:r>
        <w:t>Positive and negative adjustments require reason codes, evidence, permissions, and linked financial effects where accounting policy requires them. Every movement remains traceable to its source document and reversal chain.</w:t>
      </w:r>
    </w:p>
    <w:p>
      <w:pPr>
        <w:pStyle w:val="Heading1"/>
      </w:pPr>
      <w:r>
        <w:t>5. Domain model</w:t>
      </w:r>
    </w:p>
    <w:p>
      <w:pPr>
        <w:pStyle w:val="Heading2"/>
      </w:pPr>
      <w:r>
        <w:t>5.1 Core domains and aggregate ownership</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800"/>
        <w:gridCol w:w="3550"/>
        <w:gridCol w:w="4010"/>
      </w:tblGrid>
      <w:tr>
        <w:trPr>
          <w:tblHeader w:val="true"/>
          <w:cantSplit/>
        </w:trPr>
        <w:tc>
          <w:tcPr>
            <w:tcW w:type="dxa" w:w="1800"/>
            <w:shd w:fill="F2F4F7"/>
            <w:tcMar>
              <w:top w:w="80" w:type="dxa"/>
              <w:start w:w="120" w:type="dxa"/>
              <w:bottom w:w="80" w:type="dxa"/>
              <w:end w:w="120" w:type="dxa"/>
            </w:tcMar>
            <w:vAlign w:val="center"/>
          </w:tcPr>
          <w:p>
            <w:pPr>
              <w:spacing w:after="0"/>
              <w:jc w:val="left"/>
            </w:pPr>
            <w:r>
              <w:rPr>
                <w:rFonts w:ascii="Calibri" w:hAnsi="Calibri"/>
                <w:b/>
                <w:color w:val="20242A"/>
                <w:sz w:val="19"/>
              </w:rPr>
              <w:t>Domain</w:t>
            </w:r>
          </w:p>
        </w:tc>
        <w:tc>
          <w:tcPr>
            <w:tcW w:type="dxa" w:w="3550"/>
            <w:shd w:fill="F2F4F7"/>
            <w:tcMar>
              <w:top w:w="80" w:type="dxa"/>
              <w:start w:w="120" w:type="dxa"/>
              <w:bottom w:w="80" w:type="dxa"/>
              <w:end w:w="120" w:type="dxa"/>
            </w:tcMar>
            <w:vAlign w:val="center"/>
          </w:tcPr>
          <w:p>
            <w:pPr>
              <w:spacing w:after="0"/>
              <w:jc w:val="left"/>
            </w:pPr>
            <w:r>
              <w:rPr>
                <w:rFonts w:ascii="Calibri" w:hAnsi="Calibri"/>
                <w:b/>
                <w:color w:val="20242A"/>
                <w:sz w:val="19"/>
              </w:rPr>
              <w:t>Owns</w:t>
            </w:r>
          </w:p>
        </w:tc>
        <w:tc>
          <w:tcPr>
            <w:tcW w:type="dxa" w:w="4010"/>
            <w:shd w:fill="F2F4F7"/>
            <w:tcMar>
              <w:top w:w="80" w:type="dxa"/>
              <w:start w:w="120" w:type="dxa"/>
              <w:bottom w:w="80" w:type="dxa"/>
              <w:end w:w="120" w:type="dxa"/>
            </w:tcMar>
            <w:vAlign w:val="center"/>
          </w:tcPr>
          <w:p>
            <w:pPr>
              <w:spacing w:after="0"/>
              <w:jc w:val="left"/>
            </w:pPr>
            <w:r>
              <w:rPr>
                <w:rFonts w:ascii="Calibri" w:hAnsi="Calibri"/>
                <w:b/>
                <w:color w:val="20242A"/>
                <w:sz w:val="19"/>
              </w:rPr>
              <w:t>Consumes / publishes</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color w:val="20242A"/>
                <w:sz w:val="18"/>
              </w:rPr>
              <w:t>Identity &amp; Tenancy</w:t>
            </w:r>
          </w:p>
        </w:tc>
        <w:tc>
          <w:tcPr>
            <w:tcW w:type="dxa" w:w="3550"/>
            <w:tcMar>
              <w:top w:w="80" w:type="dxa"/>
              <w:start w:w="120" w:type="dxa"/>
              <w:bottom w:w="80" w:type="dxa"/>
              <w:end w:w="120" w:type="dxa"/>
            </w:tcMar>
            <w:vAlign w:val="center"/>
          </w:tcPr>
          <w:p>
            <w:pPr>
              <w:spacing w:after="0" w:line="252" w:lineRule="auto"/>
              <w:jc w:val="left"/>
            </w:pPr>
            <w:r>
              <w:rPr>
                <w:rFonts w:ascii="Calibri" w:hAnsi="Calibri"/>
                <w:color w:val="20242A"/>
                <w:sz w:val="18"/>
              </w:rPr>
              <w:t>Tenant, user, membership, role, permission, session</w:t>
            </w:r>
          </w:p>
        </w:tc>
        <w:tc>
          <w:tcPr>
            <w:tcW w:type="dxa" w:w="4010"/>
            <w:tcMar>
              <w:top w:w="80" w:type="dxa"/>
              <w:start w:w="120" w:type="dxa"/>
              <w:bottom w:w="80" w:type="dxa"/>
              <w:end w:w="120" w:type="dxa"/>
            </w:tcMar>
            <w:vAlign w:val="center"/>
          </w:tcPr>
          <w:p>
            <w:pPr>
              <w:spacing w:after="0" w:line="252" w:lineRule="auto"/>
              <w:jc w:val="left"/>
            </w:pPr>
            <w:r>
              <w:rPr>
                <w:rFonts w:ascii="Calibri" w:hAnsi="Calibri"/>
                <w:color w:val="20242A"/>
                <w:sz w:val="18"/>
              </w:rPr>
              <w:t>Publishes identity and authorization changes</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Organization</w:t>
            </w:r>
          </w:p>
        </w:tc>
        <w:tc>
          <w:tcPr>
            <w:tcW w:type="dxa" w:w="3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Company, branch, warehouse, fiscal calendar, sequence</w:t>
            </w:r>
          </w:p>
        </w:tc>
        <w:tc>
          <w:tcPr>
            <w:tcW w:type="dxa" w:w="4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Supplies operating scope and configuration</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color w:val="20242A"/>
                <w:sz w:val="18"/>
              </w:rPr>
              <w:t>Catalog</w:t>
            </w:r>
          </w:p>
        </w:tc>
        <w:tc>
          <w:tcPr>
            <w:tcW w:type="dxa" w:w="3550"/>
            <w:tcMar>
              <w:top w:w="80" w:type="dxa"/>
              <w:start w:w="120" w:type="dxa"/>
              <w:bottom w:w="80" w:type="dxa"/>
              <w:end w:w="120" w:type="dxa"/>
            </w:tcMar>
            <w:vAlign w:val="center"/>
          </w:tcPr>
          <w:p>
            <w:pPr>
              <w:spacing w:after="0" w:line="252" w:lineRule="auto"/>
              <w:jc w:val="left"/>
            </w:pPr>
            <w:r>
              <w:rPr>
                <w:rFonts w:ascii="Calibri" w:hAnsi="Calibri"/>
                <w:color w:val="20242A"/>
                <w:sz w:val="18"/>
              </w:rPr>
              <w:t>Product, category, unit, price list, tax classification</w:t>
            </w:r>
          </w:p>
        </w:tc>
        <w:tc>
          <w:tcPr>
            <w:tcW w:type="dxa" w:w="4010"/>
            <w:tcMar>
              <w:top w:w="80" w:type="dxa"/>
              <w:start w:w="120" w:type="dxa"/>
              <w:bottom w:w="80" w:type="dxa"/>
              <w:end w:w="120" w:type="dxa"/>
            </w:tcMar>
            <w:vAlign w:val="center"/>
          </w:tcPr>
          <w:p>
            <w:pPr>
              <w:spacing w:after="0" w:line="252" w:lineRule="auto"/>
              <w:jc w:val="left"/>
            </w:pPr>
            <w:r>
              <w:rPr>
                <w:rFonts w:ascii="Calibri" w:hAnsi="Calibri"/>
                <w:color w:val="20242A"/>
                <w:sz w:val="18"/>
              </w:rPr>
              <w:t>Supplies item and commercial facts</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Parties</w:t>
            </w:r>
          </w:p>
        </w:tc>
        <w:tc>
          <w:tcPr>
            <w:tcW w:type="dxa" w:w="3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Supplier, customer, contacts, addresses, terms</w:t>
            </w:r>
          </w:p>
        </w:tc>
        <w:tc>
          <w:tcPr>
            <w:tcW w:type="dxa" w:w="4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Supplies counterparty facts and status</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color w:val="20242A"/>
                <w:sz w:val="18"/>
              </w:rPr>
              <w:t>Procurement</w:t>
            </w:r>
          </w:p>
        </w:tc>
        <w:tc>
          <w:tcPr>
            <w:tcW w:type="dxa" w:w="3550"/>
            <w:tcMar>
              <w:top w:w="80" w:type="dxa"/>
              <w:start w:w="120" w:type="dxa"/>
              <w:bottom w:w="80" w:type="dxa"/>
              <w:end w:w="120" w:type="dxa"/>
            </w:tcMar>
            <w:vAlign w:val="center"/>
          </w:tcPr>
          <w:p>
            <w:pPr>
              <w:spacing w:after="0" w:line="252" w:lineRule="auto"/>
              <w:jc w:val="left"/>
            </w:pPr>
            <w:r>
              <w:rPr>
                <w:rFonts w:ascii="Calibri" w:hAnsi="Calibri"/>
                <w:color w:val="20242A"/>
                <w:sz w:val="18"/>
              </w:rPr>
              <w:t>Request, quotation, purchase order, receipt, supplier return</w:t>
            </w:r>
          </w:p>
        </w:tc>
        <w:tc>
          <w:tcPr>
            <w:tcW w:type="dxa" w:w="4010"/>
            <w:tcMar>
              <w:top w:w="80" w:type="dxa"/>
              <w:start w:w="120" w:type="dxa"/>
              <w:bottom w:w="80" w:type="dxa"/>
              <w:end w:w="120" w:type="dxa"/>
            </w:tcMar>
            <w:vAlign w:val="center"/>
          </w:tcPr>
          <w:p>
            <w:pPr>
              <w:spacing w:after="0" w:line="252" w:lineRule="auto"/>
              <w:jc w:val="left"/>
            </w:pPr>
            <w:r>
              <w:rPr>
                <w:rFonts w:ascii="Calibri" w:hAnsi="Calibri"/>
                <w:color w:val="20242A"/>
                <w:sz w:val="18"/>
              </w:rPr>
              <w:t>Consumes catalog/party data; publishes commitments and receipts</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Inventory</w:t>
            </w:r>
          </w:p>
        </w:tc>
        <w:tc>
          <w:tcPr>
            <w:tcW w:type="dxa" w:w="3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Stock ledger, balance projection, reservation, transfer, count</w:t>
            </w:r>
          </w:p>
        </w:tc>
        <w:tc>
          <w:tcPr>
            <w:tcW w:type="dxa" w:w="4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Consumes posted movements; publishes availability and costing</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color w:val="20242A"/>
                <w:sz w:val="18"/>
              </w:rPr>
              <w:t>Sales</w:t>
            </w:r>
          </w:p>
        </w:tc>
        <w:tc>
          <w:tcPr>
            <w:tcW w:type="dxa" w:w="3550"/>
            <w:tcMar>
              <w:top w:w="80" w:type="dxa"/>
              <w:start w:w="120" w:type="dxa"/>
              <w:bottom w:w="80" w:type="dxa"/>
              <w:end w:w="120" w:type="dxa"/>
            </w:tcMar>
            <w:vAlign w:val="center"/>
          </w:tcPr>
          <w:p>
            <w:pPr>
              <w:spacing w:after="0"/>
            </w:pPr>
            <w:r>
              <w:t>B2B quotation, sales order, reservation, delivery/fulfillment, return</w:t>
            </w:r>
          </w:p>
        </w:tc>
        <w:tc>
          <w:tcPr>
            <w:tcW w:type="dxa" w:w="4010"/>
            <w:tcMar>
              <w:top w:w="80" w:type="dxa"/>
              <w:start w:w="120" w:type="dxa"/>
              <w:bottom w:w="80" w:type="dxa"/>
              <w:end w:w="120" w:type="dxa"/>
            </w:tcMar>
            <w:vAlign w:val="center"/>
          </w:tcPr>
          <w:p>
            <w:pPr>
              <w:spacing w:after="0"/>
            </w:pPr>
            <w:r>
              <w:t>Consumes customer, pricing, availability, credit, and tax facts; publishes demand, reservations, and deliveries</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Finance</w:t>
            </w:r>
          </w:p>
        </w:tc>
        <w:tc>
          <w:tcPr>
            <w:tcW w:type="dxa" w:w="3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Account, journal, invoice, payment, allocation, reconciliation</w:t>
            </w:r>
          </w:p>
        </w:tc>
        <w:tc>
          <w:tcPr>
            <w:tcW w:type="dxa" w:w="4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Consumes subledger events; publishes balances and posting status</w:t>
            </w:r>
          </w:p>
        </w:tc>
      </w:tr>
      <w:tr>
        <w:trPr>
          <w:cantSplit/>
        </w:trPr>
        <w:tc>
          <w:tcPr>
            <w:tcW w:type="dxa" w:w="1800"/>
            <w:tcMar>
              <w:top w:w="80" w:type="dxa"/>
              <w:start w:w="120" w:type="dxa"/>
              <w:bottom w:w="80" w:type="dxa"/>
              <w:end w:w="120" w:type="dxa"/>
            </w:tcMar>
            <w:vAlign w:val="center"/>
          </w:tcPr>
          <w:p>
            <w:pPr>
              <w:spacing w:after="0" w:line="252" w:lineRule="auto"/>
              <w:jc w:val="left"/>
            </w:pPr>
            <w:r>
              <w:rPr>
                <w:rFonts w:ascii="Calibri" w:hAnsi="Calibri"/>
                <w:color w:val="20242A"/>
                <w:sz w:val="18"/>
              </w:rPr>
              <w:t>Reporting</w:t>
            </w:r>
          </w:p>
        </w:tc>
        <w:tc>
          <w:tcPr>
            <w:tcW w:type="dxa" w:w="3550"/>
            <w:tcMar>
              <w:top w:w="80" w:type="dxa"/>
              <w:start w:w="120" w:type="dxa"/>
              <w:bottom w:w="80" w:type="dxa"/>
              <w:end w:w="120" w:type="dxa"/>
            </w:tcMar>
            <w:vAlign w:val="center"/>
          </w:tcPr>
          <w:p>
            <w:pPr>
              <w:spacing w:after="0" w:line="252" w:lineRule="auto"/>
              <w:jc w:val="left"/>
            </w:pPr>
            <w:r>
              <w:rPr>
                <w:rFonts w:ascii="Calibri" w:hAnsi="Calibri"/>
                <w:color w:val="20242A"/>
                <w:sz w:val="18"/>
              </w:rPr>
              <w:t>Read models, report jobs, export artifacts</w:t>
            </w:r>
          </w:p>
        </w:tc>
        <w:tc>
          <w:tcPr>
            <w:tcW w:type="dxa" w:w="4010"/>
            <w:tcMar>
              <w:top w:w="80" w:type="dxa"/>
              <w:start w:w="120" w:type="dxa"/>
              <w:bottom w:w="80" w:type="dxa"/>
              <w:end w:w="120" w:type="dxa"/>
            </w:tcMar>
            <w:vAlign w:val="center"/>
          </w:tcPr>
          <w:p>
            <w:pPr>
              <w:spacing w:after="0" w:line="252" w:lineRule="auto"/>
              <w:jc w:val="left"/>
            </w:pPr>
            <w:r>
              <w:rPr>
                <w:rFonts w:ascii="Calibri" w:hAnsi="Calibri"/>
                <w:color w:val="20242A"/>
                <w:sz w:val="18"/>
              </w:rPr>
              <w:t>Consumes versioned events and authorized transactional views</w:t>
            </w:r>
          </w:p>
        </w:tc>
      </w:tr>
      <w:tr>
        <w:trPr>
          <w:cantSplit/>
        </w:trPr>
        <w:tc>
          <w:tcPr>
            <w:tcW w:type="dxa" w:w="18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 &amp; Files</w:t>
            </w:r>
          </w:p>
        </w:tc>
        <w:tc>
          <w:tcPr>
            <w:tcW w:type="dxa" w:w="3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 event, attachment metadata, retention state</w:t>
            </w:r>
          </w:p>
        </w:tc>
        <w:tc>
          <w:tcPr>
            <w:tcW w:type="dxa" w:w="4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Consumes material actions across all modules</w:t>
            </w:r>
          </w:p>
        </w:tc>
      </w:tr>
    </w:tbl>
    <w:p>
      <w:pPr>
        <w:spacing w:before="80" w:after="0"/>
      </w:pPr>
    </w:p>
    <w:p>
      <w:pPr>
        <w:pStyle w:val="Heading2"/>
      </w:pPr>
      <w:r>
        <w:t>5.2 Relationship rules</w:t>
      </w:r>
    </w:p>
    <w:p>
      <w:pPr>
        <w:pStyle w:val="ListBullet"/>
      </w:pPr>
      <w:r>
        <w:rPr>
          <w:rFonts w:ascii="Calibri" w:hAnsi="Calibri"/>
        </w:rPr>
        <w:t>Tenant is the top-level isolation boundary; business records must not exist without a tenant scope.</w:t>
      </w:r>
    </w:p>
    <w:p>
      <w:pPr>
        <w:pStyle w:val="ListBullet"/>
      </w:pPr>
      <w:r>
        <w:rPr>
          <w:rFonts w:ascii="Calibri" w:hAnsi="Calibri"/>
        </w:rPr>
        <w:t>A company owns accounting policy and fiscal periods; branches and warehouses operate within an authorized company scope.</w:t>
      </w:r>
    </w:p>
    <w:p>
      <w:pPr>
        <w:pStyle w:val="ListBullet"/>
      </w:pPr>
      <w:r>
        <w:rPr>
          <w:rFonts w:ascii="Calibri" w:hAnsi="Calibri"/>
        </w:rPr>
        <w:t>Documents reference master-data identifiers and retain snapshots of material commercial values needed to interpret history.</w:t>
      </w:r>
    </w:p>
    <w:p>
      <w:pPr>
        <w:pStyle w:val="ListBullet"/>
      </w:pPr>
      <w:r>
        <w:rPr>
          <w:rFonts w:ascii="Calibri" w:hAnsi="Calibri"/>
        </w:rPr>
        <w:t>Stock and financial balances are projections of immutable ledger entries, not independently editable values.</w:t>
      </w:r>
    </w:p>
    <w:p>
      <w:pPr>
        <w:pStyle w:val="ListBullet"/>
      </w:pPr>
      <w:r>
        <w:rPr>
          <w:rFonts w:ascii="Calibri" w:hAnsi="Calibri"/>
        </w:rPr>
        <w:t>Cross-module references use stable identifiers and published contracts; modules do not write directly into another module's owned tables.</w:t>
      </w:r>
    </w:p>
    <w:p>
      <w:pPr>
        <w:pStyle w:val="ListBullet"/>
      </w:pPr>
      <w:r>
        <w:rPr>
          <w:rFonts w:ascii="Calibri" w:hAnsi="Calibri"/>
        </w:rPr>
        <w:t>Policy, tax, rate, and mapping versions used by a transaction remain reproducible after later configuration changes.</w:t>
      </w:r>
    </w:p>
    <w:p>
      <w:pPr>
        <w:pStyle w:val="Heading2"/>
      </w:pPr>
      <w:r>
        <w:t>5.3 Data retention and deletion</w:t>
      </w:r>
    </w:p>
    <w:p>
      <w:r>
        <w:rPr>
          <w:rFonts w:ascii="Calibri" w:hAnsi="Calibri"/>
          <w:i w:val="0"/>
          <w:color w:val="20242A"/>
        </w:rPr>
        <w:t>Transactional and audit data are retained according to tenant contract, statutory needs, and platform policy. Master records referenced by posted transactions are deactivated rather than physically deleted. Tenant offboarding must follow a documented export, retention, legal-hold, and purge workflow.</w:t>
      </w:r>
    </w:p>
    <w:p>
      <w:r>
        <w:br w:type="page"/>
      </w:r>
    </w:p>
    <w:p>
      <w:pPr>
        <w:pStyle w:val="Heading1"/>
      </w:pPr>
      <w:r>
        <w:t>6. State machines and business invariants</w:t>
      </w:r>
    </w:p>
    <w:p>
      <w:pPr>
        <w:pStyle w:val="Heading2"/>
      </w:pPr>
      <w:r>
        <w:t>6.1 Common document lifecycle</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850"/>
        <w:gridCol w:w="3770"/>
        <w:gridCol w:w="3740"/>
      </w:tblGrid>
      <w:tr>
        <w:trPr>
          <w:tblHeader w:val="true"/>
          <w:cantSplit/>
        </w:trPr>
        <w:tc>
          <w:tcPr>
            <w:tcW w:type="dxa" w:w="1850"/>
            <w:shd w:fill="F2F4F7"/>
            <w:tcMar>
              <w:top w:w="80" w:type="dxa"/>
              <w:start w:w="120" w:type="dxa"/>
              <w:bottom w:w="80" w:type="dxa"/>
              <w:end w:w="120" w:type="dxa"/>
            </w:tcMar>
            <w:vAlign w:val="center"/>
          </w:tcPr>
          <w:p>
            <w:pPr>
              <w:spacing w:after="0"/>
              <w:jc w:val="left"/>
            </w:pPr>
            <w:r>
              <w:rPr>
                <w:rFonts w:ascii="Calibri" w:hAnsi="Calibri"/>
                <w:b/>
                <w:color w:val="20242A"/>
                <w:sz w:val="19"/>
              </w:rPr>
              <w:t>State</w:t>
            </w:r>
          </w:p>
        </w:tc>
        <w:tc>
          <w:tcPr>
            <w:tcW w:type="dxa" w:w="3770"/>
            <w:shd w:fill="F2F4F7"/>
            <w:tcMar>
              <w:top w:w="80" w:type="dxa"/>
              <w:start w:w="120" w:type="dxa"/>
              <w:bottom w:w="80" w:type="dxa"/>
              <w:end w:w="120" w:type="dxa"/>
            </w:tcMar>
            <w:vAlign w:val="center"/>
          </w:tcPr>
          <w:p>
            <w:pPr>
              <w:spacing w:after="0"/>
              <w:jc w:val="left"/>
            </w:pPr>
            <w:r>
              <w:rPr>
                <w:rFonts w:ascii="Calibri" w:hAnsi="Calibri"/>
                <w:b/>
                <w:color w:val="20242A"/>
                <w:sz w:val="19"/>
              </w:rPr>
              <w:t>Meaning</w:t>
            </w:r>
          </w:p>
        </w:tc>
        <w:tc>
          <w:tcPr>
            <w:tcW w:type="dxa" w:w="3740"/>
            <w:shd w:fill="F2F4F7"/>
            <w:tcMar>
              <w:top w:w="80" w:type="dxa"/>
              <w:start w:w="120" w:type="dxa"/>
              <w:bottom w:w="80" w:type="dxa"/>
              <w:end w:w="120" w:type="dxa"/>
            </w:tcMar>
            <w:vAlign w:val="center"/>
          </w:tcPr>
          <w:p>
            <w:pPr>
              <w:spacing w:after="0"/>
              <w:jc w:val="left"/>
            </w:pPr>
            <w:r>
              <w:rPr>
                <w:rFonts w:ascii="Calibri" w:hAnsi="Calibri"/>
                <w:b/>
                <w:color w:val="20242A"/>
                <w:sz w:val="19"/>
              </w:rPr>
              <w:t>Allowed outcome</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color w:val="20242A"/>
                <w:sz w:val="18"/>
              </w:rPr>
              <w:t>Draft</w:t>
            </w:r>
          </w:p>
        </w:tc>
        <w:tc>
          <w:tcPr>
            <w:tcW w:type="dxa" w:w="3770"/>
            <w:tcMar>
              <w:top w:w="80" w:type="dxa"/>
              <w:start w:w="120" w:type="dxa"/>
              <w:bottom w:w="80" w:type="dxa"/>
              <w:end w:w="120" w:type="dxa"/>
            </w:tcMar>
            <w:vAlign w:val="center"/>
          </w:tcPr>
          <w:p>
            <w:pPr>
              <w:spacing w:after="0" w:line="252" w:lineRule="auto"/>
              <w:jc w:val="left"/>
            </w:pPr>
            <w:r>
              <w:rPr>
                <w:rFonts w:ascii="Calibri" w:hAnsi="Calibri"/>
                <w:color w:val="20242A"/>
                <w:sz w:val="18"/>
              </w:rPr>
              <w:t>Editable, not authoritative</w:t>
            </w:r>
          </w:p>
        </w:tc>
        <w:tc>
          <w:tcPr>
            <w:tcW w:type="dxa" w:w="3740"/>
            <w:tcMar>
              <w:top w:w="80" w:type="dxa"/>
              <w:start w:w="120" w:type="dxa"/>
              <w:bottom w:w="80" w:type="dxa"/>
              <w:end w:w="120" w:type="dxa"/>
            </w:tcMar>
            <w:vAlign w:val="center"/>
          </w:tcPr>
          <w:p>
            <w:pPr>
              <w:spacing w:after="0" w:line="252" w:lineRule="auto"/>
              <w:jc w:val="left"/>
            </w:pPr>
            <w:r>
              <w:rPr>
                <w:rFonts w:ascii="Calibri" w:hAnsi="Calibri"/>
                <w:color w:val="20242A"/>
                <w:sz w:val="18"/>
              </w:rPr>
              <w:t>Submit or cancel</w:t>
            </w:r>
          </w:p>
        </w:tc>
      </w:tr>
      <w:tr>
        <w:trPr>
          <w:cantSplit/>
        </w:trPr>
        <w:tc>
          <w:tcPr>
            <w:tcW w:type="dxa" w:w="1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Submitted</w:t>
            </w:r>
          </w:p>
        </w:tc>
        <w:tc>
          <w:tcPr>
            <w:tcW w:type="dxa" w:w="377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Awaiting configured control</w:t>
            </w:r>
          </w:p>
        </w:tc>
        <w:tc>
          <w:tcPr>
            <w:tcW w:type="dxa" w:w="374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Approve, reject, request change, or withdraw if policy permits</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color w:val="20242A"/>
                <w:sz w:val="18"/>
              </w:rPr>
              <w:t>Approved</w:t>
            </w:r>
          </w:p>
        </w:tc>
        <w:tc>
          <w:tcPr>
            <w:tcW w:type="dxa" w:w="3770"/>
            <w:tcMar>
              <w:top w:w="80" w:type="dxa"/>
              <w:start w:w="120" w:type="dxa"/>
              <w:bottom w:w="80" w:type="dxa"/>
              <w:end w:w="120" w:type="dxa"/>
            </w:tcMar>
            <w:vAlign w:val="center"/>
          </w:tcPr>
          <w:p>
            <w:pPr>
              <w:spacing w:after="0" w:line="252" w:lineRule="auto"/>
              <w:jc w:val="left"/>
            </w:pPr>
            <w:r>
              <w:rPr>
                <w:rFonts w:ascii="Calibri" w:hAnsi="Calibri"/>
                <w:color w:val="20242A"/>
                <w:sz w:val="18"/>
              </w:rPr>
              <w:t>Authorized for the next business action</w:t>
            </w:r>
          </w:p>
        </w:tc>
        <w:tc>
          <w:tcPr>
            <w:tcW w:type="dxa" w:w="3740"/>
            <w:tcMar>
              <w:top w:w="80" w:type="dxa"/>
              <w:start w:w="120" w:type="dxa"/>
              <w:bottom w:w="80" w:type="dxa"/>
              <w:end w:w="120" w:type="dxa"/>
            </w:tcMar>
            <w:vAlign w:val="center"/>
          </w:tcPr>
          <w:p>
            <w:pPr>
              <w:spacing w:after="0" w:line="252" w:lineRule="auto"/>
              <w:jc w:val="left"/>
            </w:pPr>
            <w:r>
              <w:rPr>
                <w:rFonts w:ascii="Calibri" w:hAnsi="Calibri"/>
                <w:color w:val="20242A"/>
                <w:sz w:val="18"/>
              </w:rPr>
              <w:t>Execute, post, or cancel under policy</w:t>
            </w:r>
          </w:p>
        </w:tc>
      </w:tr>
      <w:tr>
        <w:trPr>
          <w:cantSplit/>
        </w:trPr>
        <w:tc>
          <w:tcPr>
            <w:tcW w:type="dxa" w:w="1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Partially completed</w:t>
            </w:r>
          </w:p>
        </w:tc>
        <w:tc>
          <w:tcPr>
            <w:tcW w:type="dxa" w:w="377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Some quantities or value remain open</w:t>
            </w:r>
          </w:p>
        </w:tc>
        <w:tc>
          <w:tcPr>
            <w:tcW w:type="dxa" w:w="374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Continue, close remainder, or reverse eligible effects</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color w:val="20242A"/>
                <w:sz w:val="18"/>
              </w:rPr>
              <w:t>Completed / posted</w:t>
            </w:r>
          </w:p>
        </w:tc>
        <w:tc>
          <w:tcPr>
            <w:tcW w:type="dxa" w:w="3770"/>
            <w:tcMar>
              <w:top w:w="80" w:type="dxa"/>
              <w:start w:w="120" w:type="dxa"/>
              <w:bottom w:w="80" w:type="dxa"/>
              <w:end w:w="120" w:type="dxa"/>
            </w:tcMar>
            <w:vAlign w:val="center"/>
          </w:tcPr>
          <w:p>
            <w:pPr>
              <w:spacing w:after="0" w:line="252" w:lineRule="auto"/>
              <w:jc w:val="left"/>
            </w:pPr>
            <w:r>
              <w:rPr>
                <w:rFonts w:ascii="Calibri" w:hAnsi="Calibri"/>
                <w:color w:val="20242A"/>
                <w:sz w:val="18"/>
              </w:rPr>
              <w:t>Operational or financial effect is authoritative</w:t>
            </w:r>
          </w:p>
        </w:tc>
        <w:tc>
          <w:tcPr>
            <w:tcW w:type="dxa" w:w="3740"/>
            <w:tcMar>
              <w:top w:w="80" w:type="dxa"/>
              <w:start w:w="120" w:type="dxa"/>
              <w:bottom w:w="80" w:type="dxa"/>
              <w:end w:w="120" w:type="dxa"/>
            </w:tcMar>
            <w:vAlign w:val="center"/>
          </w:tcPr>
          <w:p>
            <w:pPr>
              <w:spacing w:after="0" w:line="252" w:lineRule="auto"/>
              <w:jc w:val="left"/>
            </w:pPr>
            <w:r>
              <w:rPr>
                <w:rFonts w:ascii="Calibri" w:hAnsi="Calibri"/>
                <w:color w:val="20242A"/>
                <w:sz w:val="18"/>
              </w:rPr>
              <w:t>Reverse, return, credit, or adjust through a linked document</w:t>
            </w:r>
          </w:p>
        </w:tc>
      </w:tr>
      <w:tr>
        <w:trPr>
          <w:cantSplit/>
        </w:trPr>
        <w:tc>
          <w:tcPr>
            <w:tcW w:type="dxa" w:w="1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Rejected</w:t>
            </w:r>
          </w:p>
        </w:tc>
        <w:tc>
          <w:tcPr>
            <w:tcW w:type="dxa" w:w="377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Approval denied with reason</w:t>
            </w:r>
          </w:p>
        </w:tc>
        <w:tc>
          <w:tcPr>
            <w:tcW w:type="dxa" w:w="374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Revise and resubmit or cancel</w:t>
            </w:r>
          </w:p>
        </w:tc>
      </w:tr>
      <w:tr>
        <w:trPr>
          <w:cantSplit/>
        </w:trPr>
        <w:tc>
          <w:tcPr>
            <w:tcW w:type="dxa" w:w="1850"/>
            <w:tcMar>
              <w:top w:w="80" w:type="dxa"/>
              <w:start w:w="120" w:type="dxa"/>
              <w:bottom w:w="80" w:type="dxa"/>
              <w:end w:w="120" w:type="dxa"/>
            </w:tcMar>
            <w:vAlign w:val="center"/>
          </w:tcPr>
          <w:p>
            <w:pPr>
              <w:spacing w:after="0" w:line="252" w:lineRule="auto"/>
              <w:jc w:val="left"/>
            </w:pPr>
            <w:r>
              <w:rPr>
                <w:rFonts w:ascii="Calibri" w:hAnsi="Calibri"/>
                <w:color w:val="20242A"/>
                <w:sz w:val="18"/>
              </w:rPr>
              <w:t>Cancelled</w:t>
            </w:r>
          </w:p>
        </w:tc>
        <w:tc>
          <w:tcPr>
            <w:tcW w:type="dxa" w:w="3770"/>
            <w:tcMar>
              <w:top w:w="80" w:type="dxa"/>
              <w:start w:w="120" w:type="dxa"/>
              <w:bottom w:w="80" w:type="dxa"/>
              <w:end w:w="120" w:type="dxa"/>
            </w:tcMar>
            <w:vAlign w:val="center"/>
          </w:tcPr>
          <w:p>
            <w:pPr>
              <w:spacing w:after="0" w:line="252" w:lineRule="auto"/>
              <w:jc w:val="left"/>
            </w:pPr>
            <w:r>
              <w:rPr>
                <w:rFonts w:ascii="Calibri" w:hAnsi="Calibri"/>
                <w:color w:val="20242A"/>
                <w:sz w:val="18"/>
              </w:rPr>
              <w:t>No further execution allowed</w:t>
            </w:r>
          </w:p>
        </w:tc>
        <w:tc>
          <w:tcPr>
            <w:tcW w:type="dxa" w:w="3740"/>
            <w:tcMar>
              <w:top w:w="80" w:type="dxa"/>
              <w:start w:w="120" w:type="dxa"/>
              <w:bottom w:w="80" w:type="dxa"/>
              <w:end w:w="120" w:type="dxa"/>
            </w:tcMar>
            <w:vAlign w:val="center"/>
          </w:tcPr>
          <w:p>
            <w:pPr>
              <w:spacing w:after="0" w:line="252" w:lineRule="auto"/>
              <w:jc w:val="left"/>
            </w:pPr>
            <w:r>
              <w:rPr>
                <w:rFonts w:ascii="Calibri" w:hAnsi="Calibri"/>
                <w:color w:val="20242A"/>
                <w:sz w:val="18"/>
              </w:rPr>
              <w:t>Read-only; historical links retained</w:t>
            </w:r>
          </w:p>
        </w:tc>
      </w:tr>
    </w:tbl>
    <w:p>
      <w:pPr>
        <w:spacing w:before="80" w:after="0"/>
      </w:pPr>
    </w:p>
    <w:p>
      <w:pPr>
        <w:pStyle w:val="Heading2"/>
      </w:pPr>
      <w:r>
        <w:t>6.2 Purchase order and supplier response</w:t>
      </w:r>
    </w:p>
    <w:p>
      <w:r>
        <w:t>A purchase order progresses Draft -&gt; Submitted -&gt; Approved -&gt; Issued -&gt; Awaiting Supplier Response -&gt; Supplier Confirmed or Partially Confirmed -&gt; Partially Received or Fully Received -&gt; Closed. Rejected, No Response Closed, and Cancelled are controlled terminal outcomes for remaining execution. A posted goods receipt is corrected through a linked reversal or supplier return; it is never removed from history.</w:t>
      </w:r>
    </w:p>
    <w:p>
      <w:pPr>
        <w:pStyle w:val="Heading2"/>
      </w:pPr>
      <w:r>
        <w:t>6.3 B2B sales order and invoice</w:t>
      </w:r>
    </w:p>
    <w:p>
      <w:r>
        <w:rPr>
          <w:rFonts w:ascii="Calibri" w:hAnsi="Calibri"/>
          <w:i w:val="0"/>
          <w:color w:val="20242A"/>
        </w:rPr>
        <w:t>A sales order progresses from Draft to Confirmed, then Partially Fulfilled or Fulfilled, and finally Closed. An invoice progresses from Draft to Posted, then Partially Paid or Paid. Credit notes, write-offs, and reversals are separate authorized documents linked to the original invoice.</w:t>
      </w:r>
    </w:p>
    <w:p>
      <w:pPr>
        <w:pStyle w:val="Heading2"/>
      </w:pPr>
      <w:r>
        <w:t>6.4 Required invariants</w:t>
      </w:r>
    </w:p>
    <w:p>
      <w:pPr>
        <w:pStyle w:val="ListBullet"/>
      </w:pPr>
      <w:r>
        <w:rPr>
          <w:rFonts w:ascii="Calibri" w:hAnsi="Calibri"/>
        </w:rPr>
        <w:t>A posted journal must balance in the accounting currency and contain at least two valid lines.</w:t>
      </w:r>
    </w:p>
    <w:p>
      <w:pPr>
        <w:pStyle w:val="ListBullet"/>
      </w:pPr>
      <w:r>
        <w:rPr>
          <w:rFonts w:ascii="Calibri" w:hAnsi="Calibri"/>
        </w:rPr>
        <w:t>A closed fiscal period rejects new postings except through an explicitly authorized adjustment process.</w:t>
      </w:r>
    </w:p>
    <w:p>
      <w:pPr>
        <w:pStyle w:val="ListBullet"/>
      </w:pPr>
      <w:r>
        <w:rPr>
          <w:rFonts w:ascii="Calibri" w:hAnsi="Calibri"/>
        </w:rPr>
        <w:t>A stock movement cannot post without a valid source, unit conversion, location, and item tracking data required by policy.</w:t>
      </w:r>
    </w:p>
    <w:p>
      <w:pPr>
        <w:pStyle w:val="ListBullet"/>
      </w:pPr>
      <w:r>
        <w:rPr>
          <w:rFonts w:ascii="Calibri" w:hAnsi="Calibri"/>
        </w:rPr>
        <w:t>The same idempotency key and command scope cannot create duplicate authoritative effects.</w:t>
      </w:r>
    </w:p>
    <w:p>
      <w:pPr>
        <w:pStyle w:val="ListBullet"/>
      </w:pPr>
      <w:r>
        <w:rPr>
          <w:rFonts w:ascii="Calibri" w:hAnsi="Calibri"/>
        </w:rPr>
        <w:t>Document totals equal their validated line, tax, discount, charge, rounding, and currency components.</w:t>
      </w:r>
    </w:p>
    <w:p>
      <w:pPr>
        <w:pStyle w:val="ListBullet"/>
      </w:pPr>
      <w:r>
        <w:rPr>
          <w:rFonts w:ascii="Calibri" w:hAnsi="Calibri"/>
        </w:rPr>
        <w:t>An approval decision is tied to the document version reviewed; material edits invalidate prior approval when configured.</w:t>
      </w:r>
    </w:p>
    <w:p>
      <w:pPr>
        <w:pStyle w:val="ListBullet"/>
      </w:pPr>
      <w:r>
        <w:rPr>
          <w:rFonts w:ascii="Calibri" w:hAnsi="Calibri"/>
        </w:rPr>
        <w:t>Cancellation cannot erase previously posted inventory or financial impact.</w:t>
      </w:r>
    </w:p>
    <w:p>
      <w:pPr>
        <w:pStyle w:val="Heading1"/>
      </w:pPr>
      <w:r>
        <w:t>7. Module boundaries and integration model</w:t>
      </w:r>
    </w:p>
    <w:p>
      <w:pPr>
        <w:pStyle w:val="Heading2"/>
      </w:pPr>
      <w:r>
        <w:t>7.1 Boundary rules</w:t>
      </w:r>
    </w:p>
    <w:p>
      <w:pPr>
        <w:pStyle w:val="ListBullet"/>
      </w:pPr>
      <w:r>
        <w:rPr>
          <w:rFonts w:ascii="Calibri" w:hAnsi="Calibri"/>
        </w:rPr>
        <w:t>Each module owns its write model, invariants, schema migrations, and public contracts.</w:t>
      </w:r>
    </w:p>
    <w:p>
      <w:pPr>
        <w:pStyle w:val="ListBullet"/>
      </w:pPr>
      <w:r>
        <w:rPr>
          <w:rFonts w:ascii="Calibri" w:hAnsi="Calibri"/>
        </w:rPr>
        <w:t>Synchronous calls are reserved for validations that must complete before the user command succeeds; events support propagation and projections.</w:t>
      </w:r>
    </w:p>
    <w:p>
      <w:pPr>
        <w:pStyle w:val="ListBullet"/>
      </w:pPr>
      <w:r>
        <w:rPr>
          <w:rFonts w:ascii="Calibri" w:hAnsi="Calibri"/>
        </w:rPr>
        <w:t>Distributed workflows use explicit status, correlation identifiers, retries, and reconciliation rather than hidden cross-module transactions.</w:t>
      </w:r>
    </w:p>
    <w:p>
      <w:pPr>
        <w:pStyle w:val="ListBullet"/>
      </w:pPr>
      <w:r>
        <w:rPr>
          <w:rFonts w:ascii="Calibri" w:hAnsi="Calibri"/>
        </w:rPr>
        <w:t>Integration contracts are versioned, tenant-scoped, authenticated, rate-limited, and observable.</w:t>
      </w:r>
    </w:p>
    <w:p>
      <w:pPr>
        <w:pStyle w:val="ListBullet"/>
      </w:pPr>
      <w:r>
        <w:rPr>
          <w:rFonts w:ascii="Calibri" w:hAnsi="Calibri"/>
        </w:rPr>
        <w:t>Reporting uses approved read models or replicas and must not bypass authorization or mutate source data.</w:t>
      </w:r>
    </w:p>
    <w:p>
      <w:pPr>
        <w:pStyle w:val="Heading2"/>
      </w:pPr>
      <w:r>
        <w:t>7.2 Initial architectural posture</w:t>
      </w:r>
    </w:p>
    <w:p>
      <w:pPr>
        <w:keepLines/>
        <w:spacing w:before="140" w:after="180"/>
        <w:ind w:left="259" w:right="173"/>
        <w:shd w:fill="EAF2F8"/>
        <w:pBdr>
          <w:left w:val="single" w:sz="20" w:space="8" w:color="2E74B5"/>
        </w:pBdr>
      </w:pPr>
      <w:r>
        <w:t>Recommended baseline  Use a modular monolith for the first production release, with strict domain boundaries, one deployable application tier, background workers, and a shared relational database governed by tenant scope and module ownership conventions. Extract services only when measured scale, isolation, deployment, or team-ownership needs justify the additional complexity.</w:t>
      </w:r>
    </w:p>
    <w:p>
      <w:r>
        <w:t>This approved posture minimizes early distributed-systems overhead while preserving versioned contracts and data ownership for future extraction. The implementation details and architecture decision record must be documented in Decisions.md before development begins.</w:t>
      </w:r>
    </w:p>
    <w:p>
      <w:pPr>
        <w:pStyle w:val="Heading2"/>
      </w:pPr>
      <w:r>
        <w:t>7.3 External integration candidates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300"/>
        <w:gridCol w:w="3900"/>
        <w:gridCol w:w="3160"/>
      </w:tblGrid>
      <w:tr>
        <w:trPr>
          <w:tblHeader w:val="true"/>
          <w:cantSplit/>
        </w:trPr>
        <w:tc>
          <w:tcPr>
            <w:tcW w:type="dxa" w:w="2300"/>
            <w:shd w:fill="F2F4F7"/>
            <w:tcMar>
              <w:top w:w="80" w:type="dxa"/>
              <w:start w:w="120" w:type="dxa"/>
              <w:bottom w:w="80" w:type="dxa"/>
              <w:end w:w="120" w:type="dxa"/>
            </w:tcMar>
            <w:vAlign w:val="center"/>
          </w:tcPr>
          <w:p>
            <w:pPr>
              <w:spacing w:after="0"/>
              <w:jc w:val="left"/>
            </w:pPr>
            <w:r>
              <w:rPr>
                <w:rFonts w:ascii="Calibri" w:hAnsi="Calibri"/>
                <w:b/>
                <w:color w:val="20242A"/>
                <w:sz w:val="19"/>
              </w:rPr>
              <w:t>Integration</w:t>
            </w:r>
          </w:p>
        </w:tc>
        <w:tc>
          <w:tcPr>
            <w:tcW w:type="dxa" w:w="3900"/>
            <w:shd w:fill="F2F4F7"/>
            <w:tcMar>
              <w:top w:w="80" w:type="dxa"/>
              <w:start w:w="120" w:type="dxa"/>
              <w:bottom w:w="80" w:type="dxa"/>
              <w:end w:w="120" w:type="dxa"/>
            </w:tcMar>
            <w:vAlign w:val="center"/>
          </w:tcPr>
          <w:p>
            <w:pPr>
              <w:spacing w:after="0"/>
              <w:jc w:val="left"/>
            </w:pPr>
            <w:r>
              <w:rPr>
                <w:rFonts w:ascii="Calibri" w:hAnsi="Calibri"/>
                <w:b/>
                <w:color w:val="20242A"/>
                <w:sz w:val="19"/>
              </w:rPr>
              <w:t>Purpose</w:t>
            </w:r>
          </w:p>
        </w:tc>
        <w:tc>
          <w:tcPr>
            <w:tcW w:type="dxa" w:w="3160"/>
            <w:shd w:fill="F2F4F7"/>
            <w:tcMar>
              <w:top w:w="80" w:type="dxa"/>
              <w:start w:w="120" w:type="dxa"/>
              <w:bottom w:w="80" w:type="dxa"/>
              <w:end w:w="120" w:type="dxa"/>
            </w:tcMar>
            <w:vAlign w:val="center"/>
          </w:tcPr>
          <w:p>
            <w:pPr>
              <w:spacing w:after="0"/>
              <w:jc w:val="left"/>
            </w:pPr>
            <w:r>
              <w:rPr>
                <w:rFonts w:ascii="Calibri" w:hAnsi="Calibri"/>
                <w:b/>
                <w:color w:val="20242A"/>
                <w:sz w:val="19"/>
              </w:rPr>
              <w:t>Release posture</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color w:val="20242A"/>
                <w:sz w:val="18"/>
              </w:rPr>
              <w:t>Email provider</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42A"/>
                <w:sz w:val="18"/>
              </w:rPr>
              <w:t>Invitations, approvals, document delivery, alerts</w:t>
            </w:r>
          </w:p>
        </w:tc>
        <w:tc>
          <w:tcPr>
            <w:tcW w:type="dxa" w:w="3160"/>
            <w:tcMar>
              <w:top w:w="80" w:type="dxa"/>
              <w:start w:w="120" w:type="dxa"/>
              <w:bottom w:w="80" w:type="dxa"/>
              <w:end w:w="120" w:type="dxa"/>
            </w:tcMar>
            <w:vAlign w:val="center"/>
          </w:tcPr>
          <w:p>
            <w:pPr>
              <w:spacing w:after="0" w:line="252" w:lineRule="auto"/>
              <w:jc w:val="left"/>
            </w:pPr>
            <w:r>
              <w:rPr>
                <w:rFonts w:ascii="Calibri" w:hAnsi="Calibri"/>
                <w:color w:val="20242A"/>
                <w:sz w:val="18"/>
              </w:rPr>
              <w:t>MVP</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Object storage</w:t>
            </w:r>
          </w:p>
        </w:tc>
        <w:tc>
          <w:tcPr>
            <w:tcW w:type="dxa" w:w="3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Attachments, imports, exports, generated reports</w:t>
            </w:r>
          </w:p>
        </w:tc>
        <w:tc>
          <w:tcPr>
            <w:tcW w:type="dxa" w:w="31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MVP</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color w:val="20242A"/>
                <w:sz w:val="18"/>
              </w:rPr>
              <w:t>Payment gateway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42A"/>
                <w:sz w:val="18"/>
              </w:rPr>
              <w:t>Customer payment capture and status</w:t>
            </w:r>
          </w:p>
        </w:tc>
        <w:tc>
          <w:tcPr>
            <w:tcW w:type="dxa" w:w="3160"/>
            <w:tcMar>
              <w:top w:w="80" w:type="dxa"/>
              <w:start w:w="120" w:type="dxa"/>
              <w:bottom w:w="80" w:type="dxa"/>
              <w:end w:w="120" w:type="dxa"/>
            </w:tcMar>
            <w:vAlign w:val="center"/>
          </w:tcPr>
          <w:p>
            <w:pPr>
              <w:spacing w:after="0" w:line="252" w:lineRule="auto"/>
              <w:jc w:val="left"/>
            </w:pPr>
            <w:r>
              <w:rPr>
                <w:rFonts w:ascii="Calibri" w:hAnsi="Calibri"/>
                <w:color w:val="20242A"/>
                <w:sz w:val="18"/>
              </w:rPr>
              <w:t>Post-MVP unless required by pilot</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Bank feeds</w:t>
            </w:r>
          </w:p>
        </w:tc>
        <w:tc>
          <w:tcPr>
            <w:tcW w:type="dxa" w:w="3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Statement import and automated matching</w:t>
            </w:r>
          </w:p>
        </w:tc>
        <w:tc>
          <w:tcPr>
            <w:tcW w:type="dxa" w:w="31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CSV first; APIs later</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color w:val="20242A"/>
                <w:sz w:val="18"/>
              </w:rPr>
              <w:t>Tax / e-invoicing</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42A"/>
                <w:sz w:val="18"/>
              </w:rPr>
              <w:t>Jurisdiction validation and statutory exchange</w:t>
            </w:r>
          </w:p>
        </w:tc>
        <w:tc>
          <w:tcPr>
            <w:tcW w:type="dxa" w:w="3160"/>
            <w:tcMar>
              <w:top w:w="80" w:type="dxa"/>
              <w:start w:w="120" w:type="dxa"/>
              <w:bottom w:w="80" w:type="dxa"/>
              <w:end w:w="120" w:type="dxa"/>
            </w:tcMar>
            <w:vAlign w:val="center"/>
          </w:tcPr>
          <w:p>
            <w:pPr>
              <w:spacing w:after="0" w:line="252" w:lineRule="auto"/>
              <w:jc w:val="left"/>
            </w:pPr>
            <w:r>
              <w:rPr>
                <w:rFonts w:ascii="Calibri" w:hAnsi="Calibri"/>
                <w:color w:val="20242A"/>
                <w:sz w:val="18"/>
              </w:rPr>
              <w:t>Country-specific extension</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Identity provider</w:t>
            </w:r>
          </w:p>
        </w:tc>
        <w:tc>
          <w:tcPr>
            <w:tcW w:type="dxa" w:w="39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Single sign-on and lifecycle management</w:t>
            </w:r>
          </w:p>
        </w:tc>
        <w:tc>
          <w:tcPr>
            <w:tcW w:type="dxa" w:w="31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Enterprise extension</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color w:val="20242A"/>
                <w:sz w:val="18"/>
              </w:rPr>
              <w:t>Webhooks / public API</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42A"/>
                <w:sz w:val="18"/>
              </w:rPr>
              <w:t>Approved partner and customer integrations</w:t>
            </w:r>
          </w:p>
        </w:tc>
        <w:tc>
          <w:tcPr>
            <w:tcW w:type="dxa" w:w="3160"/>
            <w:tcMar>
              <w:top w:w="80" w:type="dxa"/>
              <w:start w:w="120" w:type="dxa"/>
              <w:bottom w:w="80" w:type="dxa"/>
              <w:end w:w="120" w:type="dxa"/>
            </w:tcMar>
            <w:vAlign w:val="center"/>
          </w:tcPr>
          <w:p>
            <w:pPr>
              <w:spacing w:after="0" w:line="252" w:lineRule="auto"/>
              <w:jc w:val="left"/>
            </w:pPr>
            <w:r>
              <w:rPr>
                <w:rFonts w:ascii="Calibri" w:hAnsi="Calibri"/>
                <w:color w:val="20242A"/>
                <w:sz w:val="18"/>
              </w:rPr>
              <w:t>Read plus selected commands in MVP</w:t>
            </w:r>
          </w:p>
        </w:tc>
      </w:tr>
    </w:tbl>
    <w:p>
      <w:pPr>
        <w:spacing w:before="80" w:after="0"/>
      </w:pPr>
    </w:p>
    <w:p>
      <w:r>
        <w:br w:type="page"/>
      </w:r>
    </w:p>
    <w:p>
      <w:pPr>
        <w:pStyle w:val="Heading1"/>
      </w:pPr>
      <w:r>
        <w:t>8. Security, privacy, and access control</w:t>
      </w:r>
    </w:p>
    <w:p>
      <w:pPr>
        <w:pStyle w:val="Heading2"/>
      </w:pPr>
      <w:r>
        <w:t>8.1 Authorization model</w:t>
      </w:r>
    </w:p>
    <w:p>
      <w:r>
        <w:rPr>
          <w:rFonts w:ascii="Calibri" w:hAnsi="Calibri"/>
          <w:i w:val="0"/>
          <w:color w:val="20242A"/>
        </w:rPr>
        <w:t>Authorization combines tenant membership, role permissions, business scope, document state, and context-specific rules. A user may have different permissions by company, branch, or warehouse. Server-side authorization is mandatory for every command and protected query; interface visibility is not a security boundary.</w:t>
      </w:r>
    </w:p>
    <w:p>
      <w:pPr>
        <w:pStyle w:val="Heading2"/>
      </w:pPr>
      <w:r>
        <w:t>8.2 Baseline roles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950"/>
        <w:gridCol w:w="4530"/>
        <w:gridCol w:w="2880"/>
      </w:tblGrid>
      <w:tr>
        <w:trPr>
          <w:tblHeader w:val="true"/>
          <w:cantSplit/>
        </w:trPr>
        <w:tc>
          <w:tcPr>
            <w:tcW w:type="dxa" w:w="1950"/>
            <w:shd w:fill="F2F4F7"/>
            <w:tcMar>
              <w:top w:w="80" w:type="dxa"/>
              <w:start w:w="120" w:type="dxa"/>
              <w:bottom w:w="80" w:type="dxa"/>
              <w:end w:w="120" w:type="dxa"/>
            </w:tcMar>
            <w:vAlign w:val="center"/>
          </w:tcPr>
          <w:p>
            <w:pPr>
              <w:spacing w:after="0"/>
              <w:jc w:val="left"/>
            </w:pPr>
            <w:r>
              <w:rPr>
                <w:rFonts w:ascii="Calibri" w:hAnsi="Calibri"/>
                <w:b/>
                <w:color w:val="20242A"/>
                <w:sz w:val="19"/>
              </w:rPr>
              <w:t>Role</w:t>
            </w:r>
          </w:p>
        </w:tc>
        <w:tc>
          <w:tcPr>
            <w:tcW w:type="dxa" w:w="4530"/>
            <w:shd w:fill="F2F4F7"/>
            <w:tcMar>
              <w:top w:w="80" w:type="dxa"/>
              <w:start w:w="120" w:type="dxa"/>
              <w:bottom w:w="80" w:type="dxa"/>
              <w:end w:w="120" w:type="dxa"/>
            </w:tcMar>
            <w:vAlign w:val="center"/>
          </w:tcPr>
          <w:p>
            <w:pPr>
              <w:spacing w:after="0"/>
              <w:jc w:val="left"/>
            </w:pPr>
            <w:r>
              <w:rPr>
                <w:rFonts w:ascii="Calibri" w:hAnsi="Calibri"/>
                <w:b/>
                <w:color w:val="20242A"/>
                <w:sz w:val="19"/>
              </w:rPr>
              <w:t>Typical permissions</w:t>
            </w:r>
          </w:p>
        </w:tc>
        <w:tc>
          <w:tcPr>
            <w:tcW w:type="dxa" w:w="2880"/>
            <w:shd w:fill="F2F4F7"/>
            <w:tcMar>
              <w:top w:w="80" w:type="dxa"/>
              <w:start w:w="120" w:type="dxa"/>
              <w:bottom w:w="80" w:type="dxa"/>
              <w:end w:w="120" w:type="dxa"/>
            </w:tcMar>
            <w:vAlign w:val="center"/>
          </w:tcPr>
          <w:p>
            <w:pPr>
              <w:spacing w:after="0"/>
              <w:jc w:val="left"/>
            </w:pPr>
            <w:r>
              <w:rPr>
                <w:rFonts w:ascii="Calibri" w:hAnsi="Calibri"/>
                <w:b/>
                <w:color w:val="20242A"/>
                <w:sz w:val="19"/>
              </w:rPr>
              <w:t>Separation concern</w:t>
            </w:r>
          </w:p>
        </w:tc>
      </w:tr>
      <w:tr>
        <w:trPr>
          <w:cantSplit/>
        </w:trPr>
        <w:tc>
          <w:tcPr>
            <w:tcW w:type="dxa" w:w="1950"/>
            <w:tcMar>
              <w:top w:w="80" w:type="dxa"/>
              <w:start w:w="120" w:type="dxa"/>
              <w:bottom w:w="80" w:type="dxa"/>
              <w:end w:w="120" w:type="dxa"/>
            </w:tcMar>
            <w:vAlign w:val="center"/>
          </w:tcPr>
          <w:p>
            <w:pPr>
              <w:spacing w:after="0" w:line="252" w:lineRule="auto"/>
              <w:jc w:val="left"/>
            </w:pPr>
            <w:r>
              <w:rPr>
                <w:rFonts w:ascii="Calibri" w:hAnsi="Calibri"/>
                <w:color w:val="20242A"/>
                <w:sz w:val="18"/>
              </w:rPr>
              <w:t>Tenant administrator</w:t>
            </w:r>
          </w:p>
        </w:tc>
        <w:tc>
          <w:tcPr>
            <w:tcW w:type="dxa" w:w="4530"/>
            <w:tcMar>
              <w:top w:w="80" w:type="dxa"/>
              <w:start w:w="120" w:type="dxa"/>
              <w:bottom w:w="80" w:type="dxa"/>
              <w:end w:w="120" w:type="dxa"/>
            </w:tcMar>
            <w:vAlign w:val="center"/>
          </w:tcPr>
          <w:p>
            <w:pPr>
              <w:spacing w:after="0" w:line="252" w:lineRule="auto"/>
              <w:jc w:val="left"/>
            </w:pPr>
            <w:r>
              <w:rPr>
                <w:rFonts w:ascii="Calibri" w:hAnsi="Calibri"/>
                <w:color w:val="20242A"/>
                <w:sz w:val="18"/>
              </w:rPr>
              <w:t>Tenant settings, memberships, roles, integrations</w:t>
            </w:r>
          </w:p>
        </w:tc>
        <w:tc>
          <w:tcPr>
            <w:tcW w:type="dxa" w:w="2880"/>
            <w:tcMar>
              <w:top w:w="80" w:type="dxa"/>
              <w:start w:w="120" w:type="dxa"/>
              <w:bottom w:w="80" w:type="dxa"/>
              <w:end w:w="120" w:type="dxa"/>
            </w:tcMar>
            <w:vAlign w:val="center"/>
          </w:tcPr>
          <w:p>
            <w:pPr>
              <w:spacing w:after="0" w:line="252" w:lineRule="auto"/>
              <w:jc w:val="left"/>
            </w:pPr>
            <w:r>
              <w:rPr>
                <w:rFonts w:ascii="Calibri" w:hAnsi="Calibri"/>
                <w:color w:val="20242A"/>
                <w:sz w:val="18"/>
              </w:rPr>
              <w:t>Cannot bypass financial approval by default</w:t>
            </w:r>
          </w:p>
        </w:tc>
      </w:tr>
      <w:tr>
        <w:trPr>
          <w:cantSplit/>
        </w:trPr>
        <w:tc>
          <w:tcPr>
            <w:tcW w:type="dxa" w:w="19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Requester</w:t>
            </w:r>
          </w:p>
        </w:tc>
        <w:tc>
          <w:tcPr>
            <w:tcW w:type="dxa" w:w="453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Create and view own purchase requests</w:t>
            </w:r>
          </w:p>
        </w:tc>
        <w:tc>
          <w:tcPr>
            <w:tcW w:type="dxa" w:w="288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Cannot approve own request where separation applies</w:t>
            </w:r>
          </w:p>
        </w:tc>
      </w:tr>
      <w:tr>
        <w:trPr>
          <w:cantSplit/>
        </w:trPr>
        <w:tc>
          <w:tcPr>
            <w:tcW w:type="dxa" w:w="1950"/>
            <w:tcMar>
              <w:top w:w="80" w:type="dxa"/>
              <w:start w:w="120" w:type="dxa"/>
              <w:bottom w:w="80" w:type="dxa"/>
              <w:end w:w="120" w:type="dxa"/>
            </w:tcMar>
            <w:vAlign w:val="center"/>
          </w:tcPr>
          <w:p>
            <w:pPr>
              <w:spacing w:after="0" w:line="252" w:lineRule="auto"/>
              <w:jc w:val="left"/>
            </w:pPr>
            <w:r>
              <w:rPr>
                <w:rFonts w:ascii="Calibri" w:hAnsi="Calibri"/>
                <w:color w:val="20242A"/>
                <w:sz w:val="18"/>
              </w:rPr>
              <w:t>Buyer</w:t>
            </w:r>
          </w:p>
        </w:tc>
        <w:tc>
          <w:tcPr>
            <w:tcW w:type="dxa" w:w="4530"/>
            <w:tcMar>
              <w:top w:w="80" w:type="dxa"/>
              <w:start w:w="120" w:type="dxa"/>
              <w:bottom w:w="80" w:type="dxa"/>
              <w:end w:w="120" w:type="dxa"/>
            </w:tcMar>
            <w:vAlign w:val="center"/>
          </w:tcPr>
          <w:p>
            <w:pPr>
              <w:spacing w:after="0" w:line="252" w:lineRule="auto"/>
              <w:jc w:val="left"/>
            </w:pPr>
            <w:r>
              <w:rPr>
                <w:rFonts w:ascii="Calibri" w:hAnsi="Calibri"/>
                <w:color w:val="20242A"/>
                <w:sz w:val="18"/>
              </w:rPr>
              <w:t>Supplier quotes, purchase orders, procurement reporting</w:t>
            </w:r>
          </w:p>
        </w:tc>
        <w:tc>
          <w:tcPr>
            <w:tcW w:type="dxa" w:w="2880"/>
            <w:tcMar>
              <w:top w:w="80" w:type="dxa"/>
              <w:start w:w="120" w:type="dxa"/>
              <w:bottom w:w="80" w:type="dxa"/>
              <w:end w:w="120" w:type="dxa"/>
            </w:tcMar>
            <w:vAlign w:val="center"/>
          </w:tcPr>
          <w:p>
            <w:pPr>
              <w:spacing w:after="0" w:line="252" w:lineRule="auto"/>
              <w:jc w:val="left"/>
            </w:pPr>
            <w:r>
              <w:rPr>
                <w:rFonts w:ascii="Calibri" w:hAnsi="Calibri"/>
                <w:color w:val="20242A"/>
                <w:sz w:val="18"/>
              </w:rPr>
              <w:t>Receipt and payment rights separated by default</w:t>
            </w:r>
          </w:p>
        </w:tc>
      </w:tr>
      <w:tr>
        <w:trPr>
          <w:cantSplit/>
        </w:trPr>
        <w:tc>
          <w:tcPr>
            <w:tcW w:type="dxa" w:w="19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Warehouse operator</w:t>
            </w:r>
          </w:p>
        </w:tc>
        <w:tc>
          <w:tcPr>
            <w:tcW w:type="dxa" w:w="453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Receive, pick, transfer, count within locations</w:t>
            </w:r>
          </w:p>
        </w:tc>
        <w:tc>
          <w:tcPr>
            <w:tcW w:type="dxa" w:w="288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High-value adjustments require elevated permission</w:t>
            </w:r>
          </w:p>
        </w:tc>
      </w:tr>
      <w:tr>
        <w:trPr>
          <w:cantSplit/>
        </w:trPr>
        <w:tc>
          <w:tcPr>
            <w:tcW w:type="dxa" w:w="1950"/>
            <w:tcMar>
              <w:top w:w="80" w:type="dxa"/>
              <w:start w:w="120" w:type="dxa"/>
              <w:bottom w:w="80" w:type="dxa"/>
              <w:end w:w="120" w:type="dxa"/>
            </w:tcMar>
            <w:vAlign w:val="center"/>
          </w:tcPr>
          <w:p>
            <w:pPr>
              <w:spacing w:after="0" w:line="252" w:lineRule="auto"/>
              <w:jc w:val="left"/>
            </w:pPr>
            <w:r>
              <w:rPr>
                <w:rFonts w:ascii="Calibri" w:hAnsi="Calibri"/>
                <w:color w:val="20242A"/>
                <w:sz w:val="18"/>
              </w:rPr>
              <w:t>Sales user</w:t>
            </w:r>
          </w:p>
        </w:tc>
        <w:tc>
          <w:tcPr>
            <w:tcW w:type="dxa" w:w="4530"/>
            <w:tcMar>
              <w:top w:w="80" w:type="dxa"/>
              <w:start w:w="120" w:type="dxa"/>
              <w:bottom w:w="80" w:type="dxa"/>
              <w:end w:w="120" w:type="dxa"/>
            </w:tcMar>
            <w:vAlign w:val="center"/>
          </w:tcPr>
          <w:p>
            <w:pPr>
              <w:spacing w:after="0" w:line="252" w:lineRule="auto"/>
              <w:jc w:val="left"/>
            </w:pPr>
            <w:r>
              <w:rPr>
                <w:rFonts w:ascii="Calibri" w:hAnsi="Calibri"/>
                <w:color w:val="20242A"/>
                <w:sz w:val="18"/>
              </w:rPr>
              <w:t>Customer quotes and orders within commercial limits</w:t>
            </w:r>
          </w:p>
        </w:tc>
        <w:tc>
          <w:tcPr>
            <w:tcW w:type="dxa" w:w="2880"/>
            <w:tcMar>
              <w:top w:w="80" w:type="dxa"/>
              <w:start w:w="120" w:type="dxa"/>
              <w:bottom w:w="80" w:type="dxa"/>
              <w:end w:w="120" w:type="dxa"/>
            </w:tcMar>
            <w:vAlign w:val="center"/>
          </w:tcPr>
          <w:p>
            <w:pPr>
              <w:spacing w:after="0" w:line="252" w:lineRule="auto"/>
              <w:jc w:val="left"/>
            </w:pPr>
            <w:r>
              <w:rPr>
                <w:rFonts w:ascii="Calibri" w:hAnsi="Calibri"/>
                <w:color w:val="20242A"/>
                <w:sz w:val="18"/>
              </w:rPr>
              <w:t>Discount and credit overrides separately controlled</w:t>
            </w:r>
          </w:p>
        </w:tc>
      </w:tr>
      <w:tr>
        <w:trPr>
          <w:cantSplit/>
        </w:trPr>
        <w:tc>
          <w:tcPr>
            <w:tcW w:type="dxa" w:w="19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Accountant</w:t>
            </w:r>
          </w:p>
        </w:tc>
        <w:tc>
          <w:tcPr>
            <w:tcW w:type="dxa" w:w="453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Invoices, journals, allocations, reconciliations</w:t>
            </w:r>
          </w:p>
        </w:tc>
        <w:tc>
          <w:tcPr>
            <w:tcW w:type="dxa" w:w="288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Posting and payment release may be separated</w:t>
            </w:r>
          </w:p>
        </w:tc>
      </w:tr>
      <w:tr>
        <w:trPr>
          <w:cantSplit/>
        </w:trPr>
        <w:tc>
          <w:tcPr>
            <w:tcW w:type="dxa" w:w="1950"/>
            <w:tcMar>
              <w:top w:w="80" w:type="dxa"/>
              <w:start w:w="120" w:type="dxa"/>
              <w:bottom w:w="80" w:type="dxa"/>
              <w:end w:w="120" w:type="dxa"/>
            </w:tcMar>
            <w:vAlign w:val="center"/>
          </w:tcPr>
          <w:p>
            <w:pPr>
              <w:spacing w:after="0" w:line="252" w:lineRule="auto"/>
              <w:jc w:val="left"/>
            </w:pPr>
            <w:r>
              <w:rPr>
                <w:rFonts w:ascii="Calibri" w:hAnsi="Calibri"/>
                <w:color w:val="20242A"/>
                <w:sz w:val="18"/>
              </w:rPr>
              <w:t>Finance approver</w:t>
            </w:r>
          </w:p>
        </w:tc>
        <w:tc>
          <w:tcPr>
            <w:tcW w:type="dxa" w:w="4530"/>
            <w:tcMar>
              <w:top w:w="80" w:type="dxa"/>
              <w:start w:w="120" w:type="dxa"/>
              <w:bottom w:w="80" w:type="dxa"/>
              <w:end w:w="120" w:type="dxa"/>
            </w:tcMar>
            <w:vAlign w:val="center"/>
          </w:tcPr>
          <w:p>
            <w:pPr>
              <w:spacing w:after="0" w:line="252" w:lineRule="auto"/>
              <w:jc w:val="left"/>
            </w:pPr>
            <w:r>
              <w:rPr>
                <w:rFonts w:ascii="Calibri" w:hAnsi="Calibri"/>
                <w:color w:val="20242A"/>
                <w:sz w:val="18"/>
              </w:rPr>
              <w:t>Approve journals, payments, close periods</w:t>
            </w:r>
          </w:p>
        </w:tc>
        <w:tc>
          <w:tcPr>
            <w:tcW w:type="dxa" w:w="2880"/>
            <w:tcMar>
              <w:top w:w="80" w:type="dxa"/>
              <w:start w:w="120" w:type="dxa"/>
              <w:bottom w:w="80" w:type="dxa"/>
              <w:end w:w="120" w:type="dxa"/>
            </w:tcMar>
            <w:vAlign w:val="center"/>
          </w:tcPr>
          <w:p>
            <w:pPr>
              <w:spacing w:after="0" w:line="252" w:lineRule="auto"/>
              <w:jc w:val="left"/>
            </w:pPr>
            <w:r>
              <w:rPr>
                <w:rFonts w:ascii="Calibri" w:hAnsi="Calibri"/>
                <w:color w:val="20242A"/>
                <w:sz w:val="18"/>
              </w:rPr>
              <w:t>Actions fully audited; own-item approval policy applies</w:t>
            </w:r>
          </w:p>
        </w:tc>
      </w:tr>
      <w:tr>
        <w:trPr>
          <w:cantSplit/>
        </w:trPr>
        <w:tc>
          <w:tcPr>
            <w:tcW w:type="dxa" w:w="19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Auditor</w:t>
            </w:r>
          </w:p>
        </w:tc>
        <w:tc>
          <w:tcPr>
            <w:tcW w:type="dxa" w:w="453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Read-only reports, evidence, configuration, audit trail</w:t>
            </w:r>
          </w:p>
        </w:tc>
        <w:tc>
          <w:tcPr>
            <w:tcW w:type="dxa" w:w="288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No transactional mutation</w:t>
            </w:r>
          </w:p>
        </w:tc>
      </w:tr>
    </w:tbl>
    <w:p>
      <w:pPr>
        <w:spacing w:before="80" w:after="0"/>
      </w:pPr>
    </w:p>
    <w:p>
      <w:pPr>
        <w:pStyle w:val="Heading2"/>
      </w:pPr>
      <w:r>
        <w:t>8.3 Security requirements</w:t>
      </w:r>
    </w:p>
    <w:p>
      <w:pPr>
        <w:pStyle w:val="ListBullet"/>
      </w:pPr>
      <w:r>
        <w:rPr>
          <w:rFonts w:ascii="Calibri" w:hAnsi="Calibri"/>
        </w:rPr>
        <w:t>Use modern password hashing, secure session management, multi-factor authentication support, and configurable session expiry.</w:t>
      </w:r>
    </w:p>
    <w:p>
      <w:pPr>
        <w:pStyle w:val="ListBullet"/>
      </w:pPr>
      <w:r>
        <w:rPr>
          <w:rFonts w:ascii="Calibri" w:hAnsi="Calibri"/>
        </w:rPr>
        <w:t>Encrypt network traffic and sensitive persisted data using approved platform controls; manage secrets outside source code.</w:t>
      </w:r>
    </w:p>
    <w:p>
      <w:pPr>
        <w:pStyle w:val="ListBullet"/>
      </w:pPr>
      <w:r>
        <w:rPr>
          <w:rFonts w:ascii="Calibri" w:hAnsi="Calibri"/>
        </w:rPr>
        <w:t>Protect against common web application risks including injection, broken access control, request forgery, malicious uploads, and unsafe exports.</w:t>
      </w:r>
    </w:p>
    <w:p>
      <w:pPr>
        <w:pStyle w:val="ListBullet"/>
      </w:pPr>
      <w:r>
        <w:rPr>
          <w:rFonts w:ascii="Calibri" w:hAnsi="Calibri"/>
        </w:rPr>
        <w:t>Log authentication, authorization failure, privilege, export, configuration, approval, posting, reversal, and integration events.</w:t>
      </w:r>
    </w:p>
    <w:p>
      <w:pPr>
        <w:pStyle w:val="ListBullet"/>
      </w:pPr>
      <w:r>
        <w:rPr>
          <w:rFonts w:ascii="Calibri" w:hAnsi="Calibri"/>
        </w:rPr>
        <w:t>Provide tenant data export and deletion workflows consistent with contractual and regulatory obligations.</w:t>
      </w:r>
    </w:p>
    <w:p>
      <w:pPr>
        <w:pStyle w:val="ListBullet"/>
      </w:pPr>
      <w:r>
        <w:rPr>
          <w:rFonts w:ascii="Calibri" w:hAnsi="Calibri"/>
        </w:rPr>
        <w:t>Run dependency, static analysis, secret scanning, and security tests in the delivery pipeline; remediate findings by severity policy.</w:t>
      </w:r>
    </w:p>
    <w:p>
      <w:pPr>
        <w:pStyle w:val="Heading1"/>
      </w:pPr>
      <w:r>
        <w:t>9. Non-functional requirements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550"/>
        <w:gridCol w:w="5450"/>
        <w:gridCol w:w="2360"/>
      </w:tblGrid>
      <w:tr>
        <w:trPr>
          <w:tblHeader w:val="true"/>
          <w:cantSplit/>
        </w:trPr>
        <w:tc>
          <w:tcPr>
            <w:tcW w:type="dxa" w:w="1550"/>
            <w:shd w:fill="F2F4F7"/>
            <w:tcMar>
              <w:top w:w="80" w:type="dxa"/>
              <w:start w:w="120" w:type="dxa"/>
              <w:bottom w:w="80" w:type="dxa"/>
              <w:end w:w="120" w:type="dxa"/>
            </w:tcMar>
            <w:vAlign w:val="center"/>
          </w:tcPr>
          <w:p>
            <w:pPr>
              <w:spacing w:after="0"/>
              <w:jc w:val="left"/>
            </w:pPr>
            <w:r>
              <w:rPr>
                <w:rFonts w:ascii="Calibri" w:hAnsi="Calibri"/>
                <w:b/>
                <w:color w:val="20242A"/>
                <w:sz w:val="19"/>
              </w:rPr>
              <w:t>Category</w:t>
            </w:r>
          </w:p>
        </w:tc>
        <w:tc>
          <w:tcPr>
            <w:tcW w:type="dxa" w:w="5450"/>
            <w:shd w:fill="F2F4F7"/>
            <w:tcMar>
              <w:top w:w="80" w:type="dxa"/>
              <w:start w:w="120" w:type="dxa"/>
              <w:bottom w:w="80" w:type="dxa"/>
              <w:end w:w="120" w:type="dxa"/>
            </w:tcMar>
            <w:vAlign w:val="center"/>
          </w:tcPr>
          <w:p>
            <w:pPr>
              <w:spacing w:after="0"/>
              <w:jc w:val="left"/>
            </w:pPr>
            <w:r>
              <w:rPr>
                <w:rFonts w:ascii="Calibri" w:hAnsi="Calibri"/>
                <w:b/>
                <w:color w:val="20242A"/>
                <w:sz w:val="19"/>
              </w:rPr>
              <w:t>Requirement</w:t>
            </w:r>
          </w:p>
        </w:tc>
        <w:tc>
          <w:tcPr>
            <w:tcW w:type="dxa" w:w="2360"/>
            <w:shd w:fill="F2F4F7"/>
            <w:tcMar>
              <w:top w:w="80" w:type="dxa"/>
              <w:start w:w="120" w:type="dxa"/>
              <w:bottom w:w="80" w:type="dxa"/>
              <w:end w:w="120" w:type="dxa"/>
            </w:tcMar>
            <w:vAlign w:val="center"/>
          </w:tcPr>
          <w:p>
            <w:pPr>
              <w:spacing w:after="0"/>
              <w:jc w:val="left"/>
            </w:pPr>
            <w:r>
              <w:rPr>
                <w:rFonts w:ascii="Calibri" w:hAnsi="Calibri"/>
                <w:b/>
                <w:color w:val="20242A"/>
                <w:sz w:val="19"/>
              </w:rPr>
              <w:t>Verification</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Availability</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99.9% monthly for production service, excluding communicated maintenance</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External monitoring and monthly SLO report</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Performance</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p95 &lt;= 2 s for common reads and &lt;= 3 s for common commands under agreed reference load</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Repeatable load and APM evidence</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Scale</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Noisy tenant must not materially degrade others; quotas and job concurrency are enforceable</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Tenant-skew and background-job tests</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Consistency</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Authoritative inventory and finance commands use transactional consistency; projections expose freshness</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Invariant, concurrency, and reconciliation tests</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Recovery</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Initial target RPO &lt;= 15 min and RTO &lt;= 4 h, subject to commercial tier</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Quarterly restore and recovery exercise</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Auditability</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Material actions use immutable, queryable, time-synchronized audit events</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Automated coverage and retention checks</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Accessibility</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Core workflows target WCAG 2.2 AA</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Automated scans plus keyboard and screen-reader review</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Localization</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UTF-8, locale-aware dates/numbers, time-zone handling, translation-ready UI, RTL-capable layout</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Locale matrix and visual regression tests</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Maintainability</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Module contracts, ownership, migrations, observability, and test pyramid are documented</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Architecture checks and release gates</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Compatibility</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Current and previous major versions of Chrome, Edge, Firefox, and Safari</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Automated cross-browser critical-path suite</w:t>
            </w:r>
          </w:p>
        </w:tc>
      </w:tr>
      <w:tr>
        <w:trPr>
          <w:cantSplit/>
        </w:trPr>
        <w:tc>
          <w:tcPr>
            <w:tcW w:type="dxa" w:w="1550"/>
            <w:tcMar>
              <w:top w:w="80" w:type="dxa"/>
              <w:start w:w="120" w:type="dxa"/>
              <w:bottom w:w="80" w:type="dxa"/>
              <w:end w:w="120" w:type="dxa"/>
            </w:tcMar>
            <w:vAlign w:val="center"/>
          </w:tcPr>
          <w:p>
            <w:pPr>
              <w:spacing w:after="0" w:line="252" w:lineRule="auto"/>
              <w:jc w:val="left"/>
            </w:pPr>
            <w:r>
              <w:rPr>
                <w:rFonts w:ascii="Calibri" w:hAnsi="Calibri"/>
                <w:color w:val="20242A"/>
                <w:sz w:val="18"/>
              </w:rPr>
              <w:t>Observability</w:t>
            </w:r>
          </w:p>
        </w:tc>
        <w:tc>
          <w:tcPr>
            <w:tcW w:type="dxa" w:w="5450"/>
            <w:tcMar>
              <w:top w:w="80" w:type="dxa"/>
              <w:start w:w="120" w:type="dxa"/>
              <w:bottom w:w="80" w:type="dxa"/>
              <w:end w:w="120" w:type="dxa"/>
            </w:tcMar>
            <w:vAlign w:val="center"/>
          </w:tcPr>
          <w:p>
            <w:pPr>
              <w:spacing w:after="0" w:line="252" w:lineRule="auto"/>
              <w:jc w:val="left"/>
            </w:pPr>
            <w:r>
              <w:rPr>
                <w:rFonts w:ascii="Calibri" w:hAnsi="Calibri"/>
                <w:color w:val="20242A"/>
                <w:sz w:val="18"/>
              </w:rPr>
              <w:t>Structured logs, metrics, traces, correlation IDs, dashboards, and actionable alerts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20242A"/>
                <w:sz w:val="18"/>
              </w:rPr>
              <w:t>Operational readiness review</w:t>
            </w:r>
          </w:p>
        </w:tc>
      </w:tr>
      <w:tr>
        <w:trPr>
          <w:cantSplit/>
        </w:trPr>
        <w:tc>
          <w:tcPr>
            <w:tcW w:type="dxa" w:w="15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Data portability</w:t>
            </w:r>
          </w:p>
        </w:tc>
        <w:tc>
          <w:tcPr>
            <w:tcW w:type="dxa" w:w="54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Authorized exports use documented formats and preserve identifiers and material relationships</w:t>
            </w:r>
          </w:p>
        </w:tc>
        <w:tc>
          <w:tcPr>
            <w:tcW w:type="dxa" w:w="236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Export/import contract tests</w:t>
            </w:r>
          </w:p>
        </w:tc>
      </w:tr>
    </w:tbl>
    <w:p>
      <w:pPr>
        <w:spacing w:before="80" w:after="0"/>
      </w:pPr>
    </w:p>
    <w:p>
      <w:r>
        <w:br w:type="page"/>
      </w:r>
    </w:p>
    <w:p>
      <w:pPr>
        <w:pStyle w:val="Heading1"/>
      </w:pPr>
      <w:r>
        <w:t>10. User experience requirements</w:t>
      </w:r>
    </w:p>
    <w:p>
      <w:pPr>
        <w:pStyle w:val="ListBullet"/>
      </w:pPr>
      <w:r>
        <w:rPr>
          <w:rFonts w:ascii="Calibri" w:hAnsi="Calibri"/>
        </w:rPr>
        <w:t>Use consistent document headers showing number, status, counterparty, scope, dates, totals, and available actions.</w:t>
      </w:r>
    </w:p>
    <w:p>
      <w:pPr>
        <w:pStyle w:val="ListBullet"/>
      </w:pPr>
      <w:r>
        <w:rPr>
          <w:rFonts w:ascii="Calibri" w:hAnsi="Calibri"/>
        </w:rPr>
        <w:t>Present state-dependent actions clearly and explain why unavailable actions are blocked.</w:t>
      </w:r>
    </w:p>
    <w:p>
      <w:pPr>
        <w:pStyle w:val="ListBullet"/>
      </w:pPr>
      <w:r>
        <w:rPr>
          <w:rFonts w:ascii="Calibri" w:hAnsi="Calibri"/>
        </w:rPr>
        <w:t>Autosave drafts where safe, warn before losing unsaved changes, and prevent accidental duplicate submission.</w:t>
      </w:r>
    </w:p>
    <w:p>
      <w:pPr>
        <w:pStyle w:val="ListBullet"/>
      </w:pPr>
      <w:r>
        <w:rPr>
          <w:rFonts w:ascii="Calibri" w:hAnsi="Calibri"/>
        </w:rPr>
        <w:t>Support keyboard navigation, visible focus, semantic labels, sufficient contrast, responsive tables, and accessible error summaries.</w:t>
      </w:r>
    </w:p>
    <w:p>
      <w:pPr>
        <w:pStyle w:val="ListBullet"/>
      </w:pPr>
      <w:r>
        <w:rPr>
          <w:rFonts w:ascii="Calibri" w:hAnsi="Calibri"/>
        </w:rPr>
        <w:t>Make validation specific, preserve user input, and link errors to the affected field or line.</w:t>
      </w:r>
    </w:p>
    <w:p>
      <w:pPr>
        <w:pStyle w:val="ListBullet"/>
      </w:pPr>
      <w:r>
        <w:rPr>
          <w:rFonts w:ascii="Calibri" w:hAnsi="Calibri"/>
        </w:rPr>
        <w:t>Use bulk actions only when their scope, outcome, failure behavior, and authorization are unambiguous.</w:t>
      </w:r>
    </w:p>
    <w:p>
      <w:pPr>
        <w:pStyle w:val="ListBullet"/>
      </w:pPr>
      <w:r>
        <w:rPr>
          <w:rFonts w:ascii="Calibri" w:hAnsi="Calibri"/>
        </w:rPr>
        <w:t>Display currency, unit, tax, and time-zone context wherever ambiguity could affect a decision.</w:t>
      </w:r>
    </w:p>
    <w:p>
      <w:pPr>
        <w:pStyle w:val="ListBullet"/>
      </w:pPr>
      <w:r>
        <w:rPr>
          <w:rFonts w:ascii="Calibri" w:hAnsi="Calibri"/>
        </w:rPr>
        <w:t>Provide direct navigation from report totals and ledger entries to authorized source documents.</w:t>
      </w:r>
    </w:p>
    <w:p>
      <w:pPr>
        <w:pStyle w:val="ListBullet"/>
      </w:pPr>
      <w:r>
        <w:rPr>
          <w:rFonts w:ascii="Calibri" w:hAnsi="Calibri"/>
          <w:color w:val="20242A"/>
        </w:rPr>
        <w:t>Support Arabic and English in the first release, including complete right-to-left behavior for Arabic and bilingual transactional documents where configured.</w:t>
      </w:r>
    </w:p>
    <w:p>
      <w:pPr>
        <w:pStyle w:val="Heading1"/>
      </w:pPr>
      <w:r>
        <w:t>11. Delivery plan</w:t>
      </w:r>
    </w:p>
    <w:p>
      <w:pPr>
        <w:pStyle w:val="Heading2"/>
      </w:pPr>
      <w:r>
        <w:t>11.1 Proposed phases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200"/>
        <w:gridCol w:w="1900"/>
        <w:gridCol w:w="4150"/>
        <w:gridCol w:w="2110"/>
      </w:tblGrid>
      <w:tr>
        <w:trPr>
          <w:tblHeader w:val="true"/>
          <w:cantSplit/>
        </w:trPr>
        <w:tc>
          <w:tcPr>
            <w:tcW w:type="dxa" w:w="1200"/>
            <w:shd w:fill="F2F4F7"/>
            <w:tcMar>
              <w:top w:w="80" w:type="dxa"/>
              <w:start w:w="120" w:type="dxa"/>
              <w:bottom w:w="80" w:type="dxa"/>
              <w:end w:w="120" w:type="dxa"/>
            </w:tcMar>
            <w:vAlign w:val="center"/>
          </w:tcPr>
          <w:p>
            <w:pPr>
              <w:spacing w:after="0"/>
              <w:jc w:val="left"/>
            </w:pPr>
            <w:r>
              <w:rPr>
                <w:rFonts w:ascii="Calibri" w:hAnsi="Calibri"/>
                <w:b/>
                <w:color w:val="20242A"/>
                <w:sz w:val="19"/>
              </w:rPr>
              <w:t>Phase</w:t>
            </w:r>
          </w:p>
        </w:tc>
        <w:tc>
          <w:tcPr>
            <w:tcW w:type="dxa" w:w="1900"/>
            <w:shd w:fill="F2F4F7"/>
            <w:tcMar>
              <w:top w:w="80" w:type="dxa"/>
              <w:start w:w="120" w:type="dxa"/>
              <w:bottom w:w="80" w:type="dxa"/>
              <w:end w:w="120" w:type="dxa"/>
            </w:tcMar>
            <w:vAlign w:val="center"/>
          </w:tcPr>
          <w:p>
            <w:pPr>
              <w:spacing w:after="0"/>
              <w:jc w:val="left"/>
            </w:pPr>
            <w:r>
              <w:rPr>
                <w:rFonts w:ascii="Calibri" w:hAnsi="Calibri"/>
                <w:b/>
                <w:color w:val="20242A"/>
                <w:sz w:val="19"/>
              </w:rPr>
              <w:t>Outcome</w:t>
            </w:r>
          </w:p>
        </w:tc>
        <w:tc>
          <w:tcPr>
            <w:tcW w:type="dxa" w:w="4150"/>
            <w:shd w:fill="F2F4F7"/>
            <w:tcMar>
              <w:top w:w="80" w:type="dxa"/>
              <w:start w:w="120" w:type="dxa"/>
              <w:bottom w:w="80" w:type="dxa"/>
              <w:end w:w="120" w:type="dxa"/>
            </w:tcMar>
            <w:vAlign w:val="center"/>
          </w:tcPr>
          <w:p>
            <w:pPr>
              <w:spacing w:after="0"/>
              <w:jc w:val="left"/>
            </w:pPr>
            <w:r>
              <w:rPr>
                <w:rFonts w:ascii="Calibri" w:hAnsi="Calibri"/>
                <w:b/>
                <w:color w:val="20242A"/>
                <w:sz w:val="19"/>
              </w:rPr>
              <w:t>Included capabilities</w:t>
            </w:r>
          </w:p>
        </w:tc>
        <w:tc>
          <w:tcPr>
            <w:tcW w:type="dxa" w:w="2110"/>
            <w:shd w:fill="F2F4F7"/>
            <w:tcMar>
              <w:top w:w="80" w:type="dxa"/>
              <w:start w:w="120" w:type="dxa"/>
              <w:bottom w:w="80" w:type="dxa"/>
              <w:end w:w="120" w:type="dxa"/>
            </w:tcMar>
            <w:vAlign w:val="center"/>
          </w:tcPr>
          <w:p>
            <w:pPr>
              <w:spacing w:after="0"/>
              <w:jc w:val="left"/>
            </w:pPr>
            <w:r>
              <w:rPr>
                <w:rFonts w:ascii="Calibri" w:hAnsi="Calibri"/>
                <w:b/>
                <w:color w:val="20242A"/>
                <w:sz w:val="19"/>
              </w:rPr>
              <w:t>Exit signal</w:t>
            </w:r>
          </w:p>
        </w:tc>
      </w:tr>
      <w:tr>
        <w:trPr>
          <w:cantSplit/>
        </w:trPr>
        <w:tc>
          <w:tcPr>
            <w:tcW w:type="dxa" w:w="1200"/>
          </w:tcPr>
          <w:p>
            <w:pPr>
              <w:spacing w:after="0"/>
            </w:pPr>
            <w:r>
              <w:t>0 - Foundation</w:t>
            </w:r>
          </w:p>
        </w:tc>
        <w:tc>
          <w:tcPr>
            <w:tcW w:type="dxa" w:w="1900"/>
          </w:tcPr>
          <w:p>
            <w:pPr>
              <w:spacing w:after="0"/>
            </w:pPr>
            <w:r>
              <w:t>Secure SaaS and domain baseline</w:t>
            </w:r>
          </w:p>
        </w:tc>
        <w:tc>
          <w:tcPr>
            <w:tcW w:type="dxa" w:w="4150"/>
          </w:tcPr>
          <w:p>
            <w:pPr>
              <w:spacing w:after="0"/>
            </w:pPr>
            <w:r>
              <w:t>Identity, tenancy, organization hierarchy, RBAC, audit, files, catalog, parties, localization, CI/CD, observability</w:t>
            </w:r>
          </w:p>
        </w:tc>
        <w:tc>
          <w:tcPr>
            <w:tcW w:type="dxa" w:w="2110"/>
          </w:tcPr>
          <w:p>
            <w:pPr>
              <w:spacing w:after="0"/>
            </w:pPr>
            <w:r>
              <w:t>Tenant isolation, authorization, localization, and platform provisioning suites pass</w:t>
            </w:r>
          </w:p>
        </w:tc>
      </w:tr>
      <w:tr>
        <w:trPr>
          <w:cantSplit/>
        </w:trPr>
        <w:tc>
          <w:tcPr>
            <w:tcW w:type="dxa" w:w="1200"/>
          </w:tcPr>
          <w:p>
            <w:pPr>
              <w:spacing w:after="0"/>
            </w:pPr>
            <w:r>
              <w:t>1 - Procurement and inventory pilot</w:t>
            </w:r>
          </w:p>
        </w:tc>
        <w:tc>
          <w:tcPr>
            <w:tcW w:type="dxa" w:w="1900"/>
          </w:tcPr>
          <w:p>
            <w:pPr>
              <w:spacing w:after="0"/>
            </w:pPr>
            <w:r>
              <w:t>Purchase, confirm, receive, value, and pay</w:t>
            </w:r>
          </w:p>
        </w:tc>
        <w:tc>
          <w:tcPr>
            <w:tcW w:type="dxa" w:w="4150"/>
          </w:tcPr>
          <w:p>
            <w:pPr>
              <w:spacing w:after="0"/>
            </w:pPr>
            <w:r>
              <w:t>Purchase requests, supplier quotations, purchase orders, manual supplier confirmation, goods receipts, weighted-average inventory ledger, transfers, counts, supplier invoices, AP payments, essential reports</w:t>
            </w:r>
          </w:p>
        </w:tc>
        <w:tc>
          <w:tcPr>
            <w:tcW w:type="dxa" w:w="2110"/>
          </w:tcPr>
          <w:p>
            <w:pPr>
              <w:spacing w:after="0"/>
            </w:pPr>
            <w:r>
              <w:t>Wafra pilot purchase-to-pay and inventory workflows complete end to end with reconciliation</w:t>
            </w:r>
          </w:p>
        </w:tc>
      </w:tr>
      <w:tr>
        <w:trPr>
          <w:cantSplit/>
        </w:trPr>
        <w:tc>
          <w:tcPr>
            <w:tcW w:type="dxa" w:w="1200"/>
          </w:tcPr>
          <w:p>
            <w:pPr>
              <w:spacing w:after="0"/>
            </w:pPr>
            <w:r>
              <w:t>2 - B2B sales and finance</w:t>
            </w:r>
          </w:p>
        </w:tc>
        <w:tc>
          <w:tcPr>
            <w:tcW w:type="dxa" w:w="1900"/>
          </w:tcPr>
          <w:p>
            <w:pPr>
              <w:spacing w:after="0"/>
            </w:pPr>
            <w:r>
              <w:t>Sell, deliver, invoice, collect, and close</w:t>
            </w:r>
          </w:p>
        </w:tc>
        <w:tc>
          <w:tcPr>
            <w:tcW w:type="dxa" w:w="4150"/>
          </w:tcPr>
          <w:p>
            <w:pPr>
              <w:spacing w:after="0"/>
            </w:pPr>
            <w:r>
              <w:t>B2B quotations, sales orders, reservations, delivery, sales invoices, AR receipts, core GL, cash/bank, tax posting, periods, statements</w:t>
            </w:r>
          </w:p>
        </w:tc>
        <w:tc>
          <w:tcPr>
            <w:tcW w:type="dxa" w:w="2110"/>
          </w:tcPr>
          <w:p>
            <w:pPr>
              <w:spacing w:after="0"/>
            </w:pPr>
            <w:r>
              <w:t>B2B order-to-cash, balanced posting, and subledger reconciliation acceptance</w:t>
            </w:r>
          </w:p>
        </w:tc>
      </w:tr>
      <w:tr>
        <w:trPr>
          <w:cantSplit/>
        </w:trPr>
        <w:tc>
          <w:tcPr>
            <w:tcW w:type="dxa" w:w="1200"/>
          </w:tcPr>
          <w:p>
            <w:pPr>
              <w:spacing w:after="0"/>
            </w:pPr>
            <w:r>
              <w:t>3 - Saudi production hardening and integrations</w:t>
            </w:r>
          </w:p>
        </w:tc>
        <w:tc>
          <w:tcPr>
            <w:tcW w:type="dxa" w:w="1900"/>
          </w:tcPr>
          <w:p>
            <w:pPr>
              <w:spacing w:after="0"/>
            </w:pPr>
            <w:r>
              <w:t>Compliant, scalable, supportable launch</w:t>
            </w:r>
          </w:p>
        </w:tc>
        <w:tc>
          <w:tcPr>
            <w:tcW w:type="dxa" w:w="4150"/>
          </w:tcPr>
          <w:p>
            <w:pPr>
              <w:spacing w:after="0"/>
            </w:pPr>
            <w:r>
              <w:t>Saudi e-invoicing adapter, advanced approvals, APIs/webhooks, bank feeds, migration hardening, performance, recovery, support operations</w:t>
            </w:r>
          </w:p>
        </w:tc>
        <w:tc>
          <w:tcPr>
            <w:tcW w:type="dxa" w:w="2110"/>
          </w:tcPr>
          <w:p>
            <w:pPr>
              <w:spacing w:after="0"/>
            </w:pPr>
            <w:r>
              <w:t>Saudi readiness, SLO, migration, and operational launch gates pass</w:t>
            </w:r>
          </w:p>
        </w:tc>
      </w:tr>
    </w:tbl>
    <w:p>
      <w:pPr>
        <w:spacing w:before="80" w:after="0"/>
      </w:pPr>
    </w:p>
    <w:p>
      <w:pPr>
        <w:pStyle w:val="Heading2"/>
      </w:pPr>
      <w:r>
        <w:t>11.2 MVP acceptance criteria</w:t>
      </w:r>
    </w:p>
    <w:p>
      <w:pPr>
        <w:pStyle w:val="ListBullet"/>
      </w:pPr>
      <w:r>
        <w:rPr>
          <w:rFonts w:ascii="Calibri" w:hAnsi="Calibri"/>
        </w:rPr>
        <w:t>A test tenant can configure company, branch, warehouse, fiscal calendar, users, roles, products, suppliers, customers, accounts, tax, and opening data through controlled workflows.</w:t>
      </w:r>
    </w:p>
    <w:p>
      <w:pPr>
        <w:pStyle w:val="ListBullet"/>
      </w:pPr>
      <w:r>
        <w:rPr>
          <w:rFonts w:ascii="Calibri" w:hAnsi="Calibri"/>
        </w:rPr>
        <w:t>An authorized user can complete purchase request, approval, purchase order, partial receipt, supplier invoice, payment, and reconciliation with full traceability.</w:t>
      </w:r>
    </w:p>
    <w:p>
      <w:pPr>
        <w:pStyle w:val="ListBullet"/>
      </w:pPr>
      <w:r>
        <w:t>An authorized user can complete the B2B quotation or sales-order, reservation, partial delivery, sales invoice, customer receipt, and reconciliation lifecycle with full traceability.</w:t>
      </w:r>
    </w:p>
    <w:p>
      <w:pPr>
        <w:pStyle w:val="ListBullet"/>
      </w:pPr>
      <w:r>
        <w:rPr>
          <w:rFonts w:ascii="Calibri" w:hAnsi="Calibri"/>
        </w:rPr>
        <w:t>Stock balances reconcile to the stock ledger, financial balances reconcile to journals and subledgers, and all posted journals balance.</w:t>
      </w:r>
    </w:p>
    <w:p>
      <w:pPr>
        <w:pStyle w:val="ListBullet"/>
      </w:pPr>
      <w:r>
        <w:rPr>
          <w:rFonts w:ascii="Calibri" w:hAnsi="Calibri"/>
        </w:rPr>
        <w:t>Rejected, cancelled, returned, credited, adjusted, and reversed scenarios preserve history and do not corrupt balances.</w:t>
      </w:r>
    </w:p>
    <w:p>
      <w:pPr>
        <w:pStyle w:val="ListBullet"/>
      </w:pPr>
      <w:r>
        <w:rPr>
          <w:rFonts w:ascii="Calibri" w:hAnsi="Calibri"/>
        </w:rPr>
        <w:t>Cross-tenant access attempts fail across UI, API, background jobs, exports, attachments, cache, and search paths.</w:t>
      </w:r>
    </w:p>
    <w:p>
      <w:pPr>
        <w:pStyle w:val="ListBullet"/>
      </w:pPr>
      <w:r>
        <w:rPr>
          <w:rFonts w:ascii="Calibri" w:hAnsi="Calibri"/>
        </w:rPr>
        <w:t>Backup restore, incident response, audit retrieval, accessibility, performance, and supported-browser gates meet the approved release standard.</w:t>
      </w:r>
    </w:p>
    <w:p>
      <w:pPr>
        <w:pStyle w:val="Heading2"/>
      </w:pPr>
      <w:r>
        <w:t>11.3 Test strategy</w:t>
      </w:r>
    </w:p>
    <w:p>
      <w:pPr>
        <w:pStyle w:val="ListBullet"/>
      </w:pPr>
      <w:r>
        <w:rPr>
          <w:rFonts w:ascii="Calibri" w:hAnsi="Calibri"/>
        </w:rPr>
        <w:t>Unit tests for calculations, state transitions, permissions, mappings, and invariants.</w:t>
      </w:r>
    </w:p>
    <w:p>
      <w:pPr>
        <w:pStyle w:val="ListBullet"/>
      </w:pPr>
      <w:r>
        <w:rPr>
          <w:rFonts w:ascii="Calibri" w:hAnsi="Calibri"/>
        </w:rPr>
        <w:t>Integration tests for persistence, concurrency, jobs, events, external adapters, and module contracts.</w:t>
      </w:r>
    </w:p>
    <w:p>
      <w:pPr>
        <w:pStyle w:val="ListBullet"/>
      </w:pPr>
      <w:r>
        <w:t>End-to-end tests for critical purchase-to-pay, inventory, B2B order-to-cash, finance posting, and period-close paths.</w:t>
      </w:r>
    </w:p>
    <w:p>
      <w:pPr>
        <w:pStyle w:val="ListBullet"/>
      </w:pPr>
      <w:r>
        <w:rPr>
          <w:rFonts w:ascii="Calibri" w:hAnsi="Calibri"/>
        </w:rPr>
        <w:t>Property and invariant tests for balanced journals, stock conservation, idempotency, and rounding.</w:t>
      </w:r>
    </w:p>
    <w:p>
      <w:pPr>
        <w:pStyle w:val="ListBullet"/>
      </w:pPr>
      <w:r>
        <w:rPr>
          <w:rFonts w:ascii="Calibri" w:hAnsi="Calibri"/>
        </w:rPr>
        <w:t>Security tests for tenant isolation, object-level authorization, privilege boundaries, malicious files, and exports.</w:t>
      </w:r>
    </w:p>
    <w:p>
      <w:pPr>
        <w:pStyle w:val="ListBullet"/>
      </w:pPr>
      <w:r>
        <w:rPr>
          <w:rFonts w:ascii="Calibri" w:hAnsi="Calibri"/>
        </w:rPr>
        <w:t>Performance, resilience, backup/restore, accessibility, localization, and browser compatibility tests before general availability.</w:t>
      </w:r>
    </w:p>
    <w:p>
      <w:pPr>
        <w:pStyle w:val="Heading1"/>
      </w:pPr>
      <w:r>
        <w:t>12. Risks and mitigations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850"/>
        <w:gridCol w:w="2400"/>
        <w:gridCol w:w="4110"/>
      </w:tblGrid>
      <w:tr>
        <w:trPr>
          <w:tblHeader w:val="true"/>
          <w:cantSplit/>
        </w:trPr>
        <w:tc>
          <w:tcPr>
            <w:tcW w:type="dxa" w:w="2850"/>
            <w:shd w:fill="F2F4F7"/>
            <w:tcMar>
              <w:top w:w="80" w:type="dxa"/>
              <w:start w:w="120" w:type="dxa"/>
              <w:bottom w:w="80" w:type="dxa"/>
              <w:end w:w="120" w:type="dxa"/>
            </w:tcMar>
            <w:vAlign w:val="center"/>
          </w:tcPr>
          <w:p>
            <w:pPr>
              <w:spacing w:after="0"/>
              <w:jc w:val="left"/>
            </w:pPr>
            <w:r>
              <w:rPr>
                <w:rFonts w:ascii="Calibri" w:hAnsi="Calibri"/>
                <w:b/>
                <w:color w:val="20242A"/>
                <w:sz w:val="19"/>
              </w:rPr>
              <w:t>Risk</w:t>
            </w:r>
          </w:p>
        </w:tc>
        <w:tc>
          <w:tcPr>
            <w:tcW w:type="dxa" w:w="2400"/>
            <w:shd w:fill="F2F4F7"/>
            <w:tcMar>
              <w:top w:w="80" w:type="dxa"/>
              <w:start w:w="120" w:type="dxa"/>
              <w:bottom w:w="80" w:type="dxa"/>
              <w:end w:w="120" w:type="dxa"/>
            </w:tcMar>
            <w:vAlign w:val="center"/>
          </w:tcPr>
          <w:p>
            <w:pPr>
              <w:spacing w:after="0"/>
              <w:jc w:val="left"/>
            </w:pPr>
            <w:r>
              <w:rPr>
                <w:rFonts w:ascii="Calibri" w:hAnsi="Calibri"/>
                <w:b/>
                <w:color w:val="20242A"/>
                <w:sz w:val="19"/>
              </w:rPr>
              <w:t>Impact</w:t>
            </w:r>
          </w:p>
        </w:tc>
        <w:tc>
          <w:tcPr>
            <w:tcW w:type="dxa" w:w="4110"/>
            <w:shd w:fill="F2F4F7"/>
            <w:tcMar>
              <w:top w:w="80" w:type="dxa"/>
              <w:start w:w="120" w:type="dxa"/>
              <w:bottom w:w="80" w:type="dxa"/>
              <w:end w:w="120" w:type="dxa"/>
            </w:tcMar>
            <w:vAlign w:val="center"/>
          </w:tcPr>
          <w:p>
            <w:pPr>
              <w:spacing w:after="0"/>
              <w:jc w:val="left"/>
            </w:pPr>
            <w:r>
              <w:rPr>
                <w:rFonts w:ascii="Calibri" w:hAnsi="Calibri"/>
                <w:b/>
                <w:color w:val="20242A"/>
                <w:sz w:val="19"/>
              </w:rPr>
              <w:t>Mitigation</w:t>
            </w:r>
          </w:p>
        </w:tc>
      </w:tr>
      <w:tr>
        <w:trPr>
          <w:cantSplit/>
        </w:trPr>
        <w:tc>
          <w:tcPr>
            <w:tcW w:type="dxa" w:w="2850"/>
            <w:tcMar>
              <w:top w:w="80" w:type="dxa"/>
              <w:start w:w="120" w:type="dxa"/>
              <w:bottom w:w="80" w:type="dxa"/>
              <w:end w:w="120" w:type="dxa"/>
            </w:tcMar>
            <w:vAlign w:val="center"/>
          </w:tcPr>
          <w:p>
            <w:pPr>
              <w:spacing w:after="0" w:line="252" w:lineRule="auto"/>
              <w:jc w:val="left"/>
            </w:pPr>
            <w:r>
              <w:rPr>
                <w:rFonts w:ascii="Calibri" w:hAnsi="Calibri"/>
                <w:color w:val="20242A"/>
                <w:sz w:val="18"/>
              </w:rPr>
              <w:t>Scope expands into enterprise ERP breadth</w:t>
            </w:r>
          </w:p>
        </w:tc>
        <w:tc>
          <w:tcPr>
            <w:tcW w:type="dxa" w:w="2400"/>
            <w:tcMar>
              <w:top w:w="80" w:type="dxa"/>
              <w:start w:w="120" w:type="dxa"/>
              <w:bottom w:w="80" w:type="dxa"/>
              <w:end w:w="120" w:type="dxa"/>
            </w:tcMar>
            <w:vAlign w:val="center"/>
          </w:tcPr>
          <w:p>
            <w:pPr>
              <w:spacing w:after="0" w:line="252" w:lineRule="auto"/>
              <w:jc w:val="left"/>
            </w:pPr>
            <w:r>
              <w:rPr>
                <w:rFonts w:ascii="Calibri" w:hAnsi="Calibri"/>
                <w:color w:val="20242A"/>
                <w:sz w:val="18"/>
              </w:rPr>
              <w:t>Delay and incomplete core</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Protect non-goals, phase integrations, require product decision records</w:t>
            </w:r>
          </w:p>
        </w:tc>
      </w:tr>
      <w:tr>
        <w:trPr>
          <w:cantSplit/>
        </w:trPr>
        <w:tc>
          <w:tcPr>
            <w:tcW w:type="dxa" w:w="2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Accounting rules are underspecified</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Incorrect or irreproducible books</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Define posting matrix, use finance review, automate balance and reconciliation invariants</w:t>
            </w:r>
          </w:p>
        </w:tc>
      </w:tr>
      <w:tr>
        <w:trPr>
          <w:cantSplit/>
        </w:trPr>
        <w:tc>
          <w:tcPr>
            <w:tcW w:type="dxa" w:w="2850"/>
            <w:tcMar>
              <w:top w:w="80" w:type="dxa"/>
              <w:start w:w="120" w:type="dxa"/>
              <w:bottom w:w="80" w:type="dxa"/>
              <w:end w:w="120" w:type="dxa"/>
            </w:tcMar>
            <w:vAlign w:val="center"/>
          </w:tcPr>
          <w:p>
            <w:pPr>
              <w:spacing w:after="0" w:line="252" w:lineRule="auto"/>
              <w:jc w:val="left"/>
            </w:pPr>
            <w:r>
              <w:rPr>
                <w:rFonts w:ascii="Calibri" w:hAnsi="Calibri"/>
                <w:color w:val="20242A"/>
                <w:sz w:val="18"/>
              </w:rPr>
              <w:t>Tenant isolation defect</w:t>
            </w:r>
          </w:p>
        </w:tc>
        <w:tc>
          <w:tcPr>
            <w:tcW w:type="dxa" w:w="2400"/>
            <w:tcMar>
              <w:top w:w="80" w:type="dxa"/>
              <w:start w:w="120" w:type="dxa"/>
              <w:bottom w:w="80" w:type="dxa"/>
              <w:end w:w="120" w:type="dxa"/>
            </w:tcMar>
            <w:vAlign w:val="center"/>
          </w:tcPr>
          <w:p>
            <w:pPr>
              <w:spacing w:after="0" w:line="252" w:lineRule="auto"/>
              <w:jc w:val="left"/>
            </w:pPr>
            <w:r>
              <w:rPr>
                <w:rFonts w:ascii="Calibri" w:hAnsi="Calibri"/>
                <w:color w:val="20242A"/>
                <w:sz w:val="18"/>
              </w:rPr>
              <w:t>Critical confidentiality incident</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Central scoping, deny-by-default authorization, isolation testing, security review</w:t>
            </w:r>
          </w:p>
        </w:tc>
      </w:tr>
      <w:tr>
        <w:trPr>
          <w:cantSplit/>
        </w:trPr>
        <w:tc>
          <w:tcPr>
            <w:tcW w:type="dxa" w:w="2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Inventory concurrency creates drift</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Oversell and reconciliation work</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Transactional ledger, reservations, optimistic concurrency, background reconciliation</w:t>
            </w:r>
          </w:p>
        </w:tc>
      </w:tr>
      <w:tr>
        <w:trPr>
          <w:cantSplit/>
        </w:trPr>
        <w:tc>
          <w:tcPr>
            <w:tcW w:type="dxa" w:w="2850"/>
            <w:tcMar>
              <w:top w:w="80" w:type="dxa"/>
              <w:start w:w="120" w:type="dxa"/>
              <w:bottom w:w="80" w:type="dxa"/>
              <w:end w:w="120" w:type="dxa"/>
            </w:tcMar>
            <w:vAlign w:val="center"/>
          </w:tcPr>
          <w:p>
            <w:pPr>
              <w:spacing w:after="0" w:line="252" w:lineRule="auto"/>
              <w:jc w:val="left"/>
            </w:pPr>
            <w:r>
              <w:rPr>
                <w:rFonts w:ascii="Calibri" w:hAnsi="Calibri"/>
                <w:color w:val="20242A"/>
                <w:sz w:val="18"/>
              </w:rPr>
              <w:t>Over-customization weakens upgrades</w:t>
            </w:r>
          </w:p>
        </w:tc>
        <w:tc>
          <w:tcPr>
            <w:tcW w:type="dxa" w:w="2400"/>
            <w:tcMar>
              <w:top w:w="80" w:type="dxa"/>
              <w:start w:w="120" w:type="dxa"/>
              <w:bottom w:w="80" w:type="dxa"/>
              <w:end w:w="120" w:type="dxa"/>
            </w:tcMar>
            <w:vAlign w:val="center"/>
          </w:tcPr>
          <w:p>
            <w:pPr>
              <w:spacing w:after="0" w:line="252" w:lineRule="auto"/>
              <w:jc w:val="left"/>
            </w:pPr>
            <w:r>
              <w:rPr>
                <w:rFonts w:ascii="Calibri" w:hAnsi="Calibri"/>
                <w:color w:val="20242A"/>
                <w:sz w:val="18"/>
              </w:rPr>
              <w:t>High support and regression cost</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Configuration catalogue, extension contracts, architecture governance</w:t>
            </w:r>
          </w:p>
        </w:tc>
      </w:tr>
      <w:tr>
        <w:trPr>
          <w:cantSplit/>
        </w:trPr>
        <w:tc>
          <w:tcPr>
            <w:tcW w:type="dxa" w:w="2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Localization added too late</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Costly RTL and tax rework</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Locale-safe data model, translation keys, RTL layout tests from foundation</w:t>
            </w:r>
          </w:p>
        </w:tc>
      </w:tr>
      <w:tr>
        <w:trPr>
          <w:cantSplit/>
        </w:trPr>
        <w:tc>
          <w:tcPr>
            <w:tcW w:type="dxa" w:w="2850"/>
            <w:tcMar>
              <w:top w:w="80" w:type="dxa"/>
              <w:start w:w="120" w:type="dxa"/>
              <w:bottom w:w="80" w:type="dxa"/>
              <w:end w:w="120" w:type="dxa"/>
            </w:tcMar>
            <w:vAlign w:val="center"/>
          </w:tcPr>
          <w:p>
            <w:pPr>
              <w:spacing w:after="0" w:line="252" w:lineRule="auto"/>
              <w:jc w:val="left"/>
            </w:pPr>
            <w:r>
              <w:rPr>
                <w:rFonts w:ascii="Calibri" w:hAnsi="Calibri"/>
                <w:color w:val="20242A"/>
                <w:sz w:val="18"/>
              </w:rPr>
              <w:t>Long-running exports affect service</w:t>
            </w:r>
          </w:p>
        </w:tc>
        <w:tc>
          <w:tcPr>
            <w:tcW w:type="dxa" w:w="2400"/>
            <w:tcMar>
              <w:top w:w="80" w:type="dxa"/>
              <w:start w:w="120" w:type="dxa"/>
              <w:bottom w:w="80" w:type="dxa"/>
              <w:end w:w="120" w:type="dxa"/>
            </w:tcMar>
            <w:vAlign w:val="center"/>
          </w:tcPr>
          <w:p>
            <w:pPr>
              <w:spacing w:after="0" w:line="252" w:lineRule="auto"/>
              <w:jc w:val="left"/>
            </w:pPr>
            <w:r>
              <w:rPr>
                <w:rFonts w:ascii="Calibri" w:hAnsi="Calibri"/>
                <w:color w:val="20242A"/>
                <w:sz w:val="18"/>
              </w:rPr>
              <w:t>Performance and availability degradation</w:t>
            </w:r>
          </w:p>
        </w:tc>
        <w:tc>
          <w:tcPr>
            <w:tcW w:type="dxa" w:w="4110"/>
            <w:tcMar>
              <w:top w:w="80" w:type="dxa"/>
              <w:start w:w="120" w:type="dxa"/>
              <w:bottom w:w="80" w:type="dxa"/>
              <w:end w:w="120" w:type="dxa"/>
            </w:tcMar>
            <w:vAlign w:val="center"/>
          </w:tcPr>
          <w:p>
            <w:pPr>
              <w:spacing w:after="0" w:line="252" w:lineRule="auto"/>
              <w:jc w:val="left"/>
            </w:pPr>
            <w:r>
              <w:rPr>
                <w:rFonts w:ascii="Calibri" w:hAnsi="Calibri"/>
                <w:color w:val="20242A"/>
                <w:sz w:val="18"/>
              </w:rPr>
              <w:t>Bounded queries, asynchronous jobs, quotas, object storage, expiration</w:t>
            </w:r>
          </w:p>
        </w:tc>
      </w:tr>
      <w:tr>
        <w:trPr>
          <w:cantSplit/>
        </w:trPr>
        <w:tc>
          <w:tcPr>
            <w:tcW w:type="dxa" w:w="28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Pilot data migration is poor</w:t>
            </w:r>
          </w:p>
        </w:tc>
        <w:tc>
          <w:tcPr>
            <w:tcW w:type="dxa" w:w="240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Low trust at launch</w:t>
            </w:r>
          </w:p>
        </w:tc>
        <w:tc>
          <w:tcPr>
            <w:tcW w:type="dxa" w:w="41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Templates, preview, reconciliation reports, dry runs, signed cutover checklist</w:t>
            </w:r>
          </w:p>
        </w:tc>
      </w:tr>
    </w:tbl>
    <w:p>
      <w:pPr>
        <w:spacing w:before="80" w:after="0"/>
      </w:pPr>
    </w:p>
    <w:p>
      <w:r>
        <w:br w:type="page"/>
      </w:r>
    </w:p>
    <w:p>
      <w:pPr>
        <w:pStyle w:val="Heading1"/>
      </w:pPr>
      <w:r>
        <w:t>13. Approved decisions and BRD clarification backlog</w:t>
      </w:r>
    </w:p>
    <w:p>
      <w:pPr>
        <w:pStyle w:val="Heading2"/>
      </w:pPr>
      <w:r>
        <w:t>13.1 Approved product decisions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050"/>
        <w:gridCol w:w="4100"/>
        <w:gridCol w:w="4210"/>
      </w:tblGrid>
      <w:tr>
        <w:trPr>
          <w:tblHeader w:val="true"/>
          <w:cantSplit/>
        </w:trPr>
        <w:tc>
          <w:tcPr>
            <w:tcW w:type="dxa" w:w="1050"/>
            <w:shd w:fill="F2F4F7"/>
            <w:tcMar>
              <w:top w:w="80" w:type="dxa"/>
              <w:start w:w="120" w:type="dxa"/>
              <w:bottom w:w="80" w:type="dxa"/>
              <w:end w:w="120" w:type="dxa"/>
            </w:tcMar>
            <w:vAlign w:val="center"/>
          </w:tcPr>
          <w:p>
            <w:pPr>
              <w:spacing w:after="0"/>
            </w:pPr>
            <w:r>
              <w:t>ID</w:t>
            </w:r>
          </w:p>
        </w:tc>
        <w:tc>
          <w:tcPr>
            <w:tcW w:type="dxa" w:w="4100"/>
            <w:shd w:fill="F2F4F7"/>
            <w:tcMar>
              <w:top w:w="80" w:type="dxa"/>
              <w:start w:w="120" w:type="dxa"/>
              <w:bottom w:w="80" w:type="dxa"/>
              <w:end w:w="120" w:type="dxa"/>
            </w:tcMar>
            <w:vAlign w:val="center"/>
          </w:tcPr>
          <w:p>
            <w:pPr>
              <w:spacing w:after="0"/>
            </w:pPr>
            <w:r>
              <w:t>Approved decision</w:t>
            </w:r>
          </w:p>
        </w:tc>
        <w:tc>
          <w:tcPr>
            <w:tcW w:type="dxa" w:w="4210"/>
            <w:shd w:fill="F2F4F7"/>
            <w:tcMar>
              <w:top w:w="80" w:type="dxa"/>
              <w:start w:w="120" w:type="dxa"/>
              <w:bottom w:w="80" w:type="dxa"/>
              <w:end w:w="120" w:type="dxa"/>
            </w:tcMar>
            <w:vAlign w:val="center"/>
          </w:tcPr>
          <w:p>
            <w:pPr>
              <w:spacing w:after="0"/>
            </w:pPr>
            <w:r>
              <w:t>Rationale / BRD follow-through</w:t>
            </w:r>
          </w:p>
        </w:tc>
      </w:tr>
      <w:tr>
        <w:trPr>
          <w:cantSplit/>
        </w:trPr>
        <w:tc>
          <w:tcPr>
            <w:tcW w:type="dxa" w:w="1050"/>
          </w:tcPr>
          <w:p>
            <w:pPr>
              <w:spacing w:after="0"/>
            </w:pPr>
            <w:r>
              <w:t>D-001</w:t>
            </w:r>
          </w:p>
        </w:tc>
        <w:tc>
          <w:tcPr>
            <w:tcW w:type="dxa" w:w="4100"/>
          </w:tcPr>
          <w:p>
            <w:pPr>
              <w:spacing w:after="0"/>
            </w:pPr>
            <w:r>
              <w:t>Use a modular monolith for Release 1.</w:t>
            </w:r>
          </w:p>
        </w:tc>
        <w:tc>
          <w:tcPr>
            <w:tcW w:type="dxa" w:w="4210"/>
          </w:tcPr>
          <w:p>
            <w:pPr>
              <w:spacing w:after="0"/>
            </w:pPr>
            <w:r>
              <w:t>Document module boundaries, dependency rules, schema ownership, events, and future extraction seams.</w:t>
            </w:r>
          </w:p>
        </w:tc>
      </w:tr>
      <w:tr>
        <w:trPr>
          <w:cantSplit/>
        </w:trPr>
        <w:tc>
          <w:tcPr>
            <w:tcW w:type="dxa" w:w="1050"/>
          </w:tcPr>
          <w:p>
            <w:pPr>
              <w:spacing w:after="0"/>
            </w:pPr>
            <w:r>
              <w:t>D-002</w:t>
            </w:r>
          </w:p>
        </w:tc>
        <w:tc>
          <w:tcPr>
            <w:tcW w:type="dxa" w:w="4100"/>
          </w:tcPr>
          <w:p>
            <w:pPr>
              <w:spacing w:after="0"/>
            </w:pPr>
            <w:r>
              <w:t>Use an immutable inventory ledger with projected balances.</w:t>
            </w:r>
          </w:p>
        </w:tc>
        <w:tc>
          <w:tcPr>
            <w:tcW w:type="dxa" w:w="4210"/>
          </w:tcPr>
          <w:p>
            <w:pPr>
              <w:spacing w:after="0"/>
            </w:pPr>
            <w:r>
              <w:t>BRD defines movement types, reversal chains, concurrency, reconciliation, and authorized corrections.</w:t>
            </w:r>
          </w:p>
        </w:tc>
      </w:tr>
      <w:tr>
        <w:trPr>
          <w:cantSplit/>
        </w:trPr>
        <w:tc>
          <w:tcPr>
            <w:tcW w:type="dxa" w:w="1050"/>
          </w:tcPr>
          <w:p>
            <w:pPr>
              <w:spacing w:after="0"/>
            </w:pPr>
            <w:r>
              <w:t>D-003</w:t>
            </w:r>
          </w:p>
        </w:tc>
        <w:tc>
          <w:tcPr>
            <w:tcW w:type="dxa" w:w="4100"/>
          </w:tcPr>
          <w:p>
            <w:pPr>
              <w:spacing w:after="0"/>
            </w:pPr>
            <w:r>
              <w:t>Generate finance entries through versioned posting rules.</w:t>
            </w:r>
          </w:p>
        </w:tc>
        <w:tc>
          <w:tcPr>
            <w:tcW w:type="dxa" w:w="4210"/>
          </w:tcPr>
          <w:p>
            <w:pPr>
              <w:spacing w:after="0"/>
            </w:pPr>
            <w:r>
              <w:t>BRD and finance design define posting matrices, dimensions, tax, rounding, reversals, and reconciliation.</w:t>
            </w:r>
          </w:p>
        </w:tc>
      </w:tr>
      <w:tr>
        <w:trPr>
          <w:cantSplit/>
        </w:trPr>
        <w:tc>
          <w:tcPr>
            <w:tcW w:type="dxa" w:w="1050"/>
          </w:tcPr>
          <w:p>
            <w:pPr>
              <w:spacing w:after="0"/>
            </w:pPr>
            <w:r>
              <w:t>D-004</w:t>
            </w:r>
          </w:p>
        </w:tc>
        <w:tc>
          <w:tcPr>
            <w:tcW w:type="dxa" w:w="4100"/>
          </w:tcPr>
          <w:p>
            <w:pPr>
              <w:spacing w:after="0"/>
            </w:pPr>
            <w:r>
              <w:t>Use moving weighted average as the Release 1 inventory valuation method.</w:t>
            </w:r>
          </w:p>
        </w:tc>
        <w:tc>
          <w:tcPr>
            <w:tcW w:type="dxa" w:w="4210"/>
          </w:tcPr>
          <w:p>
            <w:pPr>
              <w:spacing w:after="0"/>
            </w:pPr>
            <w:r>
              <w:t>BRD confirms valuation scope, landed cost, returns, opening balances, and currency effects.</w:t>
            </w:r>
          </w:p>
        </w:tc>
      </w:tr>
      <w:tr>
        <w:trPr>
          <w:cantSplit/>
        </w:trPr>
        <w:tc>
          <w:tcPr>
            <w:tcW w:type="dxa" w:w="1050"/>
          </w:tcPr>
          <w:p>
            <w:pPr>
              <w:spacing w:after="0"/>
            </w:pPr>
            <w:r>
              <w:t>D-005</w:t>
            </w:r>
          </w:p>
        </w:tc>
        <w:tc>
          <w:tcPr>
            <w:tcW w:type="dxa" w:w="4100"/>
          </w:tcPr>
          <w:p>
            <w:pPr>
              <w:spacing w:after="0"/>
            </w:pPr>
            <w:r>
              <w:t>Support Arabic and English as foundational Release 1 capabilities.</w:t>
            </w:r>
          </w:p>
        </w:tc>
        <w:tc>
          <w:tcPr>
            <w:tcW w:type="dxa" w:w="4210"/>
          </w:tcPr>
          <w:p>
            <w:pPr>
              <w:spacing w:after="0"/>
            </w:pPr>
            <w:r>
              <w:t>BRD validates terminology, bilingual documents, full RTL, search, exports, and fallback behavior.</w:t>
            </w:r>
          </w:p>
        </w:tc>
      </w:tr>
      <w:tr>
        <w:trPr>
          <w:cantSplit/>
        </w:trPr>
        <w:tc>
          <w:tcPr>
            <w:tcW w:type="dxa" w:w="1050"/>
          </w:tcPr>
          <w:p>
            <w:pPr>
              <w:spacing w:after="0"/>
            </w:pPr>
            <w:r>
              <w:t>D-006</w:t>
            </w:r>
          </w:p>
        </w:tc>
        <w:tc>
          <w:tcPr>
            <w:tcW w:type="dxa" w:w="4100"/>
          </w:tcPr>
          <w:p>
            <w:pPr>
              <w:spacing w:after="0"/>
            </w:pPr>
            <w:r>
              <w:t>Use configurable, versioned approval policies with limited governed conditions.</w:t>
            </w:r>
          </w:p>
        </w:tc>
        <w:tc>
          <w:tcPr>
            <w:tcW w:type="dxa" w:w="4210"/>
          </w:tcPr>
          <w:p>
            <w:pPr>
              <w:spacing w:after="0"/>
            </w:pPr>
            <w:r>
              <w:t>BRD defines thresholds, delegation, parallel approvals, escalation, self-approval restrictions, and evidence.</w:t>
            </w:r>
          </w:p>
        </w:tc>
      </w:tr>
      <w:tr>
        <w:trPr>
          <w:cantSplit/>
        </w:trPr>
        <w:tc>
          <w:tcPr>
            <w:tcW w:type="dxa" w:w="1050"/>
          </w:tcPr>
          <w:p>
            <w:pPr>
              <w:spacing w:after="0"/>
            </w:pPr>
            <w:r>
              <w:t>D-007</w:t>
            </w:r>
          </w:p>
        </w:tc>
        <w:tc>
          <w:tcPr>
            <w:tcW w:type="dxa" w:w="4100"/>
          </w:tcPr>
          <w:p>
            <w:pPr>
              <w:spacing w:after="0"/>
            </w:pPr>
            <w:r>
              <w:t>Use Platform -&gt; Tenant -&gt; Company (Legal Entity) -&gt; Branch -&gt; Warehouse.</w:t>
            </w:r>
          </w:p>
        </w:tc>
        <w:tc>
          <w:tcPr>
            <w:tcW w:type="dxa" w:w="4210"/>
          </w:tcPr>
          <w:p>
            <w:pPr>
              <w:spacing w:after="0"/>
            </w:pPr>
            <w:r>
              <w:t>A tenant may contain multiple legal entities; Release 1 excludes financial consolidation.</w:t>
            </w:r>
          </w:p>
        </w:tc>
      </w:tr>
      <w:tr>
        <w:trPr>
          <w:cantSplit/>
        </w:trPr>
        <w:tc>
          <w:tcPr>
            <w:tcW w:type="dxa" w:w="1050"/>
          </w:tcPr>
          <w:p>
            <w:pPr>
              <w:spacing w:after="0"/>
            </w:pPr>
            <w:r>
              <w:t>D-008</w:t>
            </w:r>
          </w:p>
        </w:tc>
        <w:tc>
          <w:tcPr>
            <w:tcW w:type="dxa" w:w="4100"/>
          </w:tcPr>
          <w:p>
            <w:pPr>
              <w:spacing w:after="0"/>
            </w:pPr>
            <w:r>
              <w:t>Treat suppliers as external parties and record supplier responses manually.</w:t>
            </w:r>
          </w:p>
        </w:tc>
        <w:tc>
          <w:tcPr>
            <w:tcW w:type="dxa" w:w="4210"/>
          </w:tcPr>
          <w:p>
            <w:pPr>
              <w:spacing w:after="0"/>
            </w:pPr>
            <w:r>
              <w:t>BRD defines statuses, line-level confirmation, evidence, expected dates, exceptions, and policy requirements.</w:t>
            </w:r>
          </w:p>
        </w:tc>
      </w:tr>
      <w:tr>
        <w:trPr>
          <w:cantSplit/>
        </w:trPr>
        <w:tc>
          <w:tcPr>
            <w:tcW w:type="dxa" w:w="1050"/>
          </w:tcPr>
          <w:p>
            <w:pPr>
              <w:spacing w:after="0"/>
            </w:pPr>
            <w:r>
              <w:t>D-009</w:t>
            </w:r>
          </w:p>
        </w:tc>
        <w:tc>
          <w:tcPr>
            <w:tcW w:type="dxa" w:w="4100"/>
          </w:tcPr>
          <w:p>
            <w:pPr>
              <w:spacing w:after="0"/>
            </w:pPr>
            <w:r>
              <w:t>Limit Release 1 sales to B2B quotation-to-cash.</w:t>
            </w:r>
          </w:p>
        </w:tc>
        <w:tc>
          <w:tcPr>
            <w:tcW w:type="dxa" w:w="4210"/>
          </w:tcPr>
          <w:p>
            <w:pPr>
              <w:spacing w:after="0"/>
            </w:pPr>
            <w:r>
              <w:t>Retail POS and store-specific workflows require a separate future product decision and are excluded from BRD scope.</w:t>
            </w:r>
          </w:p>
        </w:tc>
      </w:tr>
      <w:tr>
        <w:trPr>
          <w:cantSplit/>
        </w:trPr>
        <w:tc>
          <w:tcPr>
            <w:tcW w:type="dxa" w:w="1050"/>
          </w:tcPr>
          <w:p>
            <w:pPr>
              <w:spacing w:after="0"/>
            </w:pPr>
            <w:r>
              <w:t>D-010</w:t>
            </w:r>
          </w:p>
        </w:tc>
        <w:tc>
          <w:tcPr>
            <w:tcW w:type="dxa" w:w="4100"/>
          </w:tcPr>
          <w:p>
            <w:pPr>
              <w:spacing w:after="0"/>
            </w:pPr>
            <w:r>
              <w:t>Launch first in Saudi Arabia using a versioned Saudi country pack.</w:t>
            </w:r>
          </w:p>
        </w:tc>
        <w:tc>
          <w:tcPr>
            <w:tcW w:type="dxa" w:w="4210"/>
          </w:tcPr>
          <w:p>
            <w:pPr>
              <w:spacing w:after="0"/>
            </w:pPr>
            <w:r>
              <w:t>BRD validates VAT, e-invoicing applicability, PDPL, residency, invoice templates, and operational evidence.</w:t>
            </w:r>
          </w:p>
        </w:tc>
      </w:tr>
    </w:tbl>
    <w:p>
      <w:pPr>
        <w:spacing w:before="80" w:after="0"/>
      </w:pPr>
    </w:p>
    <w:p>
      <w:pPr>
        <w:pStyle w:val="Heading2"/>
      </w:pPr>
      <w:r>
        <w:t>13.2 BRD clarification backlog</w:t>
      </w:r>
    </w:p>
    <w:p>
      <w:pPr>
        <w:pStyle w:val="ListBullet"/>
      </w:pPr>
      <w:r>
        <w:t>After Saudi Arabia, which country and regulatory pack should be prioritized, and what commercial or regulatory evidence triggers that expansion?</w:t>
      </w:r>
    </w:p>
    <w:p>
      <w:pPr>
        <w:pStyle w:val="ListBullet"/>
      </w:pPr>
      <w:r>
        <w:t>What legal-entity, branch, warehouse, fiscal-calendar, numbering, and intercompany constraints are required within the approved hierarchy, excluding consolidation?</w:t>
      </w:r>
    </w:p>
    <w:p>
      <w:pPr>
        <w:pStyle w:val="ListBullet"/>
      </w:pPr>
      <w:r>
        <w:t>What is the weighted-average valuation scope, and how are landed cost, returns, negative stock, backdated posting, and opening balances handled?</w:t>
      </w:r>
    </w:p>
    <w:p>
      <w:pPr>
        <w:pStyle w:val="ListBullet"/>
      </w:pPr>
      <w:r>
        <w:t>Are batch, lot, serial, manufacturing-date, and expiry controls required for all tenants or enabled only by product/industry configuration?</w:t>
      </w:r>
    </w:p>
    <w:p>
      <w:pPr>
        <w:pStyle w:val="ListBullet"/>
      </w:pPr>
      <w:r>
        <w:t>Which banks, e-invoicing platforms, identity providers, email services, object storage services, and partner integrations are launch dependencies?</w:t>
      </w:r>
    </w:p>
    <w:p>
      <w:pPr>
        <w:pStyle w:val="ListBullet"/>
      </w:pPr>
      <w:r>
        <w:t>What contractual data residency, retention, backup, recovery, support-access, and service commitments are offered by subscription tier?</w:t>
      </w:r>
    </w:p>
    <w:p>
      <w:pPr>
        <w:pStyle w:val="ListBullet"/>
      </w:pPr>
      <w:r>
        <w:t>Must approvals support delegation, parallel approvers, escalation, out-of-office routing, amount tolerances, and prevention of self-approval in the MVP?</w:t>
      </w:r>
    </w:p>
    <w:p>
      <w:pPr>
        <w:pStyle w:val="ListBullet"/>
      </w:pPr>
      <w:r>
        <w:t>What reference volumes define the MVP: tenants, users, products, warehouses, document lines, monthly transactions, attachments, integrations, exports, and report sizes?</w:t>
      </w:r>
    </w:p>
    <w:p>
      <w:pPr>
        <w:pStyle w:val="ListBullet"/>
      </w:pPr>
      <w:r>
        <w:t>Which Saudi chart-of-accounts templates, dimensions, financial statements, tax reports, and e-invoice document types are required for the Wafra pilot and reusable country pack?</w:t>
      </w:r>
    </w:p>
    <w:p>
      <w:pPr>
        <w:pStyle w:val="ListBullet"/>
      </w:pPr>
      <w:r>
        <w:t>What Wafra and future-tenant migration sources, master-data mappings, opening balances, open documents, reconciliation evidence, and cutover controls are required?</w:t>
      </w:r>
    </w:p>
    <w:p>
      <w:pPr>
        <w:pStyle w:val="ListBullet"/>
      </w:pPr>
      <w:r>
        <w:t>Are purchase requests and supplier quotation comparisons mandatory, optional, or configurable per tenant and purchasing policy?</w:t>
      </w:r>
    </w:p>
    <w:p>
      <w:pPr>
        <w:pStyle w:val="ListBullet"/>
      </w:pPr>
      <w:r>
        <w:t>Which B2B sales policies are required for reservation, partial delivery, backorders, substitutions, credit limits, pricing, discounts, returns, and customer receipt allocation?</w:t>
      </w:r>
    </w:p>
    <w:p>
      <w:pPr>
        <w:pStyle w:val="Heading1"/>
      </w:pPr>
      <w:r>
        <w:t>14. Documentation set and repository structure</w:t>
      </w:r>
    </w:p>
    <w:p>
      <w:r>
        <w:rPr>
          <w:rFonts w:ascii="Calibri" w:hAnsi="Calibri"/>
          <w:i w:val="0"/>
          <w:color w:val="20242A"/>
        </w:rPr>
        <w:t>The companion Markdown files are intentionally created as empty placeholders. They should be populated as product and architecture decisions mature, with Decisions.md serving as the index for dated decision records.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3350"/>
        <w:gridCol w:w="6010"/>
      </w:tblGrid>
      <w:tr>
        <w:trPr>
          <w:tblHeader w:val="true"/>
          <w:cantSplit/>
        </w:trPr>
        <w:tc>
          <w:tcPr>
            <w:tcW w:type="dxa" w:w="3350"/>
            <w:shd w:fill="F2F4F7"/>
            <w:tcMar>
              <w:top w:w="80" w:type="dxa"/>
              <w:start w:w="120" w:type="dxa"/>
              <w:bottom w:w="80" w:type="dxa"/>
              <w:end w:w="120" w:type="dxa"/>
            </w:tcMar>
            <w:vAlign w:val="center"/>
          </w:tcPr>
          <w:p>
            <w:pPr>
              <w:spacing w:after="0"/>
              <w:jc w:val="left"/>
            </w:pPr>
            <w:r>
              <w:rPr>
                <w:rFonts w:ascii="Calibri" w:hAnsi="Calibri"/>
                <w:b/>
                <w:color w:val="20242A"/>
                <w:sz w:val="19"/>
              </w:rPr>
              <w:t>File</w:t>
            </w:r>
          </w:p>
        </w:tc>
        <w:tc>
          <w:tcPr>
            <w:tcW w:type="dxa" w:w="6010"/>
            <w:shd w:fill="F2F4F7"/>
            <w:tcMar>
              <w:top w:w="80" w:type="dxa"/>
              <w:start w:w="120" w:type="dxa"/>
              <w:bottom w:w="80" w:type="dxa"/>
              <w:end w:w="120" w:type="dxa"/>
            </w:tcMar>
            <w:vAlign w:val="center"/>
          </w:tcPr>
          <w:p>
            <w:pPr>
              <w:spacing w:after="0"/>
              <w:jc w:val="left"/>
            </w:pPr>
            <w:r>
              <w:rPr>
                <w:rFonts w:ascii="Calibri" w:hAnsi="Calibri"/>
                <w:b/>
                <w:color w:val="20242A"/>
                <w:sz w:val="19"/>
              </w:rPr>
              <w:t>Intended content</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docs/01_Business_Vision.md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Validated problem, market, users, goals, metrics, scope, and business assumptions</w:t>
            </w:r>
          </w:p>
        </w:tc>
      </w:tr>
      <w:tr>
        <w:trPr>
          <w:cantSplit/>
        </w:trPr>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docs/02_ERP_Domain_Model.md</w:t>
            </w:r>
          </w:p>
        </w:tc>
        <w:tc>
          <w:tcPr>
            <w:tcW w:type="dxa" w:w="6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Aggregates, value objects, ownership, invariants, terminology, and domain events</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docs/03_ERD.md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Logical and physical entity relationships, keys, tenancy, history, and indexing</w:t>
            </w:r>
          </w:p>
        </w:tc>
      </w:tr>
      <w:tr>
        <w:trPr>
          <w:cantSplit/>
        </w:trPr>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docs/04_Procurement.md</w:t>
            </w:r>
          </w:p>
        </w:tc>
        <w:tc>
          <w:tcPr>
            <w:tcW w:type="dxa" w:w="6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Purchase-to-pay requirements, flows, rules, states, posting, and exceptions</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docs/05_Inventory.md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Stock ledger, costing, reservation, transfer, count, traceability, and controls</w:t>
            </w:r>
          </w:p>
        </w:tc>
      </w:tr>
      <w:tr>
        <w:trPr>
          <w:cantSplit/>
        </w:trPr>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docs/06_Sales.md</w:t>
            </w:r>
          </w:p>
        </w:tc>
        <w:tc>
          <w:tcPr>
            <w:tcW w:type="dxa" w:w="6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Quote-to-cash requirements, pricing, credit, fulfillment, returns, and receipts</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docs/07_Finance.md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Accounts, posting matrix, journals, AP/AR, tax, cash/bank, close, and statements</w:t>
            </w:r>
          </w:p>
        </w:tc>
      </w:tr>
      <w:tr>
        <w:trPr>
          <w:cantSplit/>
        </w:trPr>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docs/08_State_Machine.md</w:t>
            </w:r>
          </w:p>
        </w:tc>
        <w:tc>
          <w:tcPr>
            <w:tcW w:type="dxa" w:w="6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Canonical state diagrams, commands, transitions, guards, side effects, and reversals</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docs/09_Module_Boundaries.md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Ownership, allowed dependencies, contracts, events, and extraction seams</w:t>
            </w:r>
          </w:p>
        </w:tc>
      </w:tr>
      <w:tr>
        <w:trPr>
          <w:cantSplit/>
        </w:trPr>
        <w:tc>
          <w:tcPr>
            <w:tcW w:type="dxa" w:w="335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docs/10_Non_Functional_Requirements.md</w:t>
            </w:r>
          </w:p>
        </w:tc>
        <w:tc>
          <w:tcPr>
            <w:tcW w:type="dxa" w:w="6010"/>
            <w:shd w:fill="FAFBFC"/>
            <w:tcMar>
              <w:top w:w="80" w:type="dxa"/>
              <w:start w:w="120" w:type="dxa"/>
              <w:bottom w:w="80" w:type="dxa"/>
              <w:end w:w="120" w:type="dxa"/>
            </w:tcMar>
            <w:vAlign w:val="center"/>
          </w:tcPr>
          <w:p>
            <w:pPr>
              <w:spacing w:after="0" w:line="252" w:lineRule="auto"/>
              <w:jc w:val="left"/>
            </w:pPr>
            <w:r>
              <w:rPr>
                <w:rFonts w:ascii="Calibri" w:hAnsi="Calibri"/>
                <w:color w:val="20242A"/>
                <w:sz w:val="18"/>
              </w:rPr>
              <w:t>Measurable SLOs, security, recovery, scale, accessibility, and operability</w:t>
            </w:r>
          </w:p>
        </w:tc>
      </w:tr>
      <w:tr>
        <w:trPr>
          <w:cantSplit/>
        </w:trPr>
        <w:tc>
          <w:tcPr>
            <w:tcW w:type="dxa" w:w="3350"/>
            <w:tcMar>
              <w:top w:w="80" w:type="dxa"/>
              <w:start w:w="120" w:type="dxa"/>
              <w:bottom w:w="80" w:type="dxa"/>
              <w:end w:w="120" w:type="dxa"/>
            </w:tcMar>
            <w:vAlign w:val="center"/>
          </w:tcPr>
          <w:p>
            <w:pPr>
              <w:spacing w:after="0" w:line="252" w:lineRule="auto"/>
              <w:jc w:val="left"/>
            </w:pPr>
            <w:r>
              <w:rPr>
                <w:rFonts w:ascii="Calibri" w:hAnsi="Calibri"/>
                <w:color w:val="20242A"/>
                <w:sz w:val="18"/>
              </w:rPr>
              <w:t>docs/Decisions.md</w:t>
            </w:r>
          </w:p>
        </w:tc>
        <w:tc>
          <w:tcPr>
            <w:tcW w:type="dxa" w:w="6010"/>
            <w:tcMar>
              <w:top w:w="80" w:type="dxa"/>
              <w:start w:w="120" w:type="dxa"/>
              <w:bottom w:w="80" w:type="dxa"/>
              <w:end w:w="120" w:type="dxa"/>
            </w:tcMar>
            <w:vAlign w:val="center"/>
          </w:tcPr>
          <w:p>
            <w:pPr>
              <w:spacing w:after="0" w:line="252" w:lineRule="auto"/>
              <w:jc w:val="left"/>
            </w:pPr>
            <w:r>
              <w:rPr>
                <w:rFonts w:ascii="Calibri" w:hAnsi="Calibri"/>
                <w:color w:val="20242A"/>
                <w:sz w:val="18"/>
              </w:rPr>
              <w:t>Decision log and links to architecture/product decision records</w:t>
            </w:r>
          </w:p>
        </w:tc>
      </w:tr>
    </w:tbl>
    <w:p>
      <w:pPr>
        <w:spacing w:before="80" w:after="0"/>
      </w:pPr>
    </w:p>
    <w:p>
      <w:pPr>
        <w:pStyle w:val="Heading1"/>
      </w:pPr>
      <w:r>
        <w:t>15. Consolidated business requirements catalogue</w:t>
      </w:r>
    </w:p>
    <w:p>
      <w:r>
        <w:rPr>
          <w:rFonts w:ascii="Calibri" w:hAnsi="Calibri"/>
          <w:i w:val="0"/>
          <w:color w:val="20242A"/>
        </w:rPr>
        <w:t>The following business requirements are the traceability spine for the BRD. Detailed functional requirements, process steps, user stories, data definitions, tests, and release evidence must map back to one or more of these identifiers.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50"/>
        <w:gridCol w:w="4930"/>
        <w:gridCol w:w="950"/>
        <w:gridCol w:w="2530"/>
      </w:tblGrid>
      <w:tr>
        <w:trPr>
          <w:tblHeader w:val="true"/>
          <w:cantSplit/>
        </w:trPr>
        <w:tc>
          <w:tcPr>
            <w:tcW w:type="dxa" w:w="950"/>
            <w:shd w:fill="F2F4F7"/>
            <w:vAlign w:val="center"/>
            <w:tcMar>
              <w:top w:w="80" w:type="dxa"/>
              <w:start w:w="120" w:type="dxa"/>
              <w:bottom w:w="80" w:type="dxa"/>
              <w:end w:w="120" w:type="dxa"/>
            </w:tcMar>
          </w:tcPr>
          <w:p>
            <w:pPr>
              <w:spacing w:after="0"/>
              <w:jc w:val="left"/>
            </w:pPr>
            <w:r>
              <w:rPr>
                <w:rFonts w:ascii="Calibri" w:hAnsi="Calibri"/>
                <w:b/>
                <w:color w:val="20242A"/>
                <w:sz w:val="18"/>
              </w:rPr>
              <w:t>ID</w:t>
            </w:r>
          </w:p>
        </w:tc>
        <w:tc>
          <w:tcPr>
            <w:tcW w:type="dxa" w:w="4930"/>
            <w:shd w:fill="F2F4F7"/>
            <w:vAlign w:val="center"/>
            <w:tcMar>
              <w:top w:w="80" w:type="dxa"/>
              <w:start w:w="120" w:type="dxa"/>
              <w:bottom w:w="80" w:type="dxa"/>
              <w:end w:w="120" w:type="dxa"/>
            </w:tcMar>
          </w:tcPr>
          <w:p>
            <w:pPr>
              <w:spacing w:after="0"/>
              <w:jc w:val="left"/>
            </w:pPr>
            <w:r>
              <w:rPr>
                <w:rFonts w:ascii="Calibri" w:hAnsi="Calibri"/>
                <w:b/>
                <w:color w:val="20242A"/>
                <w:sz w:val="18"/>
              </w:rPr>
              <w:t>Business requirement</w:t>
            </w:r>
          </w:p>
        </w:tc>
        <w:tc>
          <w:tcPr>
            <w:tcW w:type="dxa" w:w="950"/>
            <w:shd w:fill="F2F4F7"/>
            <w:vAlign w:val="center"/>
            <w:tcMar>
              <w:top w:w="80" w:type="dxa"/>
              <w:start w:w="120" w:type="dxa"/>
              <w:bottom w:w="80" w:type="dxa"/>
              <w:end w:w="120" w:type="dxa"/>
            </w:tcMar>
          </w:tcPr>
          <w:p>
            <w:pPr>
              <w:spacing w:after="0"/>
              <w:jc w:val="left"/>
            </w:pPr>
            <w:r>
              <w:rPr>
                <w:rFonts w:ascii="Calibri" w:hAnsi="Calibri"/>
                <w:b/>
                <w:color w:val="20242A"/>
                <w:sz w:val="18"/>
              </w:rPr>
              <w:t>Priority</w:t>
            </w:r>
          </w:p>
        </w:tc>
        <w:tc>
          <w:tcPr>
            <w:tcW w:type="dxa" w:w="2530"/>
            <w:shd w:fill="F2F4F7"/>
            <w:vAlign w:val="center"/>
            <w:tcMar>
              <w:top w:w="80" w:type="dxa"/>
              <w:start w:w="120" w:type="dxa"/>
              <w:bottom w:w="80" w:type="dxa"/>
              <w:end w:w="120" w:type="dxa"/>
            </w:tcMar>
          </w:tcPr>
          <w:p>
            <w:pPr>
              <w:spacing w:after="0"/>
              <w:jc w:val="left"/>
            </w:pPr>
            <w:r>
              <w:rPr>
                <w:rFonts w:ascii="Calibri" w:hAnsi="Calibri"/>
                <w:b/>
                <w:color w:val="20242A"/>
                <w:sz w:val="18"/>
              </w:rPr>
              <w:t>Acceptance evidence</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BR-001</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Provision and operate independent tenants on one SaaS platform without code changes</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Automated provisioning and isolation acceptance</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BR-002</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Launch a Saudi-ready product with SAR, Arabic/English, RTL, VAT, and e-invoicing capability</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Country-pack and bilingual scenario suite</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BR-003</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Operate Wafra as Tenant #1 without Wafra-specific core logic</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Configuration inventory and code review</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BR-004</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Manage plans, subscriptions, modules, entitlements, quotas, and tenant lifecycle</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Plan-to-entitlement tests and audit history</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BR-005</w:t>
            </w:r>
          </w:p>
        </w:tc>
        <w:tc>
          <w:tcPr>
            <w:tcW w:type="dxa" w:w="4930"/>
            <w:vAlign w:val="center"/>
            <w:tcMar>
              <w:top w:w="80" w:type="dxa"/>
              <w:start w:w="120" w:type="dxa"/>
              <w:bottom w:w="80" w:type="dxa"/>
              <w:end w:w="120" w:type="dxa"/>
            </w:tcMar>
          </w:tcPr>
          <w:p>
            <w:pPr>
              <w:spacing w:after="0"/>
            </w:pPr>
            <w:r>
              <w:t>Complete purchase-to-pay from request, purchase order, and manually recorded supplier confirmation through goods receipt, supplier invoice, payment, and reconciliation</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End-to-end happy path and exception evidence</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BR-006</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Maintain accurate stock by product and warehouse through immutable movements, reservation, transfers, counts, adjustments, and returns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Ledger-to-balance reconciliation and count accuracy</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BR-007</w:t>
            </w:r>
          </w:p>
        </w:tc>
        <w:tc>
          <w:tcPr>
            <w:tcW w:type="dxa" w:w="4930"/>
            <w:vAlign w:val="center"/>
            <w:tcMar>
              <w:top w:w="80" w:type="dxa"/>
              <w:start w:w="120" w:type="dxa"/>
              <w:bottom w:w="80" w:type="dxa"/>
              <w:end w:w="120" w:type="dxa"/>
            </w:tcMar>
          </w:tcPr>
          <w:p>
            <w:pPr>
              <w:spacing w:after="0"/>
            </w:pPr>
            <w:r>
              <w:t>Complete B2B quotation/order-to-cash through reservation, delivery, sales invoice, customer receipt, return, and reconciliation</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pPr>
            <w:r>
              <w:t>B2B order-to-cash end-to-end happy path, partial fulfillment, return, credit, and exception evidence</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BR-008</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Maintain finance-ready AP, AR, cash/bank, balanced journals, tax postings, periods, and core statements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Posting matrix, balanced entries, subledger reconciliation</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BR-009</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Preserve transaction, base, and reporting currency facts and posting-time exchange rates</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Currency, rounding, revaluation, and rate-history tests</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BR-010</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Enforce tenant, company, branch, warehouse, module, role, document-state, and contextual access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Authorization matrix and negative security tests</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BR-011</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Provide complete audit evidence for material business, configuration, access, posting, reversal, and support actions</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Audit coverage report and retrieval exercise</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BR-012</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Provide operational and financial reports that reconcile to posted transactions and expose freshness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Report-to-ledger reconciliation catalogue</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BR-013</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Import opening and master data with preview, validation, duplicate control, rollback strategy, and reconciliation</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Two migration dry runs and signed reconciliation</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BR-014</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Expose secure, versioned APIs and webhooks for approved integrations without bypassing controls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Should</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Contract, idempotency, rate-limit, and replay tests</w:t>
            </w:r>
          </w:p>
        </w:tc>
      </w:tr>
      <w:tr>
        <w:trPr>
          <w:cantSplit/>
        </w:trPr>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BR-015</w:t>
            </w:r>
          </w:p>
        </w:tc>
        <w:tc>
          <w:tcPr>
            <w:tcW w:type="dxa" w:w="4930"/>
            <w:vAlign w:val="center"/>
            <w:tcMar>
              <w:top w:w="80" w:type="dxa"/>
              <w:start w:w="120" w:type="dxa"/>
              <w:bottom w:w="80" w:type="dxa"/>
              <w:end w:w="120" w:type="dxa"/>
            </w:tcMar>
          </w:tcPr>
          <w:p>
            <w:pPr>
              <w:spacing w:after="0" w:line="252" w:lineRule="auto"/>
              <w:jc w:val="left"/>
            </w:pPr>
            <w:r>
              <w:rPr>
                <w:rFonts w:ascii="Calibri" w:hAnsi="Calibri"/>
                <w:color w:val="20242A"/>
                <w:sz w:val="17"/>
              </w:rPr>
              <w:t>Support configuration-led country and industry expansion without weakening upgradeability</w:t>
            </w:r>
          </w:p>
        </w:tc>
        <w:tc>
          <w:tcPr>
            <w:tcW w:type="dxa" w:w="950"/>
            <w:vAlign w:val="center"/>
            <w:tcMar>
              <w:top w:w="80" w:type="dxa"/>
              <w:start w:w="120" w:type="dxa"/>
              <w:bottom w:w="80" w:type="dxa"/>
              <w:end w:w="120" w:type="dxa"/>
            </w:tcMar>
          </w:tcPr>
          <w:p>
            <w:pPr>
              <w:spacing w:after="0" w:line="252" w:lineRule="auto"/>
              <w:jc w:val="left"/>
            </w:pPr>
            <w:r>
              <w:rPr>
                <w:rFonts w:ascii="Calibri" w:hAnsi="Calibri"/>
                <w:color w:val="20242A"/>
                <w:sz w:val="17"/>
              </w:rPr>
              <w:t>Should</w:t>
            </w:r>
          </w:p>
        </w:tc>
        <w:tc>
          <w:tcPr>
            <w:tcW w:type="dxa" w:w="2530"/>
            <w:vAlign w:val="center"/>
            <w:tcMar>
              <w:top w:w="80" w:type="dxa"/>
              <w:start w:w="120" w:type="dxa"/>
              <w:bottom w:w="80" w:type="dxa"/>
              <w:end w:w="120" w:type="dxa"/>
            </w:tcMar>
          </w:tcPr>
          <w:p>
            <w:pPr>
              <w:spacing w:after="0" w:line="252" w:lineRule="auto"/>
              <w:jc w:val="left"/>
            </w:pPr>
            <w:r>
              <w:rPr>
                <w:rFonts w:ascii="Calibri" w:hAnsi="Calibri"/>
                <w:color w:val="20242A"/>
                <w:sz w:val="17"/>
              </w:rPr>
              <w:t>Extension governance and second-tenant proof</w:t>
            </w:r>
          </w:p>
        </w:tc>
      </w:tr>
      <w:tr>
        <w:trPr>
          <w:cantSplit/>
        </w:trPr>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BR-016</w:t>
            </w:r>
          </w:p>
        </w:tc>
        <w:tc>
          <w:tcPr>
            <w:tcW w:type="dxa" w:w="49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Meet defined availability, performance, recovery, accessibility, localization, and observability targets</w:t>
            </w:r>
          </w:p>
        </w:tc>
        <w:tc>
          <w:tcPr>
            <w:tcW w:type="dxa" w:w="9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Must</w:t>
            </w:r>
          </w:p>
        </w:tc>
        <w:tc>
          <w:tcPr>
            <w:tcW w:type="dxa" w:w="253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Operational readiness report and release gates</w:t>
            </w:r>
          </w:p>
        </w:tc>
      </w:tr>
    </w:tbl>
    <w:p>
      <w:pPr>
        <w:spacing w:before="80" w:after="0"/>
      </w:pPr>
    </w:p>
    <w:p>
      <w:pPr>
        <w:pStyle w:val="Heading1"/>
      </w:pPr>
      <w:r>
        <w:t>16. Saudi launch and localization requirements</w:t>
      </w:r>
    </w:p>
    <w:p>
      <w:pPr>
        <w:keepLines/>
        <w:spacing w:before="140" w:after="180"/>
        <w:ind w:left="259" w:right="173"/>
        <w:shd w:fill="FFF7E8"/>
        <w:pBdr>
          <w:left w:val="single" w:sz="20" w:space="8" w:color="A15C00"/>
        </w:pBdr>
      </w:pPr>
      <w:r>
        <w:rPr>
          <w:rFonts w:ascii="Calibri" w:hAnsi="Calibri"/>
          <w:b/>
          <w:color w:val="A15C00"/>
          <w:sz w:val="21"/>
        </w:rPr>
        <w:t xml:space="preserve">Compliance posture  </w:t>
      </w:r>
      <w:r>
        <w:rPr>
          <w:rFonts w:ascii="Calibri" w:hAnsi="Calibri"/>
          <w:color w:val="20242A"/>
          <w:sz w:val="21"/>
        </w:rPr>
        <w:t>These product requirements establish technical readiness and evidence. Final legal, tax, privacy, invoice, and data-residency interpretations must be validated by qualified Saudi advisors and the designated business owners before production release.</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100"/>
        <w:gridCol w:w="5160"/>
        <w:gridCol w:w="3100"/>
      </w:tblGrid>
      <w:tr>
        <w:trPr>
          <w:tblHeader w:val="true"/>
          <w:cantSplit/>
        </w:trPr>
        <w:tc>
          <w:tcPr>
            <w:tcW w:type="dxa" w:w="1100"/>
            <w:shd w:fill="F2F4F7"/>
            <w:vAlign w:val="center"/>
            <w:tcMar>
              <w:top w:w="80" w:type="dxa"/>
              <w:start w:w="120" w:type="dxa"/>
              <w:bottom w:w="80" w:type="dxa"/>
              <w:end w:w="120" w:type="dxa"/>
            </w:tcMar>
          </w:tcPr>
          <w:p>
            <w:pPr>
              <w:spacing w:after="0"/>
              <w:jc w:val="left"/>
            </w:pPr>
            <w:r>
              <w:rPr>
                <w:rFonts w:ascii="Calibri" w:hAnsi="Calibri"/>
                <w:b/>
                <w:color w:val="20242A"/>
                <w:sz w:val="18"/>
              </w:rPr>
              <w:t>ID</w:t>
            </w:r>
          </w:p>
        </w:tc>
        <w:tc>
          <w:tcPr>
            <w:tcW w:type="dxa" w:w="5160"/>
            <w:shd w:fill="F2F4F7"/>
            <w:vAlign w:val="center"/>
            <w:tcMar>
              <w:top w:w="80" w:type="dxa"/>
              <w:start w:w="120" w:type="dxa"/>
              <w:bottom w:w="80" w:type="dxa"/>
              <w:end w:w="120" w:type="dxa"/>
            </w:tcMar>
          </w:tcPr>
          <w:p>
            <w:pPr>
              <w:spacing w:after="0"/>
              <w:jc w:val="left"/>
            </w:pPr>
            <w:r>
              <w:rPr>
                <w:rFonts w:ascii="Calibri" w:hAnsi="Calibri"/>
                <w:b/>
                <w:color w:val="20242A"/>
                <w:sz w:val="18"/>
              </w:rPr>
              <w:t>Requirement</w:t>
            </w:r>
          </w:p>
        </w:tc>
        <w:tc>
          <w:tcPr>
            <w:tcW w:type="dxa" w:w="3100"/>
            <w:shd w:fill="F2F4F7"/>
            <w:vAlign w:val="center"/>
            <w:tcMar>
              <w:top w:w="80" w:type="dxa"/>
              <w:start w:w="120" w:type="dxa"/>
              <w:bottom w:w="80" w:type="dxa"/>
              <w:end w:w="120" w:type="dxa"/>
            </w:tcMar>
          </w:tcPr>
          <w:p>
            <w:pPr>
              <w:spacing w:after="0"/>
              <w:jc w:val="left"/>
            </w:pPr>
            <w:r>
              <w:rPr>
                <w:rFonts w:ascii="Calibri" w:hAnsi="Calibri"/>
                <w:b/>
                <w:color w:val="20242A"/>
                <w:sz w:val="18"/>
              </w:rPr>
              <w:t>Release acceptance</w:t>
            </w:r>
          </w:p>
        </w:tc>
      </w:tr>
      <w:tr>
        <w:trPr>
          <w:cantSplit/>
        </w:trPr>
        <w:tc>
          <w:tcPr>
            <w:tcW w:type="dxa" w:w="1100"/>
            <w:vAlign w:val="center"/>
            <w:tcMar>
              <w:top w:w="80" w:type="dxa"/>
              <w:start w:w="120" w:type="dxa"/>
              <w:bottom w:w="80" w:type="dxa"/>
              <w:end w:w="120" w:type="dxa"/>
            </w:tcMar>
          </w:tcPr>
          <w:p>
            <w:pPr>
              <w:spacing w:after="0" w:line="252" w:lineRule="auto"/>
              <w:jc w:val="left"/>
            </w:pPr>
            <w:r>
              <w:rPr>
                <w:rFonts w:ascii="Calibri" w:hAnsi="Calibri"/>
                <w:color w:val="20242A"/>
                <w:sz w:val="17"/>
              </w:rPr>
              <w:t>KSA-001</w:t>
            </w:r>
          </w:p>
        </w:tc>
        <w:tc>
          <w:tcPr>
            <w:tcW w:type="dxa" w:w="5160"/>
            <w:vAlign w:val="center"/>
            <w:tcMar>
              <w:top w:w="80" w:type="dxa"/>
              <w:start w:w="120" w:type="dxa"/>
              <w:bottom w:w="80" w:type="dxa"/>
              <w:end w:w="120" w:type="dxa"/>
            </w:tcMar>
          </w:tcPr>
          <w:p>
            <w:pPr>
              <w:spacing w:after="0" w:line="252" w:lineRule="auto"/>
              <w:jc w:val="left"/>
            </w:pPr>
            <w:r>
              <w:rPr>
                <w:rFonts w:ascii="Calibri" w:hAnsi="Calibri"/>
                <w:color w:val="20242A"/>
                <w:sz w:val="17"/>
              </w:rPr>
              <w:t>Saudi tenants default to SAR and Asia/Riyadh, while preserving effective-dated multi-currency behavior.</w:t>
            </w:r>
          </w:p>
        </w:tc>
        <w:tc>
          <w:tcPr>
            <w:tcW w:type="dxa" w:w="3100"/>
            <w:vAlign w:val="center"/>
            <w:tcMar>
              <w:top w:w="80" w:type="dxa"/>
              <w:start w:w="120" w:type="dxa"/>
              <w:bottom w:w="80" w:type="dxa"/>
              <w:end w:w="120" w:type="dxa"/>
            </w:tcMar>
          </w:tcPr>
          <w:p>
            <w:pPr>
              <w:spacing w:after="0" w:line="252" w:lineRule="auto"/>
              <w:jc w:val="left"/>
            </w:pPr>
            <w:r>
              <w:rPr>
                <w:rFonts w:ascii="Calibri" w:hAnsi="Calibri"/>
                <w:color w:val="20242A"/>
                <w:sz w:val="17"/>
              </w:rPr>
              <w:t>Currency, precision, time-zone, posting, and report scenarios pass.</w:t>
            </w:r>
          </w:p>
        </w:tc>
      </w:tr>
      <w:tr>
        <w:trPr>
          <w:cantSplit/>
        </w:trPr>
        <w:tc>
          <w:tcPr>
            <w:tcW w:type="dxa" w:w="1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KSA-002</w:t>
            </w:r>
          </w:p>
        </w:tc>
        <w:tc>
          <w:tcPr>
            <w:tcW w:type="dxa" w:w="51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The Saudi country pack seeds the current standard VAT rate of 15% where applicable, but tax rates, exemptions, zero-rating, effective dates, and evidence are configurable and never hard-coded into transaction logic.</w:t>
            </w:r>
          </w:p>
        </w:tc>
        <w:tc>
          <w:tcPr>
            <w:tcW w:type="dxa" w:w="3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Tax matrix approved; historical documents reproduce the applied rule.</w:t>
            </w:r>
          </w:p>
        </w:tc>
      </w:tr>
      <w:tr>
        <w:trPr>
          <w:cantSplit/>
        </w:trPr>
        <w:tc>
          <w:tcPr>
            <w:tcW w:type="dxa" w:w="1100"/>
            <w:vAlign w:val="center"/>
            <w:tcMar>
              <w:top w:w="80" w:type="dxa"/>
              <w:start w:w="120" w:type="dxa"/>
              <w:bottom w:w="80" w:type="dxa"/>
              <w:end w:w="120" w:type="dxa"/>
            </w:tcMar>
          </w:tcPr>
          <w:p>
            <w:pPr>
              <w:spacing w:after="0" w:line="252" w:lineRule="auto"/>
              <w:jc w:val="left"/>
            </w:pPr>
            <w:r>
              <w:rPr>
                <w:rFonts w:ascii="Calibri" w:hAnsi="Calibri"/>
                <w:color w:val="20242A"/>
                <w:sz w:val="17"/>
              </w:rPr>
              <w:t>KSA-003</w:t>
            </w:r>
          </w:p>
        </w:tc>
        <w:tc>
          <w:tcPr>
            <w:tcW w:type="dxa" w:w="5160"/>
            <w:vAlign w:val="center"/>
            <w:tcMar>
              <w:top w:w="80" w:type="dxa"/>
              <w:start w:w="120" w:type="dxa"/>
              <w:bottom w:w="80" w:type="dxa"/>
              <w:end w:w="120" w:type="dxa"/>
            </w:tcMar>
          </w:tcPr>
          <w:p>
            <w:pPr>
              <w:spacing w:after="0" w:line="252" w:lineRule="auto"/>
              <w:jc w:val="left"/>
            </w:pPr>
            <w:r>
              <w:rPr>
                <w:rFonts w:ascii="Calibri" w:hAnsi="Calibri"/>
                <w:color w:val="20242A"/>
                <w:sz w:val="17"/>
              </w:rPr>
              <w:t>Tax invoices, simplified invoices, credit notes, and debit notes can be generated and stored with required structured data, identifiers, security controls, and human-readable Arabic/English output.</w:t>
            </w:r>
          </w:p>
        </w:tc>
        <w:tc>
          <w:tcPr>
            <w:tcW w:type="dxa" w:w="3100"/>
            <w:vAlign w:val="center"/>
            <w:tcMar>
              <w:top w:w="80" w:type="dxa"/>
              <w:start w:w="120" w:type="dxa"/>
              <w:bottom w:w="80" w:type="dxa"/>
              <w:end w:w="120" w:type="dxa"/>
            </w:tcMar>
          </w:tcPr>
          <w:p>
            <w:pPr>
              <w:spacing w:after="0" w:line="252" w:lineRule="auto"/>
              <w:jc w:val="left"/>
            </w:pPr>
            <w:r>
              <w:rPr>
                <w:rFonts w:ascii="Calibri" w:hAnsi="Calibri"/>
                <w:color w:val="20242A"/>
                <w:sz w:val="17"/>
              </w:rPr>
              <w:t>Approved invoice samples validate against the current ZATCA specification and business review.</w:t>
            </w:r>
          </w:p>
        </w:tc>
      </w:tr>
      <w:tr>
        <w:trPr>
          <w:cantSplit/>
        </w:trPr>
        <w:tc>
          <w:tcPr>
            <w:tcW w:type="dxa" w:w="1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KSA-004</w:t>
            </w:r>
          </w:p>
        </w:tc>
        <w:tc>
          <w:tcPr>
            <w:tcW w:type="dxa" w:w="51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FATOORA Phase 2 onboarding, clearance/reporting, retry, rejection, status, credential, and evidence flows are isolated behind a versioned Saudi integration adapter and enabled by taxpayer obligation.</w:t>
            </w:r>
          </w:p>
        </w:tc>
        <w:tc>
          <w:tcPr>
            <w:tcW w:type="dxa" w:w="3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Sandbox certification scenarios and operational runbook pass before a tenant is enabled.</w:t>
            </w:r>
          </w:p>
        </w:tc>
      </w:tr>
      <w:tr>
        <w:trPr>
          <w:cantSplit/>
        </w:trPr>
        <w:tc>
          <w:tcPr>
            <w:tcW w:type="dxa" w:w="1100"/>
            <w:vAlign w:val="center"/>
            <w:tcMar>
              <w:top w:w="80" w:type="dxa"/>
              <w:start w:w="120" w:type="dxa"/>
              <w:bottom w:w="80" w:type="dxa"/>
              <w:end w:w="120" w:type="dxa"/>
            </w:tcMar>
          </w:tcPr>
          <w:p>
            <w:pPr>
              <w:spacing w:after="0" w:line="252" w:lineRule="auto"/>
              <w:jc w:val="left"/>
            </w:pPr>
            <w:r>
              <w:rPr>
                <w:rFonts w:ascii="Calibri" w:hAnsi="Calibri"/>
                <w:color w:val="20242A"/>
                <w:sz w:val="17"/>
              </w:rPr>
              <w:t>KSA-005</w:t>
            </w:r>
          </w:p>
        </w:tc>
        <w:tc>
          <w:tcPr>
            <w:tcW w:type="dxa" w:w="5160"/>
            <w:vAlign w:val="center"/>
            <w:tcMar>
              <w:top w:w="80" w:type="dxa"/>
              <w:start w:w="120" w:type="dxa"/>
              <w:bottom w:w="80" w:type="dxa"/>
              <w:end w:w="120" w:type="dxa"/>
            </w:tcMar>
          </w:tcPr>
          <w:p>
            <w:pPr>
              <w:spacing w:after="0" w:line="252" w:lineRule="auto"/>
              <w:jc w:val="left"/>
            </w:pPr>
            <w:r>
              <w:rPr>
                <w:rFonts w:ascii="Calibri" w:hAnsi="Calibri"/>
                <w:color w:val="20242A"/>
                <w:sz w:val="17"/>
              </w:rPr>
              <w:t>The complete application and reports support Arabic and English, including RTL navigation, forms, tables, numbers, dates, search, export, and document templates.</w:t>
            </w:r>
          </w:p>
        </w:tc>
        <w:tc>
          <w:tcPr>
            <w:tcW w:type="dxa" w:w="3100"/>
            <w:vAlign w:val="center"/>
            <w:tcMar>
              <w:top w:w="80" w:type="dxa"/>
              <w:start w:w="120" w:type="dxa"/>
              <w:bottom w:w="80" w:type="dxa"/>
              <w:end w:w="120" w:type="dxa"/>
            </w:tcMar>
          </w:tcPr>
          <w:p>
            <w:pPr>
              <w:spacing w:after="0" w:line="252" w:lineRule="auto"/>
              <w:jc w:val="left"/>
            </w:pPr>
            <w:r>
              <w:rPr>
                <w:rFonts w:ascii="Calibri" w:hAnsi="Calibri"/>
                <w:color w:val="20242A"/>
                <w:sz w:val="17"/>
              </w:rPr>
              <w:t>Bilingual terminology sign-off and RTL visual regression coverage.</w:t>
            </w:r>
          </w:p>
        </w:tc>
      </w:tr>
      <w:tr>
        <w:trPr>
          <w:cantSplit/>
        </w:trPr>
        <w:tc>
          <w:tcPr>
            <w:tcW w:type="dxa" w:w="1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KSA-006</w:t>
            </w:r>
          </w:p>
        </w:tc>
        <w:tc>
          <w:tcPr>
            <w:tcW w:type="dxa" w:w="51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Privacy features support data inventory, purpose limitation, minimization, retention/destruction, subject requests, incident handling, controlled disclosure, and transfer governance aligned to the Saudi PDPL baseline.</w:t>
            </w:r>
          </w:p>
        </w:tc>
        <w:tc>
          <w:tcPr>
            <w:tcW w:type="dxa" w:w="3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Privacy control matrix, records, workflows, and owner sign-off.</w:t>
            </w:r>
          </w:p>
        </w:tc>
      </w:tr>
      <w:tr>
        <w:trPr>
          <w:cantSplit/>
        </w:trPr>
        <w:tc>
          <w:tcPr>
            <w:tcW w:type="dxa" w:w="1100"/>
            <w:vAlign w:val="center"/>
            <w:tcMar>
              <w:top w:w="80" w:type="dxa"/>
              <w:start w:w="120" w:type="dxa"/>
              <w:bottom w:w="80" w:type="dxa"/>
              <w:end w:w="120" w:type="dxa"/>
            </w:tcMar>
          </w:tcPr>
          <w:p>
            <w:pPr>
              <w:spacing w:after="0" w:line="252" w:lineRule="auto"/>
              <w:jc w:val="left"/>
            </w:pPr>
            <w:r>
              <w:rPr>
                <w:rFonts w:ascii="Calibri" w:hAnsi="Calibri"/>
                <w:color w:val="20242A"/>
                <w:sz w:val="17"/>
              </w:rPr>
              <w:t>KSA-007</w:t>
            </w:r>
          </w:p>
        </w:tc>
        <w:tc>
          <w:tcPr>
            <w:tcW w:type="dxa" w:w="5160"/>
            <w:vAlign w:val="center"/>
            <w:tcMar>
              <w:top w:w="80" w:type="dxa"/>
              <w:start w:w="120" w:type="dxa"/>
              <w:bottom w:w="80" w:type="dxa"/>
              <w:end w:w="120" w:type="dxa"/>
            </w:tcMar>
          </w:tcPr>
          <w:p>
            <w:pPr>
              <w:spacing w:after="0" w:line="252" w:lineRule="auto"/>
              <w:jc w:val="left"/>
            </w:pPr>
            <w:r>
              <w:rPr>
                <w:rFonts w:ascii="Calibri" w:hAnsi="Calibri"/>
                <w:color w:val="20242A"/>
                <w:sz w:val="17"/>
              </w:rPr>
              <w:t>Data hosting, residency, cross-border transfer, backup location, subprocessors, and support access are explicit contractual and architecture decisions.</w:t>
            </w:r>
          </w:p>
        </w:tc>
        <w:tc>
          <w:tcPr>
            <w:tcW w:type="dxa" w:w="3100"/>
            <w:vAlign w:val="center"/>
            <w:tcMar>
              <w:top w:w="80" w:type="dxa"/>
              <w:start w:w="120" w:type="dxa"/>
              <w:bottom w:w="80" w:type="dxa"/>
              <w:end w:w="120" w:type="dxa"/>
            </w:tcMar>
          </w:tcPr>
          <w:p>
            <w:pPr>
              <w:spacing w:after="0" w:line="252" w:lineRule="auto"/>
              <w:jc w:val="left"/>
            </w:pPr>
            <w:r>
              <w:rPr>
                <w:rFonts w:ascii="Calibri" w:hAnsi="Calibri"/>
                <w:color w:val="20242A"/>
                <w:sz w:val="17"/>
              </w:rPr>
              <w:t>Decision record and approved data-flow diagram before production data.</w:t>
            </w:r>
          </w:p>
        </w:tc>
      </w:tr>
      <w:tr>
        <w:trPr>
          <w:cantSplit/>
        </w:trPr>
        <w:tc>
          <w:tcPr>
            <w:tcW w:type="dxa" w:w="1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KSA-008</w:t>
            </w:r>
          </w:p>
        </w:tc>
        <w:tc>
          <w:tcPr>
            <w:tcW w:type="dxa" w:w="51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Every posted tax or e-invoice record preserves the rule version, exchange rate, totals, source document, submission payload/hash where applicable, response, status, and correction chain.</w:t>
            </w:r>
          </w:p>
        </w:tc>
        <w:tc>
          <w:tcPr>
            <w:tcW w:type="dxa" w:w="31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Audit reconstruction succeeds for sampled transactions.</w:t>
            </w:r>
          </w:p>
        </w:tc>
      </w:tr>
    </w:tbl>
    <w:p>
      <w:pPr>
        <w:spacing w:before="80" w:after="0"/>
      </w:pPr>
    </w:p>
    <w:p>
      <w:pPr>
        <w:pStyle w:val="Heading1"/>
      </w:pPr>
      <w:r>
        <w:t>17. SaaS commercial and tenant operations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700"/>
        <w:gridCol w:w="5000"/>
        <w:gridCol w:w="2660"/>
      </w:tblGrid>
      <w:tr>
        <w:trPr>
          <w:tblHeader w:val="true"/>
          <w:cantSplit/>
        </w:trPr>
        <w:tc>
          <w:tcPr>
            <w:tcW w:type="dxa" w:w="1700"/>
            <w:shd w:fill="F2F4F7"/>
            <w:vAlign w:val="center"/>
            <w:tcMar>
              <w:top w:w="80" w:type="dxa"/>
              <w:start w:w="120" w:type="dxa"/>
              <w:bottom w:w="80" w:type="dxa"/>
              <w:end w:w="120" w:type="dxa"/>
            </w:tcMar>
          </w:tcPr>
          <w:p>
            <w:pPr>
              <w:spacing w:after="0"/>
              <w:jc w:val="left"/>
            </w:pPr>
            <w:r>
              <w:rPr>
                <w:rFonts w:ascii="Calibri" w:hAnsi="Calibri"/>
                <w:b/>
                <w:color w:val="20242A"/>
                <w:sz w:val="18"/>
              </w:rPr>
              <w:t>Capability</w:t>
            </w:r>
          </w:p>
        </w:tc>
        <w:tc>
          <w:tcPr>
            <w:tcW w:type="dxa" w:w="5000"/>
            <w:shd w:fill="F2F4F7"/>
            <w:vAlign w:val="center"/>
            <w:tcMar>
              <w:top w:w="80" w:type="dxa"/>
              <w:start w:w="120" w:type="dxa"/>
              <w:bottom w:w="80" w:type="dxa"/>
              <w:end w:w="120" w:type="dxa"/>
            </w:tcMar>
          </w:tcPr>
          <w:p>
            <w:pPr>
              <w:spacing w:after="0"/>
              <w:jc w:val="left"/>
            </w:pPr>
            <w:r>
              <w:rPr>
                <w:rFonts w:ascii="Calibri" w:hAnsi="Calibri"/>
                <w:b/>
                <w:color w:val="20242A"/>
                <w:sz w:val="18"/>
              </w:rPr>
              <w:t>Baseline requirement</w:t>
            </w:r>
          </w:p>
        </w:tc>
        <w:tc>
          <w:tcPr>
            <w:tcW w:type="dxa" w:w="2660"/>
            <w:shd w:fill="F2F4F7"/>
            <w:vAlign w:val="center"/>
            <w:tcMar>
              <w:top w:w="80" w:type="dxa"/>
              <w:start w:w="120" w:type="dxa"/>
              <w:bottom w:w="80" w:type="dxa"/>
              <w:end w:w="120" w:type="dxa"/>
            </w:tcMar>
          </w:tcPr>
          <w:p>
            <w:pPr>
              <w:spacing w:after="0"/>
              <w:jc w:val="left"/>
            </w:pPr>
            <w:r>
              <w:rPr>
                <w:rFonts w:ascii="Calibri" w:hAnsi="Calibri"/>
                <w:b/>
                <w:color w:val="20242A"/>
                <w:sz w:val="18"/>
              </w:rPr>
              <w:t>Key control</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Plan catalogue</w:t>
            </w:r>
          </w:p>
        </w:tc>
        <w:tc>
          <w:tcPr>
            <w:tcW w:type="dxa" w:w="5000"/>
            <w:vAlign w:val="center"/>
            <w:tcMar>
              <w:top w:w="80" w:type="dxa"/>
              <w:start w:w="120" w:type="dxa"/>
              <w:bottom w:w="80" w:type="dxa"/>
              <w:end w:w="120" w:type="dxa"/>
            </w:tcMar>
          </w:tcPr>
          <w:p>
            <w:pPr>
              <w:spacing w:after="0" w:line="252" w:lineRule="auto"/>
              <w:jc w:val="left"/>
            </w:pPr>
            <w:r>
              <w:rPr>
                <w:rFonts w:ascii="Calibri" w:hAnsi="Calibri"/>
                <w:color w:val="20242A"/>
                <w:sz w:val="17"/>
              </w:rPr>
              <w:t>Define named plans with modules, features, limits, support tier, price metadata, and effective dates.</w:t>
            </w:r>
          </w:p>
        </w:tc>
        <w:tc>
          <w:tcPr>
            <w:tcW w:type="dxa" w:w="2660"/>
            <w:vAlign w:val="center"/>
            <w:tcMar>
              <w:top w:w="80" w:type="dxa"/>
              <w:start w:w="120" w:type="dxa"/>
              <w:bottom w:w="80" w:type="dxa"/>
              <w:end w:w="120" w:type="dxa"/>
            </w:tcMar>
          </w:tcPr>
          <w:p>
            <w:pPr>
              <w:spacing w:after="0" w:line="252" w:lineRule="auto"/>
              <w:jc w:val="left"/>
            </w:pPr>
            <w:r>
              <w:rPr>
                <w:rFonts w:ascii="Calibri" w:hAnsi="Calibri"/>
                <w:color w:val="20242A"/>
                <w:sz w:val="17"/>
              </w:rPr>
              <w:t>Versioned; no retroactive entitlement drift.</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Tenant lifecycle</w:t>
            </w:r>
          </w:p>
        </w:tc>
        <w:tc>
          <w:tcPr>
            <w:tcW w:type="dxa" w:w="50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Trial, provisioning, active, grace, suspended, export, terminated, retained, and purged states.</w:t>
            </w:r>
          </w:p>
        </w:tc>
        <w:tc>
          <w:tcPr>
            <w:tcW w:type="dxa" w:w="26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State transitions authorized and audited.</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Entitlements</w:t>
            </w:r>
          </w:p>
        </w:tc>
        <w:tc>
          <w:tcPr>
            <w:tcW w:type="dxa" w:w="5000"/>
            <w:vAlign w:val="center"/>
            <w:tcMar>
              <w:top w:w="80" w:type="dxa"/>
              <w:start w:w="120" w:type="dxa"/>
              <w:bottom w:w="80" w:type="dxa"/>
              <w:end w:w="120" w:type="dxa"/>
            </w:tcMar>
          </w:tcPr>
          <w:p>
            <w:pPr>
              <w:spacing w:after="0" w:line="252" w:lineRule="auto"/>
              <w:jc w:val="left"/>
            </w:pPr>
            <w:r>
              <w:rPr>
                <w:rFonts w:ascii="Calibri" w:hAnsi="Calibri"/>
                <w:color w:val="20242A"/>
                <w:sz w:val="17"/>
              </w:rPr>
              <w:t>Server-side checks for modules, features, quotas, and commercial limits.</w:t>
            </w:r>
          </w:p>
        </w:tc>
        <w:tc>
          <w:tcPr>
            <w:tcW w:type="dxa" w:w="2660"/>
            <w:vAlign w:val="center"/>
            <w:tcMar>
              <w:top w:w="80" w:type="dxa"/>
              <w:start w:w="120" w:type="dxa"/>
              <w:bottom w:w="80" w:type="dxa"/>
              <w:end w:w="120" w:type="dxa"/>
            </w:tcMar>
          </w:tcPr>
          <w:p>
            <w:pPr>
              <w:spacing w:after="0" w:line="252" w:lineRule="auto"/>
              <w:jc w:val="left"/>
            </w:pPr>
            <w:r>
              <w:rPr>
                <w:rFonts w:ascii="Calibri" w:hAnsi="Calibri"/>
                <w:color w:val="20242A"/>
                <w:sz w:val="17"/>
              </w:rPr>
              <w:t>Entitlements do not replace user permissions.</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Module activation</w:t>
            </w:r>
          </w:p>
        </w:tc>
        <w:tc>
          <w:tcPr>
            <w:tcW w:type="dxa" w:w="50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Enable modules only when dependencies, configuration, migrations, and opening data are ready.</w:t>
            </w:r>
          </w:p>
        </w:tc>
        <w:tc>
          <w:tcPr>
            <w:tcW w:type="dxa" w:w="26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Activation checklist and rollback plan.</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Metering and quotas</w:t>
            </w:r>
          </w:p>
        </w:tc>
        <w:tc>
          <w:tcPr>
            <w:tcW w:type="dxa" w:w="5000"/>
            <w:vAlign w:val="center"/>
            <w:tcMar>
              <w:top w:w="80" w:type="dxa"/>
              <w:start w:w="120" w:type="dxa"/>
              <w:bottom w:w="80" w:type="dxa"/>
              <w:end w:w="120" w:type="dxa"/>
            </w:tcMar>
          </w:tcPr>
          <w:p>
            <w:pPr>
              <w:spacing w:after="0" w:line="252" w:lineRule="auto"/>
              <w:jc w:val="left"/>
            </w:pPr>
            <w:r>
              <w:rPr>
                <w:rFonts w:ascii="Calibri" w:hAnsi="Calibri"/>
                <w:color w:val="20242A"/>
                <w:sz w:val="17"/>
              </w:rPr>
              <w:t>Track users, storage, API usage, background jobs, exports, and configured commercial measures.</w:t>
            </w:r>
          </w:p>
        </w:tc>
        <w:tc>
          <w:tcPr>
            <w:tcW w:type="dxa" w:w="2660"/>
            <w:vAlign w:val="center"/>
            <w:tcMar>
              <w:top w:w="80" w:type="dxa"/>
              <w:start w:w="120" w:type="dxa"/>
              <w:bottom w:w="80" w:type="dxa"/>
              <w:end w:w="120" w:type="dxa"/>
            </w:tcMar>
          </w:tcPr>
          <w:p>
            <w:pPr>
              <w:spacing w:after="0" w:line="252" w:lineRule="auto"/>
              <w:jc w:val="left"/>
            </w:pPr>
            <w:r>
              <w:rPr>
                <w:rFonts w:ascii="Calibri" w:hAnsi="Calibri"/>
                <w:color w:val="20242A"/>
                <w:sz w:val="17"/>
              </w:rPr>
              <w:t>Tenant-visible usage and controlled overage behavior.</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Branding</w:t>
            </w:r>
          </w:p>
        </w:tc>
        <w:tc>
          <w:tcPr>
            <w:tcW w:type="dxa" w:w="50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Logo, names, colors within accessible limits, document identity, contact details, and templates.</w:t>
            </w:r>
          </w:p>
        </w:tc>
        <w:tc>
          <w:tcPr>
            <w:tcW w:type="dxa" w:w="26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Branding cannot alter control behavior.</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Support access</w:t>
            </w:r>
          </w:p>
        </w:tc>
        <w:tc>
          <w:tcPr>
            <w:tcW w:type="dxa" w:w="5000"/>
            <w:vAlign w:val="center"/>
            <w:tcMar>
              <w:top w:w="80" w:type="dxa"/>
              <w:start w:w="120" w:type="dxa"/>
              <w:bottom w:w="80" w:type="dxa"/>
              <w:end w:w="120" w:type="dxa"/>
            </w:tcMar>
          </w:tcPr>
          <w:p>
            <w:pPr>
              <w:spacing w:after="0" w:line="252" w:lineRule="auto"/>
              <w:jc w:val="left"/>
            </w:pPr>
            <w:r>
              <w:rPr>
                <w:rFonts w:ascii="Calibri" w:hAnsi="Calibri"/>
                <w:color w:val="20242A"/>
                <w:sz w:val="17"/>
              </w:rPr>
              <w:t>Time-bound, least-privilege support access with tenant authorization where required and full recording.</w:t>
            </w:r>
          </w:p>
        </w:tc>
        <w:tc>
          <w:tcPr>
            <w:tcW w:type="dxa" w:w="2660"/>
            <w:vAlign w:val="center"/>
            <w:tcMar>
              <w:top w:w="80" w:type="dxa"/>
              <w:start w:w="120" w:type="dxa"/>
              <w:bottom w:w="80" w:type="dxa"/>
              <w:end w:w="120" w:type="dxa"/>
            </w:tcMar>
          </w:tcPr>
          <w:p>
            <w:pPr>
              <w:spacing w:after="0" w:line="252" w:lineRule="auto"/>
              <w:jc w:val="left"/>
            </w:pPr>
            <w:r>
              <w:rPr>
                <w:rFonts w:ascii="Calibri" w:hAnsi="Calibri"/>
                <w:color w:val="20242A"/>
                <w:sz w:val="17"/>
              </w:rPr>
              <w:t>No shared credentials or unaudited impersonation.</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Feature rollout</w:t>
            </w:r>
          </w:p>
        </w:tc>
        <w:tc>
          <w:tcPr>
            <w:tcW w:type="dxa" w:w="50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Tenant/cohort feature flags for safe release, migration, and rollback.</w:t>
            </w:r>
          </w:p>
        </w:tc>
        <w:tc>
          <w:tcPr>
            <w:tcW w:type="dxa" w:w="26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Flags have owners, expiry, and audit history.</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Offboarding</w:t>
            </w:r>
          </w:p>
        </w:tc>
        <w:tc>
          <w:tcPr>
            <w:tcW w:type="dxa" w:w="5000"/>
            <w:vAlign w:val="center"/>
            <w:tcMar>
              <w:top w:w="80" w:type="dxa"/>
              <w:start w:w="120" w:type="dxa"/>
              <w:bottom w:w="80" w:type="dxa"/>
              <w:end w:w="120" w:type="dxa"/>
            </w:tcMar>
          </w:tcPr>
          <w:p>
            <w:pPr>
              <w:spacing w:after="0" w:line="252" w:lineRule="auto"/>
              <w:jc w:val="left"/>
            </w:pPr>
            <w:r>
              <w:rPr>
                <w:rFonts w:ascii="Calibri" w:hAnsi="Calibri"/>
                <w:color w:val="20242A"/>
                <w:sz w:val="17"/>
              </w:rPr>
              <w:t>Export, retention, legal hold, access closure, deletion approval, purge, and completion evidence.</w:t>
            </w:r>
          </w:p>
        </w:tc>
        <w:tc>
          <w:tcPr>
            <w:tcW w:type="dxa" w:w="2660"/>
            <w:vAlign w:val="center"/>
            <w:tcMar>
              <w:top w:w="80" w:type="dxa"/>
              <w:start w:w="120" w:type="dxa"/>
              <w:bottom w:w="80" w:type="dxa"/>
              <w:end w:w="120" w:type="dxa"/>
            </w:tcMar>
          </w:tcPr>
          <w:p>
            <w:pPr>
              <w:spacing w:after="0" w:line="252" w:lineRule="auto"/>
              <w:jc w:val="left"/>
            </w:pPr>
            <w:r>
              <w:rPr>
                <w:rFonts w:ascii="Calibri" w:hAnsi="Calibri"/>
                <w:color w:val="20242A"/>
                <w:sz w:val="17"/>
              </w:rPr>
              <w:t>Dual control for irreversible purge.</w:t>
            </w:r>
          </w:p>
        </w:tc>
      </w:tr>
    </w:tbl>
    <w:p>
      <w:pPr>
        <w:spacing w:before="80" w:after="0"/>
      </w:pPr>
    </w:p>
    <w:p>
      <w:pPr>
        <w:pStyle w:val="Heading1"/>
      </w:pPr>
      <w:r>
        <w:t>18. Consolidated business rules and invariants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350"/>
        <w:gridCol w:w="8010"/>
      </w:tblGrid>
      <w:tr>
        <w:trPr>
          <w:tblHeader w:val="true"/>
          <w:cantSplit/>
        </w:trPr>
        <w:tc>
          <w:tcPr>
            <w:tcW w:type="dxa" w:w="1350"/>
            <w:shd w:fill="F2F4F7"/>
            <w:vAlign w:val="center"/>
            <w:tcMar>
              <w:top w:w="80" w:type="dxa"/>
              <w:start w:w="120" w:type="dxa"/>
              <w:bottom w:w="80" w:type="dxa"/>
              <w:end w:w="120" w:type="dxa"/>
            </w:tcMar>
          </w:tcPr>
          <w:p>
            <w:pPr>
              <w:spacing w:after="0"/>
              <w:jc w:val="left"/>
            </w:pPr>
            <w:r>
              <w:rPr>
                <w:rFonts w:ascii="Calibri" w:hAnsi="Calibri"/>
                <w:b/>
                <w:color w:val="20242A"/>
                <w:sz w:val="18"/>
              </w:rPr>
              <w:t>Rule ID</w:t>
            </w:r>
          </w:p>
        </w:tc>
        <w:tc>
          <w:tcPr>
            <w:tcW w:type="dxa" w:w="8010"/>
            <w:shd w:fill="F2F4F7"/>
            <w:vAlign w:val="center"/>
            <w:tcMar>
              <w:top w:w="80" w:type="dxa"/>
              <w:start w:w="120" w:type="dxa"/>
              <w:bottom w:w="80" w:type="dxa"/>
              <w:end w:w="120" w:type="dxa"/>
            </w:tcMar>
          </w:tcPr>
          <w:p>
            <w:pPr>
              <w:spacing w:after="0"/>
              <w:jc w:val="left"/>
            </w:pPr>
            <w:r>
              <w:rPr>
                <w:rFonts w:ascii="Calibri" w:hAnsi="Calibri"/>
                <w:b/>
                <w:color w:val="20242A"/>
                <w:sz w:val="18"/>
              </w:rPr>
              <w:t>Business rule</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RULE-001</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Tenant context is derived from the authenticated server-side context; client-provided tenant identifiers cannot expand scope.</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RULE-002</w:t>
            </w:r>
          </w:p>
        </w:tc>
        <w:tc>
          <w:tcPr>
            <w:tcW w:type="dxa" w:w="8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Wafra is Tenant #1 and must not cause customer-specific core code, schema, workflow, or permission branches.</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RULE-003</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A purchase order records commitment but never increases stock.</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RULE-004</w:t>
            </w:r>
          </w:p>
        </w:tc>
        <w:tc>
          <w:tcPr>
            <w:tcW w:type="dxa" w:w="8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Stock increases only through a posted goods receipt, approved positive adjustment, customer return, opening entry, or another explicitly authorized inventory-in document.</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RULE-005</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A purchase invoice creates or adjusts a supplier obligation and tax/accounting effect; it does not independently change inventory quantity.</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RULE-006</w:t>
            </w:r>
          </w:p>
        </w:tc>
        <w:tc>
          <w:tcPr>
            <w:tcW w:type="dxa" w:w="8010"/>
            <w:shd w:fill="FAFBFC"/>
            <w:vAlign w:val="center"/>
            <w:tcMar>
              <w:top w:w="80" w:type="dxa"/>
              <w:start w:w="120" w:type="dxa"/>
              <w:bottom w:w="80" w:type="dxa"/>
              <w:end w:w="120" w:type="dxa"/>
            </w:tcMar>
          </w:tcPr>
          <w:p>
            <w:pPr>
              <w:spacing w:after="0"/>
            </w:pPr>
            <w:r>
              <w:t>Stock decreases only through posted B2B delivery, transfer shipment, supplier return, approved negative adjustment, or another explicitly authorized inventory-out document.</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RULE-007</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Posted documents are corrected through linked reversal, return, credit/debit note, or adjustment; they are not silently edited or deleted.</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RULE-008</w:t>
            </w:r>
          </w:p>
        </w:tc>
        <w:tc>
          <w:tcPr>
            <w:tcW w:type="dxa" w:w="8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Every inventory movement and journal entry retains its source document, actor, scope, posting time, correlation identifier, and reversal chain.</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RULE-009</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Every posted journal balances in accounting currency and respects an open posting period.</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RULE-010</w:t>
            </w:r>
          </w:p>
        </w:tc>
        <w:tc>
          <w:tcPr>
            <w:tcW w:type="dxa" w:w="8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Transaction currency, exchange rate, rate source/date, base amount, precision, and rounding are preserved at posting time.</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RULE-011</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On-hand, reserved, available, expected, damaged, and in-transit quantities are distinct and cannot be double counted.</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RULE-012</w:t>
            </w:r>
          </w:p>
        </w:tc>
        <w:tc>
          <w:tcPr>
            <w:tcW w:type="dxa" w:w="801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An approval applies to the reviewed document version; material changes invalidate approval according to policy.</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RULE-013</w:t>
            </w:r>
          </w:p>
        </w:tc>
        <w:tc>
          <w:tcPr>
            <w:tcW w:type="dxa" w:w="8010"/>
            <w:vAlign w:val="center"/>
            <w:tcMar>
              <w:top w:w="80" w:type="dxa"/>
              <w:start w:w="120" w:type="dxa"/>
              <w:bottom w:w="80" w:type="dxa"/>
              <w:end w:w="120" w:type="dxa"/>
            </w:tcMar>
          </w:tcPr>
          <w:p>
            <w:pPr>
              <w:spacing w:after="0" w:line="252" w:lineRule="auto"/>
              <w:jc w:val="left"/>
            </w:pPr>
            <w:r>
              <w:rPr>
                <w:rFonts w:ascii="Calibri" w:hAnsi="Calibri"/>
                <w:color w:val="20242A"/>
                <w:sz w:val="18"/>
              </w:rPr>
              <w:t>Document numbering is unique within its configured tenant/company/document sequence and is never reused after posting.</w:t>
            </w:r>
          </w:p>
        </w:tc>
      </w:tr>
      <w:tr>
        <w:trPr>
          <w:cantSplit/>
        </w:trPr>
        <w:tc>
          <w:tcPr>
            <w:tcW w:type="dxa" w:w="1350"/>
            <w:shd w:fill="FAFBFC"/>
            <w:vAlign w:val="center"/>
            <w:tcMar>
              <w:top w:w="80" w:type="dxa"/>
              <w:start w:w="120" w:type="dxa"/>
              <w:bottom w:w="80" w:type="dxa"/>
              <w:end w:w="120" w:type="dxa"/>
            </w:tcMar>
          </w:tcPr>
          <w:p>
            <w:pPr>
              <w:spacing w:after="0" w:line="252" w:lineRule="auto"/>
              <w:jc w:val="left"/>
            </w:pPr>
            <w:r>
              <w:rPr>
                <w:rFonts w:ascii="Calibri" w:hAnsi="Calibri"/>
                <w:color w:val="20242A"/>
                <w:sz w:val="18"/>
              </w:rPr>
              <w:t>RULE-014</w:t>
            </w:r>
          </w:p>
        </w:tc>
        <w:tc>
          <w:tcPr>
            <w:tcW w:type="dxa" w:w="8010"/>
            <w:shd w:fill="FAFBFC"/>
            <w:vAlign w:val="center"/>
            <w:tcMar>
              <w:top w:w="80" w:type="dxa"/>
              <w:start w:w="120" w:type="dxa"/>
              <w:bottom w:w="80" w:type="dxa"/>
              <w:end w:w="120" w:type="dxa"/>
            </w:tcMar>
          </w:tcPr>
          <w:p>
            <w:pPr>
              <w:spacing w:after="0"/>
            </w:pPr>
            <w:r>
              <w:t>The same idempotency key and operation scope cannot create duplicate authoritative business effects.</w:t>
            </w:r>
          </w:p>
        </w:tc>
      </w:tr>
      <w:tr>
        <w:trPr>
          <w:cantSplit/>
        </w:trPr>
        <w:tc>
          <w:tcPr>
            <w:tcW w:type="dxa" w:w="1350"/>
            <w:vAlign w:val="center"/>
            <w:tcMar>
              <w:top w:w="80" w:type="dxa"/>
              <w:start w:w="120" w:type="dxa"/>
              <w:bottom w:w="80" w:type="dxa"/>
              <w:end w:w="120" w:type="dxa"/>
            </w:tcMar>
          </w:tcPr>
          <w:p>
            <w:pPr>
              <w:spacing w:after="0" w:line="252" w:lineRule="auto"/>
              <w:jc w:val="left"/>
            </w:pPr>
            <w:r>
              <w:rPr>
                <w:rFonts w:ascii="Calibri" w:hAnsi="Calibri"/>
                <w:color w:val="20242A"/>
                <w:sz w:val="18"/>
              </w:rPr>
              <w:t>RULE-015</w:t>
            </w:r>
          </w:p>
        </w:tc>
        <w:tc>
          <w:tcPr>
            <w:tcW w:type="dxa" w:w="8010"/>
            <w:vAlign w:val="center"/>
            <w:tcMar>
              <w:top w:w="80" w:type="dxa"/>
              <w:start w:w="120" w:type="dxa"/>
              <w:bottom w:w="80" w:type="dxa"/>
              <w:end w:w="120" w:type="dxa"/>
            </w:tcMar>
          </w:tcPr>
          <w:p>
            <w:pPr>
              <w:spacing w:after="0"/>
            </w:pPr>
            <w:r>
              <w:t>Supplier confirmation records external intent and expected delivery only; it does not increase stock, create a supplier liability, or replace a posted goods receipt or purchase invoice.</w:t>
            </w:r>
          </w:p>
        </w:tc>
      </w:tr>
      <w:tr>
        <w:trPr>
          <w:cantSplit/>
        </w:trPr>
        <w:tc>
          <w:tcPr>
            <w:tcW w:type="dxa" w:w="1350"/>
          </w:tcPr>
          <w:p>
            <w:pPr>
              <w:spacing w:after="0"/>
            </w:pPr>
            <w:r>
              <w:t>RULE-016</w:t>
            </w:r>
          </w:p>
        </w:tc>
        <w:tc>
          <w:tcPr>
            <w:tcW w:type="dxa" w:w="8010"/>
          </w:tcPr>
          <w:p>
            <w:pPr>
              <w:spacing w:after="0"/>
            </w:pPr>
            <w:r>
              <w:t>Each tenant-owned business record is scoped to a tenant and, where applicable, a legal entity, branch, and warehouse derived from authorized server-side context.</w:t>
            </w:r>
          </w:p>
        </w:tc>
      </w:tr>
      <w:tr>
        <w:trPr>
          <w:cantSplit/>
        </w:trPr>
        <w:tc>
          <w:tcPr>
            <w:tcW w:type="dxa" w:w="1350"/>
          </w:tcPr>
          <w:p>
            <w:pPr>
              <w:spacing w:after="0"/>
            </w:pPr>
            <w:r>
              <w:t>RULE-017</w:t>
            </w:r>
          </w:p>
        </w:tc>
        <w:tc>
          <w:tcPr>
            <w:tcW w:type="dxa" w:w="8010"/>
          </w:tcPr>
          <w:p>
            <w:pPr>
              <w:spacing w:after="0"/>
            </w:pPr>
            <w:r>
              <w:t>Release 1 inventory valuation uses moving weighted average; any correction to posted cost must use a controlled adjustment or reversal and preserve the original calculation evidence.</w:t>
            </w:r>
          </w:p>
        </w:tc>
      </w:tr>
      <w:tr>
        <w:trPr>
          <w:cantSplit/>
        </w:trPr>
        <w:tc>
          <w:tcPr>
            <w:tcW w:type="dxa" w:w="1350"/>
          </w:tcPr>
          <w:p>
            <w:pPr>
              <w:spacing w:after="0"/>
            </w:pPr>
            <w:r>
              <w:t>RULE-018</w:t>
            </w:r>
          </w:p>
        </w:tc>
        <w:tc>
          <w:tcPr>
            <w:tcW w:type="dxa" w:w="8010"/>
          </w:tcPr>
          <w:p>
            <w:pPr>
              <w:spacing w:after="0"/>
            </w:pPr>
            <w:r>
              <w:t>Release 1 sales are B2B document flows only. No retail POS transaction, cashier session, or store-device workflow may be implemented under the approved scope.</w:t>
            </w:r>
          </w:p>
        </w:tc>
      </w:tr>
    </w:tbl>
    <w:p>
      <w:pPr>
        <w:spacing w:before="80" w:after="0"/>
      </w:pPr>
    </w:p>
    <w:p>
      <w:pPr>
        <w:pStyle w:val="Heading1"/>
      </w:pPr>
      <w:r>
        <w:t>19. Data migration, reporting, and integration readiness</w:t>
      </w:r>
    </w:p>
    <w:p>
      <w:pPr>
        <w:pStyle w:val="Heading2"/>
      </w:pPr>
      <w:r>
        <w:t>19.1 Migration baseline</w:t>
      </w:r>
    </w:p>
    <w:p>
      <w:pPr>
        <w:pStyle w:val="ListBullet"/>
      </w:pPr>
      <w:r>
        <w:rPr>
          <w:rFonts w:ascii="Calibri" w:hAnsi="Calibri"/>
        </w:rPr>
        <w:t>Define source systems, data owners, extract date, cleansing responsibilities, mapping rules, rejected-row handling, and sign-off authority.</w:t>
      </w:r>
    </w:p>
    <w:p>
      <w:pPr>
        <w:pStyle w:val="ListBullet"/>
      </w:pPr>
      <w:r>
        <w:rPr>
          <w:rFonts w:ascii="Calibri" w:hAnsi="Calibri"/>
        </w:rPr>
        <w:t>Load configuration and master data before open documents, inventory opening quantities/costs, receivables, payables, cash/bank, and general-ledger openings.</w:t>
      </w:r>
    </w:p>
    <w:p>
      <w:pPr>
        <w:pStyle w:val="ListBullet"/>
      </w:pPr>
      <w:r>
        <w:rPr>
          <w:rFonts w:ascii="Calibri" w:hAnsi="Calibri"/>
        </w:rPr>
        <w:t>Provide preview and validation reports before commit; every run receives an immutable batch identifier and row-level result.</w:t>
      </w:r>
    </w:p>
    <w:p>
      <w:pPr>
        <w:pStyle w:val="ListBullet"/>
      </w:pPr>
      <w:r>
        <w:rPr>
          <w:rFonts w:ascii="Calibri" w:hAnsi="Calibri"/>
        </w:rPr>
        <w:t>Reconcile item quantities and valuation, customer and supplier balances, trial balance, cash/bank, tax balances, and document counts before cutover.</w:t>
      </w:r>
    </w:p>
    <w:p>
      <w:pPr>
        <w:pStyle w:val="ListBullet"/>
      </w:pPr>
      <w:r>
        <w:rPr>
          <w:rFonts w:ascii="Calibri" w:hAnsi="Calibri"/>
        </w:rPr>
        <w:t>Execute at least two representative dry runs and a timed production rehearsal with rollback and business-continuity plans.</w:t>
      </w:r>
    </w:p>
    <w:p>
      <w:pPr>
        <w:pStyle w:val="Heading2"/>
      </w:pPr>
      <w:r>
        <w:t>19.2 Minimum report catalogue for BRD validation</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700"/>
        <w:gridCol w:w="4920"/>
        <w:gridCol w:w="2740"/>
      </w:tblGrid>
      <w:tr>
        <w:trPr>
          <w:tblHeader w:val="true"/>
          <w:cantSplit/>
        </w:trPr>
        <w:tc>
          <w:tcPr>
            <w:tcW w:type="dxa" w:w="1700"/>
            <w:shd w:fill="F2F4F7"/>
            <w:vAlign w:val="center"/>
            <w:tcMar>
              <w:top w:w="80" w:type="dxa"/>
              <w:start w:w="120" w:type="dxa"/>
              <w:bottom w:w="80" w:type="dxa"/>
              <w:end w:w="120" w:type="dxa"/>
            </w:tcMar>
          </w:tcPr>
          <w:p>
            <w:pPr>
              <w:spacing w:after="0"/>
              <w:jc w:val="left"/>
            </w:pPr>
            <w:r>
              <w:rPr>
                <w:rFonts w:ascii="Calibri" w:hAnsi="Calibri"/>
                <w:b/>
                <w:color w:val="20242A"/>
                <w:sz w:val="18"/>
              </w:rPr>
              <w:t>Area</w:t>
            </w:r>
          </w:p>
        </w:tc>
        <w:tc>
          <w:tcPr>
            <w:tcW w:type="dxa" w:w="4920"/>
            <w:shd w:fill="F2F4F7"/>
            <w:vAlign w:val="center"/>
            <w:tcMar>
              <w:top w:w="80" w:type="dxa"/>
              <w:start w:w="120" w:type="dxa"/>
              <w:bottom w:w="80" w:type="dxa"/>
              <w:end w:w="120" w:type="dxa"/>
            </w:tcMar>
          </w:tcPr>
          <w:p>
            <w:pPr>
              <w:spacing w:after="0"/>
              <w:jc w:val="left"/>
            </w:pPr>
            <w:r>
              <w:rPr>
                <w:rFonts w:ascii="Calibri" w:hAnsi="Calibri"/>
                <w:b/>
                <w:color w:val="20242A"/>
                <w:sz w:val="18"/>
              </w:rPr>
              <w:t>Minimum reports</w:t>
            </w:r>
          </w:p>
        </w:tc>
        <w:tc>
          <w:tcPr>
            <w:tcW w:type="dxa" w:w="2740"/>
            <w:shd w:fill="F2F4F7"/>
            <w:vAlign w:val="center"/>
            <w:tcMar>
              <w:top w:w="80" w:type="dxa"/>
              <w:start w:w="120" w:type="dxa"/>
              <w:bottom w:w="80" w:type="dxa"/>
              <w:end w:w="120" w:type="dxa"/>
            </w:tcMar>
          </w:tcPr>
          <w:p>
            <w:pPr>
              <w:spacing w:after="0"/>
              <w:jc w:val="left"/>
            </w:pPr>
            <w:r>
              <w:rPr>
                <w:rFonts w:ascii="Calibri" w:hAnsi="Calibri"/>
                <w:b/>
                <w:color w:val="20242A"/>
                <w:sz w:val="18"/>
              </w:rPr>
              <w:t>Required reconciliation</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Executive</w:t>
            </w:r>
          </w:p>
        </w:tc>
        <w:tc>
          <w:tcPr>
            <w:tcW w:type="dxa" w:w="4920"/>
            <w:vAlign w:val="center"/>
            <w:tcMar>
              <w:top w:w="80" w:type="dxa"/>
              <w:start w:w="120" w:type="dxa"/>
              <w:bottom w:w="80" w:type="dxa"/>
              <w:end w:w="120" w:type="dxa"/>
            </w:tcMar>
          </w:tcPr>
          <w:p>
            <w:pPr>
              <w:spacing w:after="0" w:line="252" w:lineRule="auto"/>
              <w:jc w:val="left"/>
            </w:pPr>
            <w:r>
              <w:rPr>
                <w:rFonts w:ascii="Calibri" w:hAnsi="Calibri"/>
                <w:color w:val="20242A"/>
                <w:sz w:val="17"/>
              </w:rPr>
              <w:t>Sales, gross margin, purchases, stock value, cash, receivables/payables, exceptions</w:t>
            </w:r>
          </w:p>
        </w:tc>
        <w:tc>
          <w:tcPr>
            <w:tcW w:type="dxa" w:w="2740"/>
            <w:vAlign w:val="center"/>
            <w:tcMar>
              <w:top w:w="80" w:type="dxa"/>
              <w:start w:w="120" w:type="dxa"/>
              <w:bottom w:w="80" w:type="dxa"/>
              <w:end w:w="120" w:type="dxa"/>
            </w:tcMar>
          </w:tcPr>
          <w:p>
            <w:pPr>
              <w:spacing w:after="0" w:line="252" w:lineRule="auto"/>
              <w:jc w:val="left"/>
            </w:pPr>
            <w:r>
              <w:rPr>
                <w:rFonts w:ascii="Calibri" w:hAnsi="Calibri"/>
                <w:color w:val="20242A"/>
                <w:sz w:val="17"/>
              </w:rPr>
              <w:t>Drill to authorized transactions and show freshness</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Procurement</w:t>
            </w:r>
          </w:p>
        </w:tc>
        <w:tc>
          <w:tcPr>
            <w:tcW w:type="dxa" w:w="492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Open orders, overdue delivery, receipts, match exceptions, supplier spend/performance</w:t>
            </w:r>
          </w:p>
        </w:tc>
        <w:tc>
          <w:tcPr>
            <w:tcW w:type="dxa" w:w="274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Order, receipt, invoice, and payment chain</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Inventory</w:t>
            </w:r>
          </w:p>
        </w:tc>
        <w:tc>
          <w:tcPr>
            <w:tcW w:type="dxa" w:w="4920"/>
            <w:vAlign w:val="center"/>
            <w:tcMar>
              <w:top w:w="80" w:type="dxa"/>
              <w:start w:w="120" w:type="dxa"/>
              <w:bottom w:w="80" w:type="dxa"/>
              <w:end w:w="120" w:type="dxa"/>
            </w:tcMar>
          </w:tcPr>
          <w:p>
            <w:pPr>
              <w:spacing w:after="0" w:line="252" w:lineRule="auto"/>
              <w:jc w:val="left"/>
            </w:pPr>
            <w:r>
              <w:rPr>
                <w:rFonts w:ascii="Calibri" w:hAnsi="Calibri"/>
                <w:color w:val="20242A"/>
                <w:sz w:val="17"/>
              </w:rPr>
              <w:t>Stock balance/ledger, availability, aging/expiry, valuation, movement, count variance</w:t>
            </w:r>
          </w:p>
        </w:tc>
        <w:tc>
          <w:tcPr>
            <w:tcW w:type="dxa" w:w="2740"/>
            <w:vAlign w:val="center"/>
            <w:tcMar>
              <w:top w:w="80" w:type="dxa"/>
              <w:start w:w="120" w:type="dxa"/>
              <w:bottom w:w="80" w:type="dxa"/>
              <w:end w:w="120" w:type="dxa"/>
            </w:tcMar>
          </w:tcPr>
          <w:p>
            <w:pPr>
              <w:spacing w:after="0" w:line="252" w:lineRule="auto"/>
              <w:jc w:val="left"/>
            </w:pPr>
            <w:r>
              <w:rPr>
                <w:rFonts w:ascii="Calibri" w:hAnsi="Calibri"/>
                <w:color w:val="20242A"/>
                <w:sz w:val="17"/>
              </w:rPr>
              <w:t>Balance projection to immutable movements</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Sales</w:t>
            </w:r>
          </w:p>
        </w:tc>
        <w:tc>
          <w:tcPr>
            <w:tcW w:type="dxa" w:w="492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Quotes/orders, fulfillment, invoices, returns, receipts, credit exposure, product/customer sales</w:t>
            </w:r>
          </w:p>
        </w:tc>
        <w:tc>
          <w:tcPr>
            <w:tcW w:type="dxa" w:w="274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Order-delivery-invoice-receipt chain</w:t>
            </w:r>
          </w:p>
        </w:tc>
      </w:tr>
      <w:tr>
        <w:trPr>
          <w:cantSplit/>
        </w:trPr>
        <w:tc>
          <w:tcPr>
            <w:tcW w:type="dxa" w:w="1700"/>
            <w:vAlign w:val="center"/>
            <w:tcMar>
              <w:top w:w="80" w:type="dxa"/>
              <w:start w:w="120" w:type="dxa"/>
              <w:bottom w:w="80" w:type="dxa"/>
              <w:end w:w="120" w:type="dxa"/>
            </w:tcMar>
          </w:tcPr>
          <w:p>
            <w:pPr>
              <w:spacing w:after="0" w:line="252" w:lineRule="auto"/>
              <w:jc w:val="left"/>
            </w:pPr>
            <w:r>
              <w:rPr>
                <w:rFonts w:ascii="Calibri" w:hAnsi="Calibri"/>
                <w:color w:val="20242A"/>
                <w:sz w:val="17"/>
              </w:rPr>
              <w:t>Finance</w:t>
            </w:r>
          </w:p>
        </w:tc>
        <w:tc>
          <w:tcPr>
            <w:tcW w:type="dxa" w:w="4920"/>
            <w:vAlign w:val="center"/>
            <w:tcMar>
              <w:top w:w="80" w:type="dxa"/>
              <w:start w:w="120" w:type="dxa"/>
              <w:bottom w:w="80" w:type="dxa"/>
              <w:end w:w="120" w:type="dxa"/>
            </w:tcMar>
          </w:tcPr>
          <w:p>
            <w:pPr>
              <w:spacing w:after="0" w:line="252" w:lineRule="auto"/>
              <w:jc w:val="left"/>
            </w:pPr>
            <w:r>
              <w:rPr>
                <w:rFonts w:ascii="Calibri" w:hAnsi="Calibri"/>
                <w:color w:val="20242A"/>
                <w:sz w:val="17"/>
              </w:rPr>
              <w:t>Trial balance, GL, P&amp;L, balance sheet, cash movement, AP/AR aging, tax summary, bank reconciliation</w:t>
            </w:r>
          </w:p>
        </w:tc>
        <w:tc>
          <w:tcPr>
            <w:tcW w:type="dxa" w:w="2740"/>
            <w:vAlign w:val="center"/>
            <w:tcMar>
              <w:top w:w="80" w:type="dxa"/>
              <w:start w:w="120" w:type="dxa"/>
              <w:bottom w:w="80" w:type="dxa"/>
              <w:end w:w="120" w:type="dxa"/>
            </w:tcMar>
          </w:tcPr>
          <w:p>
            <w:pPr>
              <w:spacing w:after="0" w:line="252" w:lineRule="auto"/>
              <w:jc w:val="left"/>
            </w:pPr>
            <w:r>
              <w:rPr>
                <w:rFonts w:ascii="Calibri" w:hAnsi="Calibri"/>
                <w:color w:val="20242A"/>
                <w:sz w:val="17"/>
              </w:rPr>
              <w:t>Subledgers and source documents to GL</w:t>
            </w:r>
          </w:p>
        </w:tc>
      </w:tr>
      <w:tr>
        <w:trPr>
          <w:cantSplit/>
        </w:trPr>
        <w:tc>
          <w:tcPr>
            <w:tcW w:type="dxa" w:w="17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SaaS/Admin</w:t>
            </w:r>
          </w:p>
        </w:tc>
        <w:tc>
          <w:tcPr>
            <w:tcW w:type="dxa" w:w="492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Tenant status, entitlement usage, privileged access, audit activity, integration failures</w:t>
            </w:r>
          </w:p>
        </w:tc>
        <w:tc>
          <w:tcPr>
            <w:tcW w:type="dxa" w:w="274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Platform events, jobs, and support records</w:t>
            </w:r>
          </w:p>
        </w:tc>
      </w:tr>
    </w:tbl>
    <w:p>
      <w:pPr>
        <w:spacing w:before="80" w:after="0"/>
      </w:pPr>
    </w:p>
    <w:p>
      <w:pPr>
        <w:pStyle w:val="Heading2"/>
      </w:pPr>
      <w:r>
        <w:t>19.3 Integration contract baseline</w:t>
      </w:r>
    </w:p>
    <w:p>
      <w:pPr>
        <w:pStyle w:val="ListBullet"/>
      </w:pPr>
      <w:r>
        <w:rPr>
          <w:rFonts w:ascii="Calibri" w:hAnsi="Calibri"/>
        </w:rPr>
        <w:t>Every external command is authenticated, tenant-scoped, authorized, validated, versioned, rate-limited, observable, and idempotent where retries are possible.</w:t>
      </w:r>
    </w:p>
    <w:p>
      <w:pPr>
        <w:pStyle w:val="ListBullet"/>
      </w:pPr>
      <w:r>
        <w:rPr>
          <w:rFonts w:ascii="Calibri" w:hAnsi="Calibri"/>
        </w:rPr>
        <w:t>Webhooks use signed delivery, sequence/correlation identifiers, retry with backoff, duplicate tolerance, dead-letter handling, and replay controls.</w:t>
      </w:r>
    </w:p>
    <w:p>
      <w:pPr>
        <w:pStyle w:val="ListBullet"/>
      </w:pPr>
      <w:r>
        <w:rPr>
          <w:rFonts w:ascii="Calibri" w:hAnsi="Calibri"/>
        </w:rPr>
        <w:t>Integration failures never silently lose inventory, tax, invoice, payment, or accounting effects; recovery state is visible to authorized operators.</w:t>
      </w:r>
    </w:p>
    <w:p>
      <w:pPr>
        <w:pStyle w:val="ListBullet"/>
      </w:pPr>
      <w:r>
        <w:rPr>
          <w:rFonts w:ascii="Calibri" w:hAnsi="Calibri"/>
        </w:rPr>
        <w:t>Credentials are stored in approved secret management, rotated, scoped by environment/tenant where required, and excluded from logs and exports.</w:t>
      </w:r>
    </w:p>
    <w:p>
      <w:pPr>
        <w:pStyle w:val="Heading1"/>
      </w:pPr>
      <w:r>
        <w:t>20. BRD initiation package</w:t>
      </w:r>
    </w:p>
    <w:p>
      <w:pPr>
        <w:pStyle w:val="Heading2"/>
      </w:pPr>
      <w:r>
        <w:t>20.1 Required BRD workstreams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850"/>
        <w:gridCol w:w="5210"/>
        <w:gridCol w:w="2300"/>
      </w:tblGrid>
      <w:tr>
        <w:trPr>
          <w:tblHeader w:val="true"/>
          <w:cantSplit/>
        </w:trPr>
        <w:tc>
          <w:tcPr>
            <w:tcW w:type="dxa" w:w="1850"/>
            <w:shd w:fill="F2F4F7"/>
            <w:vAlign w:val="center"/>
            <w:tcMar>
              <w:top w:w="80" w:type="dxa"/>
              <w:start w:w="120" w:type="dxa"/>
              <w:bottom w:w="80" w:type="dxa"/>
              <w:end w:w="120" w:type="dxa"/>
            </w:tcMar>
          </w:tcPr>
          <w:p>
            <w:pPr>
              <w:spacing w:after="0"/>
              <w:jc w:val="left"/>
            </w:pPr>
            <w:r>
              <w:rPr>
                <w:rFonts w:ascii="Calibri" w:hAnsi="Calibri"/>
                <w:b/>
                <w:color w:val="20242A"/>
                <w:sz w:val="18"/>
              </w:rPr>
              <w:t>Workstream</w:t>
            </w:r>
          </w:p>
        </w:tc>
        <w:tc>
          <w:tcPr>
            <w:tcW w:type="dxa" w:w="5210"/>
            <w:shd w:fill="F2F4F7"/>
            <w:vAlign w:val="center"/>
            <w:tcMar>
              <w:top w:w="80" w:type="dxa"/>
              <w:start w:w="120" w:type="dxa"/>
              <w:bottom w:w="80" w:type="dxa"/>
              <w:end w:w="120" w:type="dxa"/>
            </w:tcMar>
          </w:tcPr>
          <w:p>
            <w:pPr>
              <w:spacing w:after="0"/>
              <w:jc w:val="left"/>
            </w:pPr>
            <w:r>
              <w:rPr>
                <w:rFonts w:ascii="Calibri" w:hAnsi="Calibri"/>
                <w:b/>
                <w:color w:val="20242A"/>
                <w:sz w:val="18"/>
              </w:rPr>
              <w:t>Required BRD outputs</w:t>
            </w:r>
          </w:p>
        </w:tc>
        <w:tc>
          <w:tcPr>
            <w:tcW w:type="dxa" w:w="2300"/>
            <w:shd w:fill="F2F4F7"/>
            <w:vAlign w:val="center"/>
            <w:tcMar>
              <w:top w:w="80" w:type="dxa"/>
              <w:start w:w="120" w:type="dxa"/>
              <w:bottom w:w="80" w:type="dxa"/>
              <w:end w:w="120" w:type="dxa"/>
            </w:tcMar>
          </w:tcPr>
          <w:p>
            <w:pPr>
              <w:spacing w:after="0"/>
              <w:jc w:val="left"/>
            </w:pPr>
            <w:r>
              <w:rPr>
                <w:rFonts w:ascii="Calibri" w:hAnsi="Calibri"/>
                <w:b/>
                <w:color w:val="20242A"/>
                <w:sz w:val="18"/>
              </w:rPr>
              <w:t>Approval roles</w:t>
            </w:r>
          </w:p>
        </w:tc>
      </w:tr>
      <w:tr>
        <w:trPr>
          <w:cantSplit/>
        </w:trPr>
        <w:tc>
          <w:tcPr>
            <w:tcW w:type="dxa" w:w="1850"/>
            <w:vAlign w:val="center"/>
            <w:tcMar>
              <w:top w:w="80" w:type="dxa"/>
              <w:start w:w="120" w:type="dxa"/>
              <w:bottom w:w="80" w:type="dxa"/>
              <w:end w:w="120" w:type="dxa"/>
            </w:tcMar>
          </w:tcPr>
          <w:p>
            <w:pPr>
              <w:spacing w:after="0" w:line="252" w:lineRule="auto"/>
              <w:jc w:val="left"/>
            </w:pPr>
            <w:r>
              <w:rPr>
                <w:rFonts w:ascii="Calibri" w:hAnsi="Calibri"/>
                <w:color w:val="20242A"/>
                <w:sz w:val="17"/>
              </w:rPr>
              <w:t>Business case and scope</w:t>
            </w:r>
          </w:p>
        </w:tc>
        <w:tc>
          <w:tcPr>
            <w:tcW w:type="dxa" w:w="5210"/>
            <w:vAlign w:val="center"/>
            <w:tcMar>
              <w:top w:w="80" w:type="dxa"/>
              <w:start w:w="120" w:type="dxa"/>
              <w:bottom w:w="80" w:type="dxa"/>
              <w:end w:w="120" w:type="dxa"/>
            </w:tcMar>
          </w:tcPr>
          <w:p>
            <w:pPr>
              <w:spacing w:after="0" w:line="252" w:lineRule="auto"/>
              <w:jc w:val="left"/>
            </w:pPr>
            <w:r>
              <w:rPr>
                <w:rFonts w:ascii="Calibri" w:hAnsi="Calibri"/>
                <w:color w:val="20242A"/>
                <w:sz w:val="17"/>
              </w:rPr>
              <w:t>Baseline volumes, costs, benefits, KPIs, assumptions, exclusions, dependency map</w:t>
            </w:r>
          </w:p>
        </w:tc>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Sponsor, product owner, finance</w:t>
            </w:r>
          </w:p>
        </w:tc>
      </w:tr>
      <w:tr>
        <w:trPr>
          <w:cantSplit/>
        </w:trPr>
        <w:tc>
          <w:tcPr>
            <w:tcW w:type="dxa" w:w="18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Processes</w:t>
            </w:r>
          </w:p>
        </w:tc>
        <w:tc>
          <w:tcPr>
            <w:tcW w:type="dxa" w:w="521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Current/future maps, actors, triggers, states, exceptions, SLAs, handoffs</w:t>
            </w:r>
          </w:p>
        </w:tc>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Process owner, operations, BA</w:t>
            </w:r>
          </w:p>
        </w:tc>
      </w:tr>
      <w:tr>
        <w:trPr>
          <w:cantSplit/>
        </w:trPr>
        <w:tc>
          <w:tcPr>
            <w:tcW w:type="dxa" w:w="1850"/>
            <w:vAlign w:val="center"/>
            <w:tcMar>
              <w:top w:w="80" w:type="dxa"/>
              <w:start w:w="120" w:type="dxa"/>
              <w:bottom w:w="80" w:type="dxa"/>
              <w:end w:w="120" w:type="dxa"/>
            </w:tcMar>
          </w:tcPr>
          <w:p>
            <w:pPr>
              <w:spacing w:after="0" w:line="252" w:lineRule="auto"/>
              <w:jc w:val="left"/>
            </w:pPr>
            <w:r>
              <w:rPr>
                <w:rFonts w:ascii="Calibri" w:hAnsi="Calibri"/>
                <w:color w:val="20242A"/>
                <w:sz w:val="17"/>
              </w:rPr>
              <w:t>Rules and controls</w:t>
            </w:r>
          </w:p>
        </w:tc>
        <w:tc>
          <w:tcPr>
            <w:tcW w:type="dxa" w:w="5210"/>
            <w:vAlign w:val="center"/>
            <w:tcMar>
              <w:top w:w="80" w:type="dxa"/>
              <w:start w:w="120" w:type="dxa"/>
              <w:bottom w:w="80" w:type="dxa"/>
              <w:end w:w="120" w:type="dxa"/>
            </w:tcMar>
          </w:tcPr>
          <w:p>
            <w:pPr>
              <w:spacing w:after="0" w:line="252" w:lineRule="auto"/>
              <w:jc w:val="left"/>
            </w:pPr>
            <w:r>
              <w:rPr>
                <w:rFonts w:ascii="Calibri" w:hAnsi="Calibri"/>
                <w:color w:val="20242A"/>
                <w:sz w:val="17"/>
              </w:rPr>
              <w:t>Rule catalogue, approval matrix, tolerances, SoD, reversals, evidence</w:t>
            </w:r>
          </w:p>
        </w:tc>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Finance/control owner, process owner</w:t>
            </w:r>
          </w:p>
        </w:tc>
      </w:tr>
      <w:tr>
        <w:trPr>
          <w:cantSplit/>
        </w:trPr>
        <w:tc>
          <w:tcPr>
            <w:tcW w:type="dxa" w:w="18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Data</w:t>
            </w:r>
          </w:p>
        </w:tc>
        <w:tc>
          <w:tcPr>
            <w:tcW w:type="dxa" w:w="521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Glossary, ownership, entities, fields, validation, retention, migration, quality</w:t>
            </w:r>
          </w:p>
        </w:tc>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Data owners, finance, privacy</w:t>
            </w:r>
          </w:p>
        </w:tc>
      </w:tr>
      <w:tr>
        <w:trPr>
          <w:cantSplit/>
        </w:trPr>
        <w:tc>
          <w:tcPr>
            <w:tcW w:type="dxa" w:w="1850"/>
            <w:vAlign w:val="center"/>
            <w:tcMar>
              <w:top w:w="80" w:type="dxa"/>
              <w:start w:w="120" w:type="dxa"/>
              <w:bottom w:w="80" w:type="dxa"/>
              <w:end w:w="120" w:type="dxa"/>
            </w:tcMar>
          </w:tcPr>
          <w:p>
            <w:pPr>
              <w:spacing w:after="0" w:line="252" w:lineRule="auto"/>
              <w:jc w:val="left"/>
            </w:pPr>
            <w:r>
              <w:rPr>
                <w:rFonts w:ascii="Calibri" w:hAnsi="Calibri"/>
                <w:color w:val="20242A"/>
                <w:sz w:val="17"/>
              </w:rPr>
              <w:t>Roles and access</w:t>
            </w:r>
          </w:p>
        </w:tc>
        <w:tc>
          <w:tcPr>
            <w:tcW w:type="dxa" w:w="5210"/>
            <w:vAlign w:val="center"/>
            <w:tcMar>
              <w:top w:w="80" w:type="dxa"/>
              <w:start w:w="120" w:type="dxa"/>
              <w:bottom w:w="80" w:type="dxa"/>
              <w:end w:w="120" w:type="dxa"/>
            </w:tcMar>
          </w:tcPr>
          <w:p>
            <w:pPr>
              <w:spacing w:after="0" w:line="252" w:lineRule="auto"/>
              <w:jc w:val="left"/>
            </w:pPr>
            <w:r>
              <w:rPr>
                <w:rFonts w:ascii="Calibri" w:hAnsi="Calibri"/>
                <w:color w:val="20242A"/>
                <w:sz w:val="17"/>
              </w:rPr>
              <w:t>Persona-role-permission-scope matrix and privileged-access model</w:t>
            </w:r>
          </w:p>
        </w:tc>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Business owners, security</w:t>
            </w:r>
          </w:p>
        </w:tc>
      </w:tr>
      <w:tr>
        <w:trPr>
          <w:cantSplit/>
        </w:trPr>
        <w:tc>
          <w:tcPr>
            <w:tcW w:type="dxa" w:w="18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Reports and KPIs</w:t>
            </w:r>
          </w:p>
        </w:tc>
        <w:tc>
          <w:tcPr>
            <w:tcW w:type="dxa" w:w="521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Report catalogue, definitions, filters, frequency, source, reconciliation</w:t>
            </w:r>
          </w:p>
        </w:tc>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Business owner, finance</w:t>
            </w:r>
          </w:p>
        </w:tc>
      </w:tr>
      <w:tr>
        <w:trPr>
          <w:cantSplit/>
        </w:trPr>
        <w:tc>
          <w:tcPr>
            <w:tcW w:type="dxa" w:w="1850"/>
            <w:vAlign w:val="center"/>
            <w:tcMar>
              <w:top w:w="80" w:type="dxa"/>
              <w:start w:w="120" w:type="dxa"/>
              <w:bottom w:w="80" w:type="dxa"/>
              <w:end w:w="120" w:type="dxa"/>
            </w:tcMar>
          </w:tcPr>
          <w:p>
            <w:pPr>
              <w:spacing w:after="0" w:line="252" w:lineRule="auto"/>
              <w:jc w:val="left"/>
            </w:pPr>
            <w:r>
              <w:rPr>
                <w:rFonts w:ascii="Calibri" w:hAnsi="Calibri"/>
                <w:color w:val="20242A"/>
                <w:sz w:val="17"/>
              </w:rPr>
              <w:t>Integrations</w:t>
            </w:r>
          </w:p>
        </w:tc>
        <w:tc>
          <w:tcPr>
            <w:tcW w:type="dxa" w:w="5210"/>
            <w:vAlign w:val="center"/>
            <w:tcMar>
              <w:top w:w="80" w:type="dxa"/>
              <w:start w:w="120" w:type="dxa"/>
              <w:bottom w:w="80" w:type="dxa"/>
              <w:end w:w="120" w:type="dxa"/>
            </w:tcMar>
          </w:tcPr>
          <w:p>
            <w:pPr>
              <w:spacing w:after="0" w:line="252" w:lineRule="auto"/>
              <w:jc w:val="left"/>
            </w:pPr>
            <w:r>
              <w:rPr>
                <w:rFonts w:ascii="Calibri" w:hAnsi="Calibri"/>
                <w:color w:val="20242A"/>
                <w:sz w:val="17"/>
              </w:rPr>
              <w:t>System context, contracts, ownership, error/retry, reconciliation, environments</w:t>
            </w:r>
          </w:p>
        </w:tc>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Architecture, partner owners</w:t>
            </w:r>
          </w:p>
        </w:tc>
      </w:tr>
      <w:tr>
        <w:trPr>
          <w:cantSplit/>
        </w:trPr>
        <w:tc>
          <w:tcPr>
            <w:tcW w:type="dxa" w:w="18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Compliance</w:t>
            </w:r>
          </w:p>
        </w:tc>
        <w:tc>
          <w:tcPr>
            <w:tcW w:type="dxa" w:w="521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Saudi VAT/e-invoice, privacy, records, retention, residency, audit evidence</w:t>
            </w:r>
          </w:p>
        </w:tc>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Compliance/legal, finance, security</w:t>
            </w:r>
          </w:p>
        </w:tc>
      </w:tr>
      <w:tr>
        <w:trPr>
          <w:cantSplit/>
        </w:trPr>
        <w:tc>
          <w:tcPr>
            <w:tcW w:type="dxa" w:w="1850"/>
            <w:vAlign w:val="center"/>
            <w:tcMar>
              <w:top w:w="80" w:type="dxa"/>
              <w:start w:w="120" w:type="dxa"/>
              <w:bottom w:w="80" w:type="dxa"/>
              <w:end w:w="120" w:type="dxa"/>
            </w:tcMar>
          </w:tcPr>
          <w:p>
            <w:pPr>
              <w:spacing w:after="0" w:line="252" w:lineRule="auto"/>
              <w:jc w:val="left"/>
            </w:pPr>
            <w:r>
              <w:rPr>
                <w:rFonts w:ascii="Calibri" w:hAnsi="Calibri"/>
                <w:color w:val="20242A"/>
                <w:sz w:val="17"/>
              </w:rPr>
              <w:t>Quality and operations</w:t>
            </w:r>
          </w:p>
        </w:tc>
        <w:tc>
          <w:tcPr>
            <w:tcW w:type="dxa" w:w="5210"/>
            <w:vAlign w:val="center"/>
            <w:tcMar>
              <w:top w:w="80" w:type="dxa"/>
              <w:start w:w="120" w:type="dxa"/>
              <w:bottom w:w="80" w:type="dxa"/>
              <w:end w:w="120" w:type="dxa"/>
            </w:tcMar>
          </w:tcPr>
          <w:p>
            <w:pPr>
              <w:spacing w:after="0" w:line="252" w:lineRule="auto"/>
              <w:jc w:val="left"/>
            </w:pPr>
            <w:r>
              <w:rPr>
                <w:rFonts w:ascii="Calibri" w:hAnsi="Calibri"/>
                <w:color w:val="20242A"/>
                <w:sz w:val="17"/>
              </w:rPr>
              <w:t>Volumes, SLOs, recovery, monitoring, support, incident and continuity model</w:t>
            </w:r>
          </w:p>
        </w:tc>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Engineering, operations, sponsor</w:t>
            </w:r>
          </w:p>
        </w:tc>
      </w:tr>
      <w:tr>
        <w:trPr>
          <w:cantSplit/>
        </w:trPr>
        <w:tc>
          <w:tcPr>
            <w:tcW w:type="dxa" w:w="185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Adoption and rollout</w:t>
            </w:r>
          </w:p>
        </w:tc>
        <w:tc>
          <w:tcPr>
            <w:tcW w:type="dxa" w:w="521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Tenant onboarding, training, cutover, support, communications, success measures</w:t>
            </w:r>
          </w:p>
        </w:tc>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Implementation, customer owner</w:t>
            </w:r>
          </w:p>
        </w:tc>
      </w:tr>
    </w:tbl>
    <w:p>
      <w:pPr>
        <w:spacing w:before="80" w:after="0"/>
      </w:pPr>
    </w:p>
    <w:p>
      <w:pPr>
        <w:pStyle w:val="Heading2"/>
      </w:pPr>
      <w:r>
        <w:t>20.2 BRD workshop sequence</w:t>
      </w:r>
    </w:p>
    <w:p>
      <w:pPr>
        <w:pStyle w:val="ListNumber"/>
      </w:pPr>
      <w:r>
        <w:rPr>
          <w:rFonts w:ascii="Calibri" w:hAnsi="Calibri"/>
        </w:rPr>
        <w:t>Confirm sponsor, decision rights, launch objectives, target operating model, success metrics, and non-goals.</w:t>
      </w:r>
    </w:p>
    <w:p>
      <w:pPr>
        <w:pStyle w:val="ListNumber"/>
      </w:pPr>
      <w:r>
        <w:rPr>
          <w:rFonts w:ascii="Calibri" w:hAnsi="Calibri"/>
        </w:rPr>
        <w:t>Validate Wafra's current processes and pain points while separating tenant-specific preferences from reusable product requirements.</w:t>
      </w:r>
    </w:p>
    <w:p>
      <w:pPr>
        <w:pStyle w:val="ListNumber"/>
      </w:pPr>
      <w:r>
        <w:t>Run module workshops in dependency order: SaaS/tenant operations, organization and master data, procurement, inventory, B2B sales, finance, reports, administration, Saudi country pack, integrations, migration, and rollout.</w:t>
      </w:r>
    </w:p>
    <w:p>
      <w:pPr>
        <w:pStyle w:val="ListNumber"/>
      </w:pPr>
      <w:r>
        <w:rPr>
          <w:rFonts w:ascii="Calibri" w:hAnsi="Calibri"/>
        </w:rPr>
        <w:t>For each process, capture happy path, variations, exceptions, approvals, states, business rules, data, documents, accounting impact, roles, reports, and acceptance scenarios.</w:t>
      </w:r>
    </w:p>
    <w:p>
      <w:pPr>
        <w:pStyle w:val="ListNumber"/>
      </w:pPr>
      <w:r>
        <w:rPr>
          <w:rFonts w:ascii="Calibri" w:hAnsi="Calibri"/>
        </w:rPr>
        <w:t>Resolve cross-module decisions through the decision log; do not duplicate contradictory rules in module documents.</w:t>
      </w:r>
    </w:p>
    <w:p>
      <w:pPr>
        <w:pStyle w:val="ListNumber"/>
      </w:pPr>
      <w:r>
        <w:rPr>
          <w:rFonts w:ascii="Calibri" w:hAnsi="Calibri"/>
        </w:rPr>
        <w:t>Baseline the BRD only after traceability, process-owner approval, finance/control review, architecture feasibility, and testable acceptance evidence are complete.</w:t>
      </w:r>
    </w:p>
    <w:p>
      <w:pPr>
        <w:pStyle w:val="Heading2"/>
      </w:pPr>
      <w:r>
        <w:t>20.3 BRD traceability record</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300"/>
        <w:gridCol w:w="7060"/>
      </w:tblGrid>
      <w:tr>
        <w:trPr>
          <w:tblHeader w:val="true"/>
          <w:cantSplit/>
        </w:trPr>
        <w:tc>
          <w:tcPr>
            <w:tcW w:type="dxa" w:w="2300"/>
            <w:shd w:fill="F2F4F7"/>
            <w:vAlign w:val="center"/>
            <w:tcMar>
              <w:top w:w="80" w:type="dxa"/>
              <w:start w:w="120" w:type="dxa"/>
              <w:bottom w:w="80" w:type="dxa"/>
              <w:end w:w="120" w:type="dxa"/>
            </w:tcMar>
          </w:tcPr>
          <w:p>
            <w:pPr>
              <w:spacing w:after="0"/>
              <w:jc w:val="left"/>
            </w:pPr>
            <w:r>
              <w:rPr>
                <w:rFonts w:ascii="Calibri" w:hAnsi="Calibri"/>
                <w:b/>
                <w:color w:val="20242A"/>
                <w:sz w:val="18"/>
              </w:rPr>
              <w:t>Field</w:t>
            </w:r>
          </w:p>
        </w:tc>
        <w:tc>
          <w:tcPr>
            <w:tcW w:type="dxa" w:w="7060"/>
            <w:shd w:fill="F2F4F7"/>
            <w:vAlign w:val="center"/>
            <w:tcMar>
              <w:top w:w="80" w:type="dxa"/>
              <w:start w:w="120" w:type="dxa"/>
              <w:bottom w:w="80" w:type="dxa"/>
              <w:end w:w="120" w:type="dxa"/>
            </w:tcMar>
          </w:tcPr>
          <w:p>
            <w:pPr>
              <w:spacing w:after="0"/>
              <w:jc w:val="left"/>
            </w:pPr>
            <w:r>
              <w:rPr>
                <w:rFonts w:ascii="Calibri" w:hAnsi="Calibri"/>
                <w:b/>
                <w:color w:val="20242A"/>
                <w:sz w:val="18"/>
              </w:rPr>
              <w:t>Required content</w:t>
            </w:r>
          </w:p>
        </w:tc>
      </w:tr>
      <w:tr>
        <w:trPr>
          <w:cantSplit/>
        </w:trPr>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Requirement ID</w:t>
            </w:r>
          </w:p>
        </w:tc>
        <w:tc>
          <w:tcPr>
            <w:tcW w:type="dxa" w:w="7060"/>
            <w:vAlign w:val="center"/>
            <w:tcMar>
              <w:top w:w="80" w:type="dxa"/>
              <w:start w:w="120" w:type="dxa"/>
              <w:bottom w:w="80" w:type="dxa"/>
              <w:end w:w="120" w:type="dxa"/>
            </w:tcMar>
          </w:tcPr>
          <w:p>
            <w:pPr>
              <w:spacing w:after="0" w:line="252" w:lineRule="auto"/>
              <w:jc w:val="left"/>
            </w:pPr>
            <w:r>
              <w:rPr>
                <w:rFonts w:ascii="Calibri" w:hAnsi="Calibri"/>
                <w:color w:val="20242A"/>
                <w:sz w:val="17"/>
              </w:rPr>
              <w:t>Stable BRD identifier linked to one or more PRD BR/PLT/PROC/INV/SAL/FIN/KSA identifiers</w:t>
            </w:r>
          </w:p>
        </w:tc>
      </w:tr>
      <w:tr>
        <w:trPr>
          <w:cantSplit/>
        </w:trPr>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Statement</w:t>
            </w:r>
          </w:p>
        </w:tc>
        <w:tc>
          <w:tcPr>
            <w:tcW w:type="dxa" w:w="70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One testable business need using clear shall/must language</w:t>
            </w:r>
          </w:p>
        </w:tc>
      </w:tr>
      <w:tr>
        <w:trPr>
          <w:cantSplit/>
        </w:trPr>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Rationale and value</w:t>
            </w:r>
          </w:p>
        </w:tc>
        <w:tc>
          <w:tcPr>
            <w:tcW w:type="dxa" w:w="7060"/>
            <w:vAlign w:val="center"/>
            <w:tcMar>
              <w:top w:w="80" w:type="dxa"/>
              <w:start w:w="120" w:type="dxa"/>
              <w:bottom w:w="80" w:type="dxa"/>
              <w:end w:w="120" w:type="dxa"/>
            </w:tcMar>
          </w:tcPr>
          <w:p>
            <w:pPr>
              <w:spacing w:after="0" w:line="252" w:lineRule="auto"/>
              <w:jc w:val="left"/>
            </w:pPr>
            <w:r>
              <w:rPr>
                <w:rFonts w:ascii="Calibri" w:hAnsi="Calibri"/>
                <w:color w:val="20242A"/>
                <w:sz w:val="17"/>
              </w:rPr>
              <w:t>Business outcome, risk, cost, compliance need, or user value</w:t>
            </w:r>
          </w:p>
        </w:tc>
      </w:tr>
      <w:tr>
        <w:trPr>
          <w:cantSplit/>
        </w:trPr>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Owner and stakeholders</w:t>
            </w:r>
          </w:p>
        </w:tc>
        <w:tc>
          <w:tcPr>
            <w:tcW w:type="dxa" w:w="70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Accountable process owner plus consulted and affected roles</w:t>
            </w:r>
          </w:p>
        </w:tc>
      </w:tr>
      <w:tr>
        <w:trPr>
          <w:cantSplit/>
        </w:trPr>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Priority and release</w:t>
            </w:r>
          </w:p>
        </w:tc>
        <w:tc>
          <w:tcPr>
            <w:tcW w:type="dxa" w:w="7060"/>
            <w:vAlign w:val="center"/>
            <w:tcMar>
              <w:top w:w="80" w:type="dxa"/>
              <w:start w:w="120" w:type="dxa"/>
              <w:bottom w:w="80" w:type="dxa"/>
              <w:end w:w="120" w:type="dxa"/>
            </w:tcMar>
          </w:tcPr>
          <w:p>
            <w:pPr>
              <w:spacing w:after="0" w:line="252" w:lineRule="auto"/>
              <w:jc w:val="left"/>
            </w:pPr>
            <w:r>
              <w:rPr>
                <w:rFonts w:ascii="Calibri" w:hAnsi="Calibri"/>
                <w:color w:val="20242A"/>
                <w:sz w:val="17"/>
              </w:rPr>
              <w:t>Must/Should/Could/Won't for the baseline and target release</w:t>
            </w:r>
          </w:p>
        </w:tc>
      </w:tr>
      <w:tr>
        <w:trPr>
          <w:cantSplit/>
        </w:trPr>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Process and rules</w:t>
            </w:r>
          </w:p>
        </w:tc>
        <w:tc>
          <w:tcPr>
            <w:tcW w:type="dxa" w:w="70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Process step, trigger, preconditions, validations, decisions, exceptions, and state changes</w:t>
            </w:r>
          </w:p>
        </w:tc>
      </w:tr>
      <w:tr>
        <w:trPr>
          <w:cantSplit/>
        </w:trPr>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Data and documents</w:t>
            </w:r>
          </w:p>
        </w:tc>
        <w:tc>
          <w:tcPr>
            <w:tcW w:type="dxa" w:w="7060"/>
            <w:vAlign w:val="center"/>
            <w:tcMar>
              <w:top w:w="80" w:type="dxa"/>
              <w:start w:w="120" w:type="dxa"/>
              <w:bottom w:w="80" w:type="dxa"/>
              <w:end w:w="120" w:type="dxa"/>
            </w:tcMar>
          </w:tcPr>
          <w:p>
            <w:pPr>
              <w:spacing w:after="0" w:line="252" w:lineRule="auto"/>
              <w:jc w:val="left"/>
            </w:pPr>
            <w:r>
              <w:rPr>
                <w:rFonts w:ascii="Calibri" w:hAnsi="Calibri"/>
                <w:color w:val="20242A"/>
                <w:sz w:val="17"/>
              </w:rPr>
              <w:t>Inputs, outputs, master/transaction data, retention, ownership, and document evidence</w:t>
            </w:r>
          </w:p>
        </w:tc>
      </w:tr>
      <w:tr>
        <w:trPr>
          <w:cantSplit/>
        </w:trPr>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Accounting/control impact</w:t>
            </w:r>
          </w:p>
        </w:tc>
        <w:tc>
          <w:tcPr>
            <w:tcW w:type="dxa" w:w="70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Posting, tax, approval, SoD, audit, reconciliation, and reversal implications</w:t>
            </w:r>
          </w:p>
        </w:tc>
      </w:tr>
      <w:tr>
        <w:trPr>
          <w:cantSplit/>
        </w:trPr>
        <w:tc>
          <w:tcPr>
            <w:tcW w:type="dxa" w:w="2300"/>
            <w:vAlign w:val="center"/>
            <w:tcMar>
              <w:top w:w="80" w:type="dxa"/>
              <w:start w:w="120" w:type="dxa"/>
              <w:bottom w:w="80" w:type="dxa"/>
              <w:end w:w="120" w:type="dxa"/>
            </w:tcMar>
          </w:tcPr>
          <w:p>
            <w:pPr>
              <w:spacing w:after="0" w:line="252" w:lineRule="auto"/>
              <w:jc w:val="left"/>
            </w:pPr>
            <w:r>
              <w:rPr>
                <w:rFonts w:ascii="Calibri" w:hAnsi="Calibri"/>
                <w:color w:val="20242A"/>
                <w:sz w:val="17"/>
              </w:rPr>
              <w:t>Acceptance evidence</w:t>
            </w:r>
          </w:p>
        </w:tc>
        <w:tc>
          <w:tcPr>
            <w:tcW w:type="dxa" w:w="7060"/>
            <w:vAlign w:val="center"/>
            <w:tcMar>
              <w:top w:w="80" w:type="dxa"/>
              <w:start w:w="120" w:type="dxa"/>
              <w:bottom w:w="80" w:type="dxa"/>
              <w:end w:w="120" w:type="dxa"/>
            </w:tcMar>
          </w:tcPr>
          <w:p>
            <w:pPr>
              <w:spacing w:after="0" w:line="252" w:lineRule="auto"/>
              <w:jc w:val="left"/>
            </w:pPr>
            <w:r>
              <w:rPr>
                <w:rFonts w:ascii="Calibri" w:hAnsi="Calibri"/>
                <w:color w:val="20242A"/>
                <w:sz w:val="17"/>
              </w:rPr>
              <w:t>Given/When/Then scenarios, report reconciliation, control evidence, and NFR criteria</w:t>
            </w:r>
          </w:p>
        </w:tc>
      </w:tr>
      <w:tr>
        <w:trPr>
          <w:cantSplit/>
        </w:trPr>
        <w:tc>
          <w:tcPr>
            <w:tcW w:type="dxa" w:w="23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Dependencies and status</w:t>
            </w:r>
          </w:p>
        </w:tc>
        <w:tc>
          <w:tcPr>
            <w:tcW w:type="dxa" w:w="70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Related requirements, decisions, integrations, risks, assumptions, and approval state</w:t>
            </w:r>
          </w:p>
        </w:tc>
      </w:tr>
    </w:tbl>
    <w:p>
      <w:pPr>
        <w:spacing w:before="80" w:after="0"/>
      </w:pPr>
    </w:p>
    <w:p>
      <w:pPr>
        <w:pStyle w:val="Heading2"/>
      </w:pPr>
      <w:r>
        <w:t>20.4 Entry and exit criteria</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4680"/>
        <w:gridCol w:w="4680"/>
      </w:tblGrid>
      <w:tr>
        <w:trPr>
          <w:tblHeader w:val="true"/>
          <w:cantSplit/>
        </w:trPr>
        <w:tc>
          <w:tcPr>
            <w:tcW w:type="dxa" w:w="4680"/>
            <w:shd w:fill="F2F4F7"/>
            <w:vAlign w:val="center"/>
            <w:tcMar>
              <w:top w:w="80" w:type="dxa"/>
              <w:start w:w="120" w:type="dxa"/>
              <w:bottom w:w="80" w:type="dxa"/>
              <w:end w:w="120" w:type="dxa"/>
            </w:tcMar>
          </w:tcPr>
          <w:p>
            <w:pPr>
              <w:spacing w:after="0"/>
              <w:jc w:val="left"/>
            </w:pPr>
            <w:r>
              <w:rPr>
                <w:rFonts w:ascii="Calibri" w:hAnsi="Calibri"/>
                <w:b/>
                <w:color w:val="20242A"/>
                <w:sz w:val="18"/>
              </w:rPr>
              <w:t>BRD entry criteria</w:t>
            </w:r>
          </w:p>
        </w:tc>
        <w:tc>
          <w:tcPr>
            <w:tcW w:type="dxa" w:w="4680"/>
            <w:shd w:fill="F2F4F7"/>
            <w:vAlign w:val="center"/>
            <w:tcMar>
              <w:top w:w="80" w:type="dxa"/>
              <w:start w:w="120" w:type="dxa"/>
              <w:bottom w:w="80" w:type="dxa"/>
              <w:end w:w="120" w:type="dxa"/>
            </w:tcMar>
          </w:tcPr>
          <w:p>
            <w:pPr>
              <w:spacing w:after="0"/>
              <w:jc w:val="left"/>
            </w:pPr>
            <w:r>
              <w:rPr>
                <w:rFonts w:ascii="Calibri" w:hAnsi="Calibri"/>
                <w:b/>
                <w:color w:val="20242A"/>
                <w:sz w:val="18"/>
              </w:rPr>
              <w:t>BRD exit criteria</w:t>
            </w:r>
          </w:p>
        </w:tc>
      </w:tr>
      <w:tr>
        <w:trPr>
          <w:cantSplit/>
        </w:trPr>
        <w:tc>
          <w:tcPr>
            <w:tcW w:type="dxa" w:w="4680"/>
            <w:vAlign w:val="center"/>
            <w:tcMar>
              <w:top w:w="80" w:type="dxa"/>
              <w:start w:w="120" w:type="dxa"/>
              <w:bottom w:w="80" w:type="dxa"/>
              <w:end w:w="120" w:type="dxa"/>
            </w:tcMar>
          </w:tcPr>
          <w:p>
            <w:pPr>
              <w:spacing w:after="0" w:line="252" w:lineRule="auto"/>
              <w:jc w:val="left"/>
            </w:pPr>
            <w:r>
              <w:rPr>
                <w:rFonts w:ascii="Calibri" w:hAnsi="Calibri"/>
                <w:color w:val="20242A"/>
                <w:sz w:val="17"/>
              </w:rPr>
              <w:t>Named sponsor, product owner, process owners, finance/control owner, and BA</w:t>
            </w:r>
          </w:p>
        </w:tc>
        <w:tc>
          <w:tcPr>
            <w:tcW w:type="dxa" w:w="4680"/>
            <w:vAlign w:val="center"/>
            <w:tcMar>
              <w:top w:w="80" w:type="dxa"/>
              <w:start w:w="120" w:type="dxa"/>
              <w:bottom w:w="80" w:type="dxa"/>
              <w:end w:w="120" w:type="dxa"/>
            </w:tcMar>
          </w:tcPr>
          <w:p>
            <w:pPr>
              <w:spacing w:after="0" w:line="252" w:lineRule="auto"/>
              <w:jc w:val="left"/>
            </w:pPr>
            <w:r>
              <w:rPr>
                <w:rFonts w:ascii="Calibri" w:hAnsi="Calibri"/>
                <w:color w:val="20242A"/>
                <w:sz w:val="17"/>
              </w:rPr>
              <w:t>All Must requirements traced to process, rules, data, roles, reports, and acceptance</w:t>
            </w:r>
          </w:p>
        </w:tc>
      </w:tr>
      <w:tr>
        <w:trPr>
          <w:cantSplit/>
        </w:trPr>
        <w:tc>
          <w:tcPr>
            <w:tcW w:type="dxa" w:w="468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Saudi launch and Wafra pilot assumptions confirmed for discovery</w:t>
            </w:r>
          </w:p>
        </w:tc>
        <w:tc>
          <w:tcPr>
            <w:tcW w:type="dxa" w:w="468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Process owners and finance/control owners approve their domains</w:t>
            </w:r>
          </w:p>
        </w:tc>
      </w:tr>
      <w:tr>
        <w:trPr>
          <w:cantSplit/>
        </w:trPr>
        <w:tc>
          <w:tcPr>
            <w:tcW w:type="dxa" w:w="4680"/>
            <w:vAlign w:val="center"/>
            <w:tcMar>
              <w:top w:w="80" w:type="dxa"/>
              <w:start w:w="120" w:type="dxa"/>
              <w:bottom w:w="80" w:type="dxa"/>
              <w:end w:w="120" w:type="dxa"/>
            </w:tcMar>
          </w:tcPr>
          <w:p>
            <w:pPr>
              <w:spacing w:after="0" w:line="252" w:lineRule="auto"/>
              <w:jc w:val="left"/>
            </w:pPr>
            <w:r>
              <w:rPr>
                <w:rFonts w:ascii="Calibri" w:hAnsi="Calibri"/>
                <w:color w:val="20242A"/>
                <w:sz w:val="17"/>
              </w:rPr>
              <w:t>Representative users and source-system evidence available</w:t>
            </w:r>
          </w:p>
        </w:tc>
        <w:tc>
          <w:tcPr>
            <w:tcW w:type="dxa" w:w="4680"/>
            <w:vAlign w:val="center"/>
            <w:tcMar>
              <w:top w:w="80" w:type="dxa"/>
              <w:start w:w="120" w:type="dxa"/>
              <w:bottom w:w="80" w:type="dxa"/>
              <w:end w:w="120" w:type="dxa"/>
            </w:tcMar>
          </w:tcPr>
          <w:p>
            <w:pPr>
              <w:spacing w:after="0" w:line="252" w:lineRule="auto"/>
              <w:jc w:val="left"/>
            </w:pPr>
            <w:r>
              <w:rPr>
                <w:rFonts w:ascii="Calibri" w:hAnsi="Calibri"/>
                <w:color w:val="20242A"/>
                <w:sz w:val="17"/>
              </w:rPr>
              <w:t>Open decisions have owners/dates or are explicitly accepted risks</w:t>
            </w:r>
          </w:p>
        </w:tc>
      </w:tr>
      <w:tr>
        <w:trPr>
          <w:cantSplit/>
        </w:trPr>
        <w:tc>
          <w:tcPr>
            <w:tcW w:type="dxa" w:w="468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Volume, integration, migration, compliance, and reporting discovery planned</w:t>
            </w:r>
          </w:p>
        </w:tc>
        <w:tc>
          <w:tcPr>
            <w:tcW w:type="dxa" w:w="468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Architecture feasibility, migration approach, release slice, and test strategy accepted</w:t>
            </w:r>
          </w:p>
        </w:tc>
      </w:tr>
    </w:tbl>
    <w:p>
      <w:pPr>
        <w:spacing w:before="80" w:after="0"/>
      </w:pPr>
    </w:p>
    <w:p>
      <w:pPr>
        <w:pStyle w:val="Heading1"/>
      </w:pPr>
      <w:r>
        <w:t>Appendix A. Consolidation and finalization record</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450"/>
        <w:gridCol w:w="2480"/>
        <w:gridCol w:w="2480"/>
        <w:gridCol w:w="2950"/>
      </w:tblGrid>
      <w:tr>
        <w:trPr>
          <w:tblHeader w:val="true"/>
          <w:cantSplit/>
        </w:trPr>
        <w:tc>
          <w:tcPr>
            <w:tcW w:type="dxa" w:w="1450"/>
            <w:shd w:fill="F2F4F7"/>
            <w:vAlign w:val="center"/>
            <w:tcMar>
              <w:top w:w="80" w:type="dxa"/>
              <w:start w:w="120" w:type="dxa"/>
              <w:bottom w:w="80" w:type="dxa"/>
              <w:end w:w="120" w:type="dxa"/>
            </w:tcMar>
          </w:tcPr>
          <w:p>
            <w:pPr>
              <w:spacing w:after="0"/>
            </w:pPr>
            <w:r>
              <w:t>Topic</w:t>
            </w:r>
          </w:p>
        </w:tc>
        <w:tc>
          <w:tcPr>
            <w:tcW w:type="dxa" w:w="2480"/>
            <w:shd w:fill="F2F4F7"/>
            <w:vAlign w:val="center"/>
            <w:tcMar>
              <w:top w:w="80" w:type="dxa"/>
              <w:start w:w="120" w:type="dxa"/>
              <w:bottom w:w="80" w:type="dxa"/>
              <w:end w:w="120" w:type="dxa"/>
            </w:tcMar>
          </w:tcPr>
          <w:p>
            <w:pPr>
              <w:spacing w:after="0"/>
            </w:pPr>
            <w:r>
              <w:t>Initial PRD</w:t>
            </w:r>
          </w:p>
        </w:tc>
        <w:tc>
          <w:tcPr>
            <w:tcW w:type="dxa" w:w="2480"/>
            <w:shd w:fill="F2F4F7"/>
            <w:vAlign w:val="center"/>
            <w:tcMar>
              <w:top w:w="80" w:type="dxa"/>
              <w:start w:w="120" w:type="dxa"/>
              <w:bottom w:w="80" w:type="dxa"/>
              <w:end w:w="120" w:type="dxa"/>
            </w:tcMar>
          </w:tcPr>
          <w:p>
            <w:pPr>
              <w:spacing w:after="0"/>
            </w:pPr>
            <w:r>
              <w:t>Detailed BRD baseline</w:t>
            </w:r>
          </w:p>
        </w:tc>
        <w:tc>
          <w:tcPr>
            <w:tcW w:type="dxa" w:w="2950"/>
            <w:shd w:fill="F2F4F7"/>
            <w:vAlign w:val="center"/>
            <w:tcMar>
              <w:top w:w="80" w:type="dxa"/>
              <w:start w:w="120" w:type="dxa"/>
              <w:bottom w:w="80" w:type="dxa"/>
              <w:end w:w="120" w:type="dxa"/>
            </w:tcMar>
          </w:tcPr>
          <w:p>
            <w:pPr>
              <w:spacing w:after="0"/>
            </w:pPr>
            <w:r>
              <w:t>Final approved outcome</w:t>
            </w:r>
          </w:p>
        </w:tc>
      </w:tr>
      <w:tr>
        <w:trPr>
          <w:cantSplit/>
        </w:trPr>
        <w:tc>
          <w:tcPr>
            <w:tcW w:type="dxa" w:w="1450"/>
          </w:tcPr>
          <w:p>
            <w:pPr>
              <w:spacing w:after="0"/>
            </w:pPr>
            <w:r>
              <w:t>Market and tenant model</w:t>
            </w:r>
          </w:p>
        </w:tc>
        <w:tc>
          <w:tcPr>
            <w:tcW w:type="dxa" w:w="2480"/>
          </w:tcPr>
          <w:p>
            <w:pPr>
              <w:spacing w:after="0"/>
            </w:pPr>
            <w:r>
              <w:t>Generic SME ERP positioning</w:t>
            </w:r>
          </w:p>
        </w:tc>
        <w:tc>
          <w:tcPr>
            <w:tcW w:type="dxa" w:w="2480"/>
          </w:tcPr>
          <w:p>
            <w:pPr>
              <w:spacing w:after="0"/>
            </w:pPr>
            <w:r>
              <w:t>Saudi launch and Wafra validation context</w:t>
            </w:r>
          </w:p>
        </w:tc>
        <w:tc>
          <w:tcPr>
            <w:tcW w:type="dxa" w:w="2950"/>
          </w:tcPr>
          <w:p>
            <w:pPr>
              <w:spacing w:after="0"/>
            </w:pPr>
            <w:r>
              <w:t>Saudi is the initial market; Wafra is Tenant #1; no Wafra-specific core logic</w:t>
            </w:r>
          </w:p>
        </w:tc>
      </w:tr>
      <w:tr>
        <w:trPr>
          <w:cantSplit/>
        </w:trPr>
        <w:tc>
          <w:tcPr>
            <w:tcW w:type="dxa" w:w="1450"/>
          </w:tcPr>
          <w:p>
            <w:pPr>
              <w:spacing w:after="0"/>
            </w:pPr>
            <w:r>
              <w:t>Functional scope</w:t>
            </w:r>
          </w:p>
        </w:tc>
        <w:tc>
          <w:tcPr>
            <w:tcW w:type="dxa" w:w="2480"/>
          </w:tcPr>
          <w:p>
            <w:pPr>
              <w:spacing w:after="0"/>
            </w:pPr>
            <w:r>
              <w:t>Core procurement, inventory, sales, and finance</w:t>
            </w:r>
          </w:p>
        </w:tc>
        <w:tc>
          <w:tcPr>
            <w:tcW w:type="dxa" w:w="2480"/>
          </w:tcPr>
          <w:p>
            <w:pPr>
              <w:spacing w:after="0"/>
            </w:pPr>
            <w:r>
              <w:t>Expanded SaaS operations and POS direction</w:t>
            </w:r>
          </w:p>
        </w:tc>
        <w:tc>
          <w:tcPr>
            <w:tcW w:type="dxa" w:w="2950"/>
          </w:tcPr>
          <w:p>
            <w:pPr>
              <w:spacing w:after="0"/>
            </w:pPr>
            <w:r>
              <w:t>Release 1 includes B2B ERP only; Retail POS removed and reserved for future approval</w:t>
            </w:r>
          </w:p>
        </w:tc>
      </w:tr>
      <w:tr>
        <w:trPr>
          <w:cantSplit/>
        </w:trPr>
        <w:tc>
          <w:tcPr>
            <w:tcW w:type="dxa" w:w="1450"/>
          </w:tcPr>
          <w:p>
            <w:pPr>
              <w:spacing w:after="0"/>
            </w:pPr>
            <w:r>
              <w:t>Organization</w:t>
            </w:r>
          </w:p>
        </w:tc>
        <w:tc>
          <w:tcPr>
            <w:tcW w:type="dxa" w:w="2480"/>
          </w:tcPr>
          <w:p>
            <w:pPr>
              <w:spacing w:after="0"/>
            </w:pPr>
            <w:r>
              <w:t>Multiple organizations and warehouses were broadly supported</w:t>
            </w:r>
          </w:p>
        </w:tc>
        <w:tc>
          <w:tcPr>
            <w:tcW w:type="dxa" w:w="2480"/>
          </w:tcPr>
          <w:p>
            <w:pPr>
              <w:spacing w:after="0"/>
            </w:pPr>
            <w:r>
              <w:t>Company/legal-entity multiplicity remained open</w:t>
            </w:r>
          </w:p>
        </w:tc>
        <w:tc>
          <w:tcPr>
            <w:tcW w:type="dxa" w:w="2950"/>
          </w:tcPr>
          <w:p>
            <w:pPr>
              <w:spacing w:after="0"/>
            </w:pPr>
            <w:r>
              <w:t>Platform -&gt; Tenant -&gt; Company (Legal Entity) -&gt; Branch -&gt; Warehouse; multiple entities allowed; no consolidation</w:t>
            </w:r>
          </w:p>
        </w:tc>
      </w:tr>
      <w:tr>
        <w:trPr>
          <w:cantSplit/>
        </w:trPr>
        <w:tc>
          <w:tcPr>
            <w:tcW w:type="dxa" w:w="1450"/>
          </w:tcPr>
          <w:p>
            <w:pPr>
              <w:spacing w:after="0"/>
            </w:pPr>
            <w:r>
              <w:t>Supplier model</w:t>
            </w:r>
          </w:p>
        </w:tc>
        <w:tc>
          <w:tcPr>
            <w:tcW w:type="dxa" w:w="2480"/>
          </w:tcPr>
          <w:p>
            <w:pPr>
              <w:spacing w:after="0"/>
            </w:pPr>
            <w:r>
              <w:t>Supplier master data and purchasing</w:t>
            </w:r>
          </w:p>
        </w:tc>
        <w:tc>
          <w:tcPr>
            <w:tcW w:type="dxa" w:w="2480"/>
          </w:tcPr>
          <w:p>
            <w:pPr>
              <w:spacing w:after="0"/>
            </w:pPr>
            <w:r>
              <w:t>Manual supplier response capture introduced</w:t>
            </w:r>
          </w:p>
        </w:tc>
        <w:tc>
          <w:tcPr>
            <w:tcW w:type="dxa" w:w="2950"/>
          </w:tcPr>
          <w:p>
            <w:pPr>
              <w:spacing w:after="0"/>
            </w:pPr>
            <w:r>
              <w:t>Suppliers are external; authorized users manually record confirmation, partial confirmation, rejection, and evidence</w:t>
            </w:r>
          </w:p>
        </w:tc>
      </w:tr>
      <w:tr>
        <w:trPr>
          <w:cantSplit/>
        </w:trPr>
        <w:tc>
          <w:tcPr>
            <w:tcW w:type="dxa" w:w="1450"/>
          </w:tcPr>
          <w:p>
            <w:pPr>
              <w:spacing w:after="0"/>
            </w:pPr>
            <w:r>
              <w:t>Inventory costing</w:t>
            </w:r>
          </w:p>
        </w:tc>
        <w:tc>
          <w:tcPr>
            <w:tcW w:type="dxa" w:w="2480"/>
          </w:tcPr>
          <w:p>
            <w:pPr>
              <w:spacing w:after="0"/>
            </w:pPr>
            <w:r>
              <w:t>Valuation method left open</w:t>
            </w:r>
          </w:p>
        </w:tc>
        <w:tc>
          <w:tcPr>
            <w:tcW w:type="dxa" w:w="2480"/>
          </w:tcPr>
          <w:p>
            <w:pPr>
              <w:spacing w:after="0"/>
            </w:pPr>
            <w:r>
              <w:t>One valuation method required but not selected</w:t>
            </w:r>
          </w:p>
        </w:tc>
        <w:tc>
          <w:tcPr>
            <w:tcW w:type="dxa" w:w="2950"/>
          </w:tcPr>
          <w:p>
            <w:pPr>
              <w:spacing w:after="0"/>
            </w:pPr>
            <w:r>
              <w:t>Moving weighted average approved for Release 1; valuation details move to BRD</w:t>
            </w:r>
          </w:p>
        </w:tc>
      </w:tr>
      <w:tr>
        <w:trPr>
          <w:cantSplit/>
        </w:trPr>
        <w:tc>
          <w:tcPr>
            <w:tcW w:type="dxa" w:w="1450"/>
          </w:tcPr>
          <w:p>
            <w:pPr>
              <w:spacing w:after="0"/>
            </w:pPr>
            <w:r>
              <w:t>Sales</w:t>
            </w:r>
          </w:p>
        </w:tc>
        <w:tc>
          <w:tcPr>
            <w:tcW w:type="dxa" w:w="2480"/>
          </w:tcPr>
          <w:p>
            <w:pPr>
              <w:spacing w:after="0"/>
            </w:pPr>
            <w:r>
              <w:t>Order-to-cash requirements</w:t>
            </w:r>
          </w:p>
        </w:tc>
        <w:tc>
          <w:tcPr>
            <w:tcW w:type="dxa" w:w="2480"/>
          </w:tcPr>
          <w:p>
            <w:pPr>
              <w:spacing w:after="0"/>
            </w:pPr>
            <w:r>
              <w:t>B2B and controlled POS were mixed</w:t>
            </w:r>
          </w:p>
        </w:tc>
        <w:tc>
          <w:tcPr>
            <w:tcW w:type="dxa" w:w="2950"/>
          </w:tcPr>
          <w:p>
            <w:pPr>
              <w:spacing w:after="0"/>
            </w:pPr>
            <w:r>
              <w:t>B2B quotation-to-cash only, with reservation, delivery, invoice, receipt, return, and reconciliation</w:t>
            </w:r>
          </w:p>
        </w:tc>
      </w:tr>
      <w:tr>
        <w:trPr>
          <w:cantSplit/>
        </w:trPr>
        <w:tc>
          <w:tcPr>
            <w:tcW w:type="dxa" w:w="1450"/>
          </w:tcPr>
          <w:p>
            <w:pPr>
              <w:spacing w:after="0"/>
            </w:pPr>
            <w:r>
              <w:t>Finance</w:t>
            </w:r>
          </w:p>
        </w:tc>
        <w:tc>
          <w:tcPr>
            <w:tcW w:type="dxa" w:w="2480"/>
          </w:tcPr>
          <w:p>
            <w:pPr>
              <w:spacing w:after="0"/>
            </w:pPr>
            <w:r>
              <w:t>AP/AR and finance-ready intent</w:t>
            </w:r>
          </w:p>
        </w:tc>
        <w:tc>
          <w:tcPr>
            <w:tcW w:type="dxa" w:w="2480"/>
          </w:tcPr>
          <w:p>
            <w:pPr>
              <w:spacing w:after="0"/>
            </w:pPr>
            <w:r>
              <w:t>Core GL, posting controls, periods, statements, and reconciliation</w:t>
            </w:r>
          </w:p>
        </w:tc>
        <w:tc>
          <w:tcPr>
            <w:tcW w:type="dxa" w:w="2950"/>
          </w:tcPr>
          <w:p>
            <w:pPr>
              <w:spacing w:after="0"/>
            </w:pPr>
            <w:r>
              <w:t>Core GL, AP, AR, cash/bank, tax, multi-currency, and source traceability retained in Release 1</w:t>
            </w:r>
          </w:p>
        </w:tc>
      </w:tr>
      <w:tr>
        <w:trPr>
          <w:cantSplit/>
        </w:trPr>
        <w:tc>
          <w:tcPr>
            <w:tcW w:type="dxa" w:w="1450"/>
          </w:tcPr>
          <w:p>
            <w:pPr>
              <w:spacing w:after="0"/>
            </w:pPr>
            <w:r>
              <w:t>Architecture and governance</w:t>
            </w:r>
          </w:p>
        </w:tc>
        <w:tc>
          <w:tcPr>
            <w:tcW w:type="dxa" w:w="2480"/>
          </w:tcPr>
          <w:p>
            <w:pPr>
              <w:spacing w:after="0"/>
            </w:pPr>
            <w:r>
              <w:t>Modular, API-oriented platform</w:t>
            </w:r>
          </w:p>
        </w:tc>
        <w:tc>
          <w:tcPr>
            <w:tcW w:type="dxa" w:w="2480"/>
          </w:tcPr>
          <w:p>
            <w:pPr>
              <w:spacing w:after="0"/>
            </w:pPr>
            <w:r>
              <w:t>Modular-monolith posture and BRD governance</w:t>
            </w:r>
          </w:p>
        </w:tc>
        <w:tc>
          <w:tcPr>
            <w:tcW w:type="dxa" w:w="2950"/>
          </w:tcPr>
          <w:p>
            <w:pPr>
              <w:spacing w:after="0"/>
            </w:pPr>
            <w:r>
              <w:t>Modular monolith approved; PRD frozen and approved to begin BRD; no development before BRD gates are met</w:t>
            </w:r>
          </w:p>
        </w:tc>
      </w:tr>
    </w:tbl>
    <w:p>
      <w:pPr>
        <w:spacing w:before="80" w:after="0"/>
      </w:pPr>
    </w:p>
    <w:p>
      <w:pPr>
        <w:pStyle w:val="Heading1"/>
      </w:pPr>
      <w:r>
        <w:t>Appendix B. Official Saudi reference baseline</w:t>
      </w:r>
    </w:p>
    <w:p>
      <w:r>
        <w:rPr>
          <w:rFonts w:ascii="Calibri" w:hAnsi="Calibri"/>
          <w:i w:val="0"/>
          <w:color w:val="20242A"/>
        </w:rPr>
        <w:t>The team must re-check current official publications before design freeze, certification, and each production launch. Accessed 31 July 2026.</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900"/>
        <w:gridCol w:w="3600"/>
        <w:gridCol w:w="3860"/>
      </w:tblGrid>
      <w:tr>
        <w:trPr>
          <w:tblHeader w:val="true"/>
          <w:cantSplit/>
        </w:trPr>
        <w:tc>
          <w:tcPr>
            <w:tcW w:type="dxa" w:w="1900"/>
            <w:shd w:fill="F2F4F7"/>
            <w:vAlign w:val="center"/>
            <w:tcMar>
              <w:top w:w="80" w:type="dxa"/>
              <w:start w:w="120" w:type="dxa"/>
              <w:bottom w:w="80" w:type="dxa"/>
              <w:end w:w="120" w:type="dxa"/>
            </w:tcMar>
          </w:tcPr>
          <w:p>
            <w:pPr>
              <w:spacing w:after="0"/>
              <w:jc w:val="left"/>
            </w:pPr>
            <w:r>
              <w:rPr>
                <w:rFonts w:ascii="Calibri" w:hAnsi="Calibri"/>
                <w:b/>
                <w:color w:val="20242A"/>
                <w:sz w:val="18"/>
              </w:rPr>
              <w:t>Authority / topic</w:t>
            </w:r>
          </w:p>
        </w:tc>
        <w:tc>
          <w:tcPr>
            <w:tcW w:type="dxa" w:w="3600"/>
            <w:shd w:fill="F2F4F7"/>
            <w:vAlign w:val="center"/>
            <w:tcMar>
              <w:top w:w="80" w:type="dxa"/>
              <w:start w:w="120" w:type="dxa"/>
              <w:bottom w:w="80" w:type="dxa"/>
              <w:end w:w="120" w:type="dxa"/>
            </w:tcMar>
          </w:tcPr>
          <w:p>
            <w:pPr>
              <w:spacing w:after="0"/>
              <w:jc w:val="left"/>
            </w:pPr>
            <w:r>
              <w:rPr>
                <w:rFonts w:ascii="Calibri" w:hAnsi="Calibri"/>
                <w:b/>
                <w:color w:val="20242A"/>
                <w:sz w:val="18"/>
              </w:rPr>
              <w:t>Product relevance</w:t>
            </w:r>
          </w:p>
        </w:tc>
        <w:tc>
          <w:tcPr>
            <w:tcW w:type="dxa" w:w="3860"/>
            <w:shd w:fill="F2F4F7"/>
            <w:vAlign w:val="center"/>
            <w:tcMar>
              <w:top w:w="80" w:type="dxa"/>
              <w:start w:w="120" w:type="dxa"/>
              <w:bottom w:w="80" w:type="dxa"/>
              <w:end w:w="120" w:type="dxa"/>
            </w:tcMar>
          </w:tcPr>
          <w:p>
            <w:pPr>
              <w:spacing w:after="0"/>
              <w:jc w:val="left"/>
            </w:pPr>
            <w:r>
              <w:rPr>
                <w:rFonts w:ascii="Calibri" w:hAnsi="Calibri"/>
                <w:b/>
                <w:color w:val="20242A"/>
                <w:sz w:val="18"/>
              </w:rPr>
              <w:t>Official source</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ZATCA - E-Invoicing</w:t>
            </w:r>
          </w:p>
        </w:tc>
        <w:tc>
          <w:tcPr>
            <w:tcW w:type="dxa" w:w="3600"/>
            <w:vAlign w:val="center"/>
            <w:tcMar>
              <w:top w:w="80" w:type="dxa"/>
              <w:start w:w="120" w:type="dxa"/>
              <w:bottom w:w="80" w:type="dxa"/>
              <w:end w:w="120" w:type="dxa"/>
            </w:tcMar>
          </w:tcPr>
          <w:p>
            <w:pPr>
              <w:spacing w:after="0" w:line="252" w:lineRule="auto"/>
              <w:jc w:val="left"/>
            </w:pPr>
            <w:r>
              <w:rPr>
                <w:rFonts w:ascii="Calibri" w:hAnsi="Calibri"/>
                <w:color w:val="20242A"/>
                <w:sz w:val="17"/>
              </w:rPr>
              <w:t>FATOORA phases, invoice-generation and integration requirements</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20242A"/>
                <w:sz w:val="17"/>
              </w:rPr>
              <w:t>https://www.zatca.gov.sa/en/E-Invoicing/Pages/default.aspx</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ZATCA - Roll-out phases</w:t>
            </w:r>
          </w:p>
        </w:tc>
        <w:tc>
          <w:tcPr>
            <w:tcW w:type="dxa" w:w="36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Phase 1 generation/storage and Phase 2 integration in notified waves</w:t>
            </w:r>
          </w:p>
        </w:tc>
        <w:tc>
          <w:tcPr>
            <w:tcW w:type="dxa" w:w="38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https://www.zatca.gov.sa/en/E-Invoicing/Introduction/Pages/Roll-out-phases.aspx</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ZATCA - Technical guide</w:t>
            </w:r>
          </w:p>
        </w:tc>
        <w:tc>
          <w:tcPr>
            <w:tcW w:type="dxa" w:w="3600"/>
            <w:vAlign w:val="center"/>
            <w:tcMar>
              <w:top w:w="80" w:type="dxa"/>
              <w:start w:w="120" w:type="dxa"/>
              <w:bottom w:w="80" w:type="dxa"/>
              <w:end w:w="120" w:type="dxa"/>
            </w:tcMar>
          </w:tcPr>
          <w:p>
            <w:pPr>
              <w:spacing w:after="0" w:line="252" w:lineRule="auto"/>
              <w:jc w:val="left"/>
            </w:pPr>
            <w:r>
              <w:rPr>
                <w:rFonts w:ascii="Calibri" w:hAnsi="Calibri"/>
                <w:color w:val="20242A"/>
                <w:sz w:val="17"/>
              </w:rPr>
              <w:t>Current invoice data, XML, security, validation, and developer guidance</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20242A"/>
                <w:sz w:val="17"/>
              </w:rPr>
              <w:t>https://www.zatca.gov.sa/en/E-Invoicing/SystemsDevelopers/Pages/Simplified-technical-guide.aspx</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ZATCA - VAT</w:t>
            </w:r>
          </w:p>
        </w:tc>
        <w:tc>
          <w:tcPr>
            <w:tcW w:type="dxa" w:w="36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VAT law/guidance and the current standard rate used as configurable seed data</w:t>
            </w:r>
          </w:p>
        </w:tc>
        <w:tc>
          <w:tcPr>
            <w:tcW w:type="dxa" w:w="38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https://zatca.gov.sa/en/RulesRegulations/Taxes/Pages/VATLaw.aspx</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SDAIA - PDPL</w:t>
            </w:r>
          </w:p>
        </w:tc>
        <w:tc>
          <w:tcPr>
            <w:tcW w:type="dxa" w:w="3600"/>
            <w:vAlign w:val="center"/>
            <w:tcMar>
              <w:top w:w="80" w:type="dxa"/>
              <w:start w:w="120" w:type="dxa"/>
              <w:bottom w:w="80" w:type="dxa"/>
              <w:end w:w="120" w:type="dxa"/>
            </w:tcMar>
          </w:tcPr>
          <w:p>
            <w:pPr>
              <w:spacing w:after="0" w:line="252" w:lineRule="auto"/>
              <w:jc w:val="left"/>
            </w:pPr>
            <w:r>
              <w:rPr>
                <w:rFonts w:ascii="Calibri" w:hAnsi="Calibri"/>
                <w:color w:val="20242A"/>
                <w:sz w:val="17"/>
              </w:rPr>
              <w:t>Personal data controller obligations, rights, processing, transfers, retention, and safeguards</w:t>
            </w:r>
          </w:p>
        </w:tc>
        <w:tc>
          <w:tcPr>
            <w:tcW w:type="dxa" w:w="3860"/>
            <w:vAlign w:val="center"/>
            <w:tcMar>
              <w:top w:w="80" w:type="dxa"/>
              <w:start w:w="120" w:type="dxa"/>
              <w:bottom w:w="80" w:type="dxa"/>
              <w:end w:w="120" w:type="dxa"/>
            </w:tcMar>
          </w:tcPr>
          <w:p>
            <w:pPr>
              <w:spacing w:after="0" w:line="252" w:lineRule="auto"/>
              <w:jc w:val="left"/>
            </w:pPr>
            <w:r>
              <w:rPr>
                <w:rFonts w:ascii="Calibri" w:hAnsi="Calibri"/>
                <w:color w:val="20242A"/>
                <w:sz w:val="17"/>
              </w:rPr>
              <w:t>https://sdaia.gov.sa/en/SDAIA/about/Pages/RegulationsAndPolicies.aspx</w:t>
            </w:r>
          </w:p>
        </w:tc>
      </w:tr>
    </w:tbl>
    <w:p>
      <w:pPr>
        <w:spacing w:before="80" w:after="0"/>
      </w:pPr>
    </w:p>
    <w:p>
      <w:pPr>
        <w:pStyle w:val="Heading1"/>
      </w:pPr>
      <w:r>
        <w:t>Appendix C. Working glossary</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1900"/>
        <w:gridCol w:w="7460"/>
      </w:tblGrid>
      <w:tr>
        <w:trPr>
          <w:tblHeader w:val="true"/>
          <w:cantSplit/>
        </w:trPr>
        <w:tc>
          <w:tcPr>
            <w:tcW w:type="dxa" w:w="1900"/>
            <w:shd w:fill="F2F4F7"/>
            <w:vAlign w:val="center"/>
            <w:tcMar>
              <w:top w:w="80" w:type="dxa"/>
              <w:start w:w="120" w:type="dxa"/>
              <w:bottom w:w="80" w:type="dxa"/>
              <w:end w:w="120" w:type="dxa"/>
            </w:tcMar>
          </w:tcPr>
          <w:p>
            <w:pPr>
              <w:spacing w:after="0"/>
              <w:jc w:val="left"/>
            </w:pPr>
            <w:r>
              <w:rPr>
                <w:rFonts w:ascii="Calibri" w:hAnsi="Calibri"/>
                <w:b/>
                <w:color w:val="20242A"/>
                <w:sz w:val="18"/>
              </w:rPr>
              <w:t>Term</w:t>
            </w:r>
          </w:p>
        </w:tc>
        <w:tc>
          <w:tcPr>
            <w:tcW w:type="dxa" w:w="7460"/>
            <w:shd w:fill="F2F4F7"/>
            <w:vAlign w:val="center"/>
            <w:tcMar>
              <w:top w:w="80" w:type="dxa"/>
              <w:start w:w="120" w:type="dxa"/>
              <w:bottom w:w="80" w:type="dxa"/>
              <w:end w:w="120" w:type="dxa"/>
            </w:tcMar>
          </w:tcPr>
          <w:p>
            <w:pPr>
              <w:spacing w:after="0"/>
              <w:jc w:val="left"/>
            </w:pPr>
            <w:r>
              <w:rPr>
                <w:rFonts w:ascii="Calibri" w:hAnsi="Calibri"/>
                <w:b/>
                <w:color w:val="20242A"/>
                <w:sz w:val="18"/>
              </w:rPr>
              <w:t>Working definition</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Tenant</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An isolated subscribing organization with its own users, configuration, business data, files, integrations, audit, and entitlements.</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Company / legal entity</w:t>
            </w:r>
          </w:p>
        </w:tc>
        <w:tc>
          <w:tcPr>
            <w:tcW w:type="dxa" w:w="7460"/>
            <w:shd w:fill="FAFBFC"/>
            <w:vAlign w:val="center"/>
            <w:tcMar>
              <w:top w:w="80" w:type="dxa"/>
              <w:start w:w="120" w:type="dxa"/>
              <w:bottom w:w="80" w:type="dxa"/>
              <w:end w:w="120" w:type="dxa"/>
            </w:tcMar>
          </w:tcPr>
          <w:p>
            <w:pPr>
              <w:spacing w:after="0"/>
            </w:pPr>
            <w:r>
              <w:t>An accounting and statutory boundary inside a tenant. A tenant may contain one or more legal entities; each owns fiscal periods, functional currency, accounting policy, and statutory identity. Release 1 does not consolidate entities.</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Branch</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An organizational operating location used for scope, reporting, permissions, numbering, and business processes.</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Warehouse</w:t>
            </w:r>
          </w:p>
        </w:tc>
        <w:tc>
          <w:tcPr>
            <w:tcW w:type="dxa" w:w="74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 controlled inventory location that owns stock balances and movements within a company/branch model.</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Country pack</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Versioned configuration, documents, tax, compliance adapters, terminology, and validations for a jurisdiction.</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Entitlement</w:t>
            </w:r>
          </w:p>
        </w:tc>
        <w:tc>
          <w:tcPr>
            <w:tcW w:type="dxa" w:w="74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A plan-derived right to use a module, feature, capacity, or service tier; distinct from a user's permission.</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Business document</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A governed transaction record with identity, state, validation, approval, posting, evidence, and audit history.</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Posting</w:t>
            </w:r>
          </w:p>
        </w:tc>
        <w:tc>
          <w:tcPr>
            <w:tcW w:type="dxa" w:w="74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The controlled act that makes inventory, subledger, tax, or general-ledger effects authoritative.</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Reversal</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A linked compensating transaction that neutralizes a posted effect while preserving history.</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Subledger</w:t>
            </w:r>
          </w:p>
        </w:tc>
        <w:tc>
          <w:tcPr>
            <w:tcW w:type="dxa" w:w="74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Detailed operational financial records for customers, suppliers, inventory, cash, or another domain that reconcile to the GL.</w:t>
            </w:r>
          </w:p>
        </w:tc>
      </w:tr>
      <w:tr>
        <w:trPr>
          <w:cantSplit/>
        </w:trPr>
        <w:tc>
          <w:tcPr>
            <w:tcW w:type="dxa" w:w="1900"/>
            <w:vAlign w:val="center"/>
            <w:tcMar>
              <w:top w:w="80" w:type="dxa"/>
              <w:start w:w="120" w:type="dxa"/>
              <w:bottom w:w="80" w:type="dxa"/>
              <w:end w:w="120" w:type="dxa"/>
            </w:tcMar>
          </w:tcPr>
          <w:p>
            <w:pPr>
              <w:spacing w:after="0" w:line="252" w:lineRule="auto"/>
              <w:jc w:val="left"/>
            </w:pPr>
            <w:r>
              <w:rPr>
                <w:rFonts w:ascii="Calibri" w:hAnsi="Calibri"/>
                <w:color w:val="20242A"/>
                <w:sz w:val="17"/>
              </w:rPr>
              <w:t>FATOORA</w:t>
            </w:r>
          </w:p>
        </w:tc>
        <w:tc>
          <w:tcPr>
            <w:tcW w:type="dxa" w:w="7460"/>
            <w:vAlign w:val="center"/>
            <w:tcMar>
              <w:top w:w="80" w:type="dxa"/>
              <w:start w:w="120" w:type="dxa"/>
              <w:bottom w:w="80" w:type="dxa"/>
              <w:end w:w="120" w:type="dxa"/>
            </w:tcMar>
          </w:tcPr>
          <w:p>
            <w:pPr>
              <w:spacing w:after="0" w:line="252" w:lineRule="auto"/>
              <w:jc w:val="left"/>
            </w:pPr>
            <w:r>
              <w:rPr>
                <w:rFonts w:ascii="Calibri" w:hAnsi="Calibri"/>
                <w:color w:val="20242A"/>
                <w:sz w:val="17"/>
              </w:rPr>
              <w:t>ZATCA's Saudi e-invoicing program/platform context for generation and integration requirements.</w:t>
            </w:r>
          </w:p>
        </w:tc>
      </w:tr>
      <w:tr>
        <w:trPr>
          <w:cantSplit/>
        </w:trPr>
        <w:tc>
          <w:tcPr>
            <w:tcW w:type="dxa" w:w="190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BRD</w:t>
            </w:r>
          </w:p>
        </w:tc>
        <w:tc>
          <w:tcPr>
            <w:tcW w:type="dxa" w:w="7460"/>
            <w:shd w:fill="FAFBFC"/>
            <w:vAlign w:val="center"/>
            <w:tcMar>
              <w:top w:w="80" w:type="dxa"/>
              <w:start w:w="120" w:type="dxa"/>
              <w:bottom w:w="80" w:type="dxa"/>
              <w:end w:w="120" w:type="dxa"/>
            </w:tcMar>
          </w:tcPr>
          <w:p>
            <w:pPr>
              <w:spacing w:after="0" w:line="252" w:lineRule="auto"/>
              <w:jc w:val="left"/>
            </w:pPr>
            <w:r>
              <w:rPr>
                <w:rFonts w:ascii="Calibri" w:hAnsi="Calibri"/>
                <w:color w:val="20242A"/>
                <w:sz w:val="17"/>
              </w:rPr>
              <w:t>Business Requirements Document describing validated processes, actors, rules, data, controls, reports, integrations, migration, and acceptance.</w:t>
            </w:r>
          </w:p>
        </w:tc>
      </w:tr>
      <w:tr>
        <w:trPr>
          <w:cantSplit/>
        </w:trPr>
        <w:tc>
          <w:tcPr>
            <w:tcW w:type="dxa" w:w="1900"/>
          </w:tcPr>
          <w:p>
            <w:pPr>
              <w:spacing w:after="0"/>
            </w:pPr>
            <w:r>
              <w:t>Supplier confirmation</w:t>
            </w:r>
          </w:p>
        </w:tc>
        <w:tc>
          <w:tcPr>
            <w:tcW w:type="dxa" w:w="7460"/>
          </w:tcPr>
          <w:p>
            <w:pPr>
              <w:spacing w:after="0"/>
            </w:pPr>
            <w:r>
              <w:t>A tenant-recorded representation of an external supplier response to a purchase order. It may confirm, partially confirm, reject, or record no response, and has no inventory or financial posting effect by itself.</w:t>
            </w:r>
          </w:p>
        </w:tc>
      </w:tr>
      <w:tr>
        <w:trPr>
          <w:cantSplit/>
        </w:trPr>
        <w:tc>
          <w:tcPr>
            <w:tcW w:type="dxa" w:w="1900"/>
          </w:tcPr>
          <w:p>
            <w:pPr>
              <w:spacing w:after="0"/>
            </w:pPr>
            <w:r>
              <w:t>B2B sales</w:t>
            </w:r>
          </w:p>
        </w:tc>
        <w:tc>
          <w:tcPr>
            <w:tcW w:type="dxa" w:w="7460"/>
          </w:tcPr>
          <w:p>
            <w:pPr>
              <w:spacing w:after="0"/>
            </w:pPr>
            <w:r>
              <w:t>Controlled quotation-to-cash transactions between the tenant and business customers, using sales orders, reservations, deliveries, invoices, receipts, returns, credit control, and financial posting.</w:t>
            </w:r>
          </w:p>
        </w:tc>
      </w:tr>
    </w:tbl>
    <w:p>
      <w:pPr>
        <w:spacing w:before="80" w:after="0"/>
      </w:pPr>
    </w:p>
    <w:p>
      <w:pPr>
        <w:pStyle w:val="Heading1"/>
      </w:pPr>
      <w:r>
        <w:t>Approval</w:t>
      </w:r>
    </w:p>
    <w:p>
      <w:r>
        <w:t>This final PRD is APPROVED as the product baseline and authorizes the start of Business Requirements Definition (BRD). It is not an approval to begin implementation. No functional scope change is permitted without formal product versioning and impact assessment. Detailed design or development for a module may begin only after its BRD process maps, business rules, exceptions, data definitions, controls, reports, acceptance scenarios, and architecture feasibility are approved by the required owners.</w:t>
      </w:r>
    </w:p>
    <w:tbl>
      <w:tblPr>
        <w:tblStyle w:val="TableGrid"/>
        <w:tblW w:type="dxa" w:w="9360"/>
        <w:jc w:val="left"/>
        <w:tblLayout w:type="fixed"/>
        <w:tblLook w:firstColumn="1" w:firstRow="1" w:lastColumn="0" w:lastRow="0" w:noHBand="0" w:noVBand="1" w:val="04A0"/>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2300"/>
        <w:gridCol w:w="2650"/>
        <w:gridCol w:w="2660"/>
        <w:gridCol w:w="1750"/>
      </w:tblGrid>
      <w:tr>
        <w:trPr>
          <w:tblHeader w:val="true"/>
          <w:cantSplit/>
        </w:trPr>
        <w:tc>
          <w:tcPr>
            <w:tcW w:type="dxa" w:w="2300"/>
            <w:shd w:fill="F2F4F7"/>
            <w:tcMar>
              <w:top w:w="80" w:type="dxa"/>
              <w:start w:w="120" w:type="dxa"/>
              <w:bottom w:w="80" w:type="dxa"/>
              <w:end w:w="120" w:type="dxa"/>
            </w:tcMar>
            <w:vAlign w:val="center"/>
          </w:tcPr>
          <w:p>
            <w:pPr>
              <w:spacing w:after="0"/>
              <w:jc w:val="left"/>
            </w:pPr>
            <w:r>
              <w:rPr>
                <w:rFonts w:ascii="Calibri" w:hAnsi="Calibri"/>
                <w:b/>
                <w:color w:val="20242A"/>
                <w:sz w:val="18"/>
              </w:rPr>
              <w:t>Role</w:t>
            </w:r>
          </w:p>
        </w:tc>
        <w:tc>
          <w:tcPr>
            <w:tcW w:type="dxa" w:w="2650"/>
            <w:shd w:fill="F2F4F7"/>
            <w:tcMar>
              <w:top w:w="80" w:type="dxa"/>
              <w:start w:w="120" w:type="dxa"/>
              <w:bottom w:w="80" w:type="dxa"/>
              <w:end w:w="120" w:type="dxa"/>
            </w:tcMar>
            <w:vAlign w:val="center"/>
          </w:tcPr>
          <w:p>
            <w:pPr>
              <w:spacing w:after="0"/>
              <w:jc w:val="left"/>
            </w:pPr>
            <w:r>
              <w:rPr>
                <w:rFonts w:ascii="Calibri" w:hAnsi="Calibri"/>
                <w:b/>
                <w:color w:val="20242A"/>
                <w:sz w:val="18"/>
              </w:rPr>
              <w:t>Name</w:t>
            </w:r>
          </w:p>
        </w:tc>
        <w:tc>
          <w:tcPr>
            <w:tcW w:type="dxa" w:w="2660"/>
            <w:shd w:fill="F2F4F7"/>
            <w:tcMar>
              <w:top w:w="80" w:type="dxa"/>
              <w:start w:w="120" w:type="dxa"/>
              <w:bottom w:w="80" w:type="dxa"/>
              <w:end w:w="120" w:type="dxa"/>
            </w:tcMar>
            <w:vAlign w:val="center"/>
          </w:tcPr>
          <w:p>
            <w:pPr>
              <w:spacing w:after="0"/>
              <w:jc w:val="left"/>
            </w:pPr>
            <w:r>
              <w:rPr>
                <w:rFonts w:ascii="Calibri" w:hAnsi="Calibri"/>
                <w:b/>
                <w:color w:val="20242A"/>
                <w:sz w:val="18"/>
              </w:rPr>
              <w:t>Decision</w:t>
            </w:r>
          </w:p>
        </w:tc>
        <w:tc>
          <w:tcPr>
            <w:tcW w:type="dxa" w:w="1750"/>
            <w:shd w:fill="F2F4F7"/>
            <w:tcMar>
              <w:top w:w="80" w:type="dxa"/>
              <w:start w:w="120" w:type="dxa"/>
              <w:bottom w:w="80" w:type="dxa"/>
              <w:end w:w="120" w:type="dxa"/>
            </w:tcMar>
            <w:vAlign w:val="center"/>
          </w:tcPr>
          <w:p>
            <w:pPr>
              <w:spacing w:after="0"/>
              <w:jc w:val="left"/>
            </w:pPr>
            <w:r>
              <w:rPr>
                <w:rFonts w:ascii="Calibri" w:hAnsi="Calibri"/>
                <w:b/>
                <w:color w:val="20242A"/>
                <w:sz w:val="18"/>
              </w:rPr>
              <w:t>Date</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b w:val="0"/>
                <w:color w:val="20242A"/>
                <w:sz w:val="18"/>
              </w:rPr>
              <w:t>Product owner</w:t>
            </w:r>
          </w:p>
        </w:tc>
        <w:tc>
          <w:tcPr>
            <w:tcW w:type="dxa" w:w="2650"/>
            <w:tcMar>
              <w:top w:w="80" w:type="dxa"/>
              <w:start w:w="120" w:type="dxa"/>
              <w:bottom w:w="80" w:type="dxa"/>
              <w:end w:w="120" w:type="dxa"/>
            </w:tcMar>
            <w:vAlign w:val="center"/>
          </w:tcPr>
          <w:p>
            <w:pPr>
              <w:spacing w:after="0" w:line="252" w:lineRule="auto"/>
              <w:jc w:val="left"/>
            </w:pPr>
            <w:r>
              <w:rPr>
                <w:rFonts w:ascii="Calibri" w:hAnsi="Calibri"/>
                <w:b w:val="0"/>
                <w:color w:val="20242A"/>
                <w:sz w:val="18"/>
              </w:rPr>
            </w:r>
          </w:p>
        </w:tc>
        <w:tc>
          <w:tcPr>
            <w:tcW w:type="dxa" w:w="2660"/>
            <w:tcMar>
              <w:top w:w="80" w:type="dxa"/>
              <w:start w:w="120" w:type="dxa"/>
              <w:bottom w:w="80" w:type="dxa"/>
              <w:end w:w="120" w:type="dxa"/>
            </w:tcMar>
            <w:vAlign w:val="center"/>
          </w:tcPr>
          <w:p>
            <w:pPr>
              <w:spacing w:after="0"/>
            </w:pPr>
            <w:r>
              <w:t>Approved for BRD</w:t>
            </w:r>
          </w:p>
        </w:tc>
        <w:tc>
          <w:tcPr>
            <w:tcW w:type="dxa" w:w="1750"/>
            <w:tcMar>
              <w:top w:w="80" w:type="dxa"/>
              <w:start w:w="120" w:type="dxa"/>
              <w:bottom w:w="80" w:type="dxa"/>
              <w:end w:w="120" w:type="dxa"/>
            </w:tcMar>
            <w:vAlign w:val="center"/>
          </w:tcPr>
          <w:p>
            <w:pPr>
              <w:spacing w:after="0"/>
            </w:pPr>
            <w:r>
              <w:t>31 July 2026</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b w:val="0"/>
                <w:color w:val="20242A"/>
                <w:sz w:val="18"/>
              </w:rPr>
              <w:t>Engineering lead</w:t>
            </w:r>
          </w:p>
        </w:tc>
        <w:tc>
          <w:tcPr>
            <w:tcW w:type="dxa" w:w="2650"/>
            <w:shd w:fill="FAFBFC"/>
            <w:tcMar>
              <w:top w:w="80" w:type="dxa"/>
              <w:start w:w="120" w:type="dxa"/>
              <w:bottom w:w="80" w:type="dxa"/>
              <w:end w:w="120" w:type="dxa"/>
            </w:tcMar>
            <w:vAlign w:val="center"/>
          </w:tcPr>
          <w:p>
            <w:pPr>
              <w:spacing w:after="0" w:line="252" w:lineRule="auto"/>
              <w:jc w:val="left"/>
            </w:pPr>
            <w:r>
              <w:rPr>
                <w:rFonts w:ascii="Calibri" w:hAnsi="Calibri"/>
                <w:b w:val="0"/>
                <w:color w:val="20242A"/>
                <w:sz w:val="18"/>
              </w:rPr>
            </w:r>
          </w:p>
        </w:tc>
        <w:tc>
          <w:tcPr>
            <w:tcW w:type="dxa" w:w="2660"/>
            <w:shd w:fill="FAFBFC"/>
            <w:tcMar>
              <w:top w:w="80" w:type="dxa"/>
              <w:start w:w="120" w:type="dxa"/>
              <w:bottom w:w="80" w:type="dxa"/>
              <w:end w:w="120" w:type="dxa"/>
            </w:tcMar>
            <w:vAlign w:val="center"/>
          </w:tcPr>
          <w:p>
            <w:pPr>
              <w:spacing w:after="0"/>
            </w:pPr>
            <w:r>
              <w:t>Approved for BRD</w:t>
            </w:r>
          </w:p>
        </w:tc>
        <w:tc>
          <w:tcPr>
            <w:tcW w:type="dxa" w:w="1750"/>
            <w:shd w:fill="FAFBFC"/>
            <w:tcMar>
              <w:top w:w="80" w:type="dxa"/>
              <w:start w:w="120" w:type="dxa"/>
              <w:bottom w:w="80" w:type="dxa"/>
              <w:end w:w="120" w:type="dxa"/>
            </w:tcMar>
            <w:vAlign w:val="center"/>
          </w:tcPr>
          <w:p>
            <w:pPr>
              <w:spacing w:after="0"/>
            </w:pPr>
            <w:r>
              <w:t>31 July 2026</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b w:val="0"/>
                <w:color w:val="20242A"/>
                <w:sz w:val="18"/>
              </w:rPr>
              <w:t>Finance domain owner</w:t>
            </w:r>
          </w:p>
        </w:tc>
        <w:tc>
          <w:tcPr>
            <w:tcW w:type="dxa" w:w="2650"/>
            <w:tcMar>
              <w:top w:w="80" w:type="dxa"/>
              <w:start w:w="120" w:type="dxa"/>
              <w:bottom w:w="80" w:type="dxa"/>
              <w:end w:w="120" w:type="dxa"/>
            </w:tcMar>
            <w:vAlign w:val="center"/>
          </w:tcPr>
          <w:p>
            <w:pPr>
              <w:spacing w:after="0" w:line="252" w:lineRule="auto"/>
              <w:jc w:val="left"/>
            </w:pPr>
            <w:r>
              <w:rPr>
                <w:rFonts w:ascii="Calibri" w:hAnsi="Calibri"/>
                <w:b w:val="0"/>
                <w:color w:val="20242A"/>
                <w:sz w:val="18"/>
              </w:rPr>
            </w:r>
          </w:p>
        </w:tc>
        <w:tc>
          <w:tcPr>
            <w:tcW w:type="dxa" w:w="2660"/>
            <w:tcMar>
              <w:top w:w="80" w:type="dxa"/>
              <w:start w:w="120" w:type="dxa"/>
              <w:bottom w:w="80" w:type="dxa"/>
              <w:end w:w="120" w:type="dxa"/>
            </w:tcMar>
            <w:vAlign w:val="center"/>
          </w:tcPr>
          <w:p>
            <w:pPr>
              <w:spacing w:after="0"/>
            </w:pPr>
            <w:r>
              <w:t>Approved for BRD</w:t>
            </w:r>
          </w:p>
        </w:tc>
        <w:tc>
          <w:tcPr>
            <w:tcW w:type="dxa" w:w="1750"/>
            <w:tcMar>
              <w:top w:w="80" w:type="dxa"/>
              <w:start w:w="120" w:type="dxa"/>
              <w:bottom w:w="80" w:type="dxa"/>
              <w:end w:w="120" w:type="dxa"/>
            </w:tcMar>
            <w:vAlign w:val="center"/>
          </w:tcPr>
          <w:p>
            <w:pPr>
              <w:spacing w:after="0"/>
            </w:pPr>
            <w:r>
              <w:t>31 July 2026</w:t>
            </w:r>
          </w:p>
        </w:tc>
      </w:tr>
      <w:tr>
        <w:trPr>
          <w:cantSplit/>
        </w:trPr>
        <w:tc>
          <w:tcPr>
            <w:tcW w:type="dxa" w:w="2300"/>
            <w:shd w:fill="FAFBFC"/>
            <w:tcMar>
              <w:top w:w="80" w:type="dxa"/>
              <w:start w:w="120" w:type="dxa"/>
              <w:bottom w:w="80" w:type="dxa"/>
              <w:end w:w="120" w:type="dxa"/>
            </w:tcMar>
            <w:vAlign w:val="center"/>
          </w:tcPr>
          <w:p>
            <w:pPr>
              <w:spacing w:after="0" w:line="252" w:lineRule="auto"/>
              <w:jc w:val="left"/>
            </w:pPr>
            <w:r>
              <w:rPr>
                <w:rFonts w:ascii="Calibri" w:hAnsi="Calibri"/>
                <w:b w:val="0"/>
                <w:color w:val="20242A"/>
                <w:sz w:val="18"/>
              </w:rPr>
              <w:t>Security / platform owner</w:t>
            </w:r>
          </w:p>
        </w:tc>
        <w:tc>
          <w:tcPr>
            <w:tcW w:type="dxa" w:w="2650"/>
            <w:shd w:fill="FAFBFC"/>
            <w:tcMar>
              <w:top w:w="80" w:type="dxa"/>
              <w:start w:w="120" w:type="dxa"/>
              <w:bottom w:w="80" w:type="dxa"/>
              <w:end w:w="120" w:type="dxa"/>
            </w:tcMar>
            <w:vAlign w:val="center"/>
          </w:tcPr>
          <w:p>
            <w:pPr>
              <w:spacing w:after="0" w:line="252" w:lineRule="auto"/>
              <w:jc w:val="left"/>
            </w:pPr>
            <w:r>
              <w:rPr>
                <w:rFonts w:ascii="Calibri" w:hAnsi="Calibri"/>
                <w:b w:val="0"/>
                <w:color w:val="20242A"/>
                <w:sz w:val="18"/>
              </w:rPr>
            </w:r>
          </w:p>
        </w:tc>
        <w:tc>
          <w:tcPr>
            <w:tcW w:type="dxa" w:w="2660"/>
            <w:shd w:fill="FAFBFC"/>
            <w:tcMar>
              <w:top w:w="80" w:type="dxa"/>
              <w:start w:w="120" w:type="dxa"/>
              <w:bottom w:w="80" w:type="dxa"/>
              <w:end w:w="120" w:type="dxa"/>
            </w:tcMar>
            <w:vAlign w:val="center"/>
          </w:tcPr>
          <w:p>
            <w:pPr>
              <w:spacing w:after="0"/>
            </w:pPr>
            <w:r>
              <w:t>Approved for BRD</w:t>
            </w:r>
          </w:p>
        </w:tc>
        <w:tc>
          <w:tcPr>
            <w:tcW w:type="dxa" w:w="1750"/>
            <w:shd w:fill="FAFBFC"/>
            <w:tcMar>
              <w:top w:w="80" w:type="dxa"/>
              <w:start w:w="120" w:type="dxa"/>
              <w:bottom w:w="80" w:type="dxa"/>
              <w:end w:w="120" w:type="dxa"/>
            </w:tcMar>
            <w:vAlign w:val="center"/>
          </w:tcPr>
          <w:p>
            <w:pPr>
              <w:spacing w:after="0"/>
            </w:pPr>
            <w:r>
              <w:t>31 July 2026</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color w:val="20242A"/>
                <w:sz w:val="18"/>
              </w:rPr>
              <w:t>Business sponsor</w:t>
            </w:r>
          </w:p>
        </w:tc>
        <w:tc>
          <w:tcPr>
            <w:tcW w:type="dxa" w:w="2650"/>
            <w:vAlign w:val="center"/>
            <w:tcMar>
              <w:top w:w="80" w:type="dxa"/>
              <w:start w:w="120" w:type="dxa"/>
              <w:bottom w:w="80" w:type="dxa"/>
              <w:end w:w="120" w:type="dxa"/>
            </w:tcMar>
          </w:tcPr>
          <w:p>
            <w:pPr>
              <w:spacing w:after="0"/>
            </w:pPr>
            <w:r>
              <w:rPr>
                <w:rFonts w:ascii="Calibri" w:hAnsi="Calibri"/>
                <w:b w:val="0"/>
                <w:color w:val="20242A"/>
                <w:sz w:val="18"/>
              </w:rPr>
            </w:r>
          </w:p>
        </w:tc>
        <w:tc>
          <w:tcPr>
            <w:tcW w:type="dxa" w:w="2660"/>
            <w:vAlign w:val="center"/>
            <w:tcMar>
              <w:top w:w="80" w:type="dxa"/>
              <w:start w:w="120" w:type="dxa"/>
              <w:bottom w:w="80" w:type="dxa"/>
              <w:end w:w="120" w:type="dxa"/>
            </w:tcMar>
          </w:tcPr>
          <w:p>
            <w:pPr>
              <w:spacing w:after="0"/>
            </w:pPr>
            <w:r>
              <w:t>Approved for BRD</w:t>
            </w:r>
          </w:p>
        </w:tc>
        <w:tc>
          <w:tcPr>
            <w:tcW w:type="dxa" w:w="1750"/>
            <w:vAlign w:val="center"/>
            <w:tcMar>
              <w:top w:w="80" w:type="dxa"/>
              <w:start w:w="120" w:type="dxa"/>
              <w:bottom w:w="80" w:type="dxa"/>
              <w:end w:w="120" w:type="dxa"/>
            </w:tcMar>
          </w:tcPr>
          <w:p>
            <w:pPr>
              <w:spacing w:after="0"/>
            </w:pPr>
            <w:r>
              <w:t>31 July 2026</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color w:val="20242A"/>
                <w:sz w:val="18"/>
              </w:rPr>
              <w:t>Business analysis lead</w:t>
            </w:r>
          </w:p>
        </w:tc>
        <w:tc>
          <w:tcPr>
            <w:tcW w:type="dxa" w:w="2650"/>
            <w:vAlign w:val="center"/>
            <w:tcMar>
              <w:top w:w="80" w:type="dxa"/>
              <w:start w:w="120" w:type="dxa"/>
              <w:bottom w:w="80" w:type="dxa"/>
              <w:end w:w="120" w:type="dxa"/>
            </w:tcMar>
          </w:tcPr>
          <w:p>
            <w:pPr>
              <w:spacing w:after="0"/>
            </w:pPr>
            <w:r>
              <w:rPr>
                <w:rFonts w:ascii="Calibri" w:hAnsi="Calibri"/>
                <w:b w:val="0"/>
                <w:color w:val="20242A"/>
                <w:sz w:val="18"/>
              </w:rPr>
            </w:r>
          </w:p>
        </w:tc>
        <w:tc>
          <w:tcPr>
            <w:tcW w:type="dxa" w:w="2660"/>
            <w:vAlign w:val="center"/>
            <w:tcMar>
              <w:top w:w="80" w:type="dxa"/>
              <w:start w:w="120" w:type="dxa"/>
              <w:bottom w:w="80" w:type="dxa"/>
              <w:end w:w="120" w:type="dxa"/>
            </w:tcMar>
          </w:tcPr>
          <w:p>
            <w:pPr>
              <w:spacing w:after="0"/>
            </w:pPr>
            <w:r>
              <w:t>Approved for BRD</w:t>
            </w:r>
          </w:p>
        </w:tc>
        <w:tc>
          <w:tcPr>
            <w:tcW w:type="dxa" w:w="1750"/>
            <w:vAlign w:val="center"/>
            <w:tcMar>
              <w:top w:w="80" w:type="dxa"/>
              <w:start w:w="120" w:type="dxa"/>
              <w:bottom w:w="80" w:type="dxa"/>
              <w:end w:w="120" w:type="dxa"/>
            </w:tcMar>
          </w:tcPr>
          <w:p>
            <w:pPr>
              <w:spacing w:after="0"/>
            </w:pPr>
            <w:r>
              <w:t>31 July 2026</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color w:val="20242A"/>
                <w:sz w:val="18"/>
              </w:rPr>
              <w:t>Compliance / privacy owner</w:t>
            </w:r>
          </w:p>
        </w:tc>
        <w:tc>
          <w:tcPr>
            <w:tcW w:type="dxa" w:w="2650"/>
            <w:vAlign w:val="center"/>
            <w:tcMar>
              <w:top w:w="80" w:type="dxa"/>
              <w:start w:w="120" w:type="dxa"/>
              <w:bottom w:w="80" w:type="dxa"/>
              <w:end w:w="120" w:type="dxa"/>
            </w:tcMar>
          </w:tcPr>
          <w:p>
            <w:pPr>
              <w:spacing w:after="0"/>
            </w:pPr>
            <w:r>
              <w:rPr>
                <w:rFonts w:ascii="Calibri" w:hAnsi="Calibri"/>
                <w:b w:val="0"/>
                <w:color w:val="20242A"/>
                <w:sz w:val="18"/>
              </w:rPr>
            </w:r>
          </w:p>
        </w:tc>
        <w:tc>
          <w:tcPr>
            <w:tcW w:type="dxa" w:w="2660"/>
            <w:vAlign w:val="center"/>
            <w:tcMar>
              <w:top w:w="80" w:type="dxa"/>
              <w:start w:w="120" w:type="dxa"/>
              <w:bottom w:w="80" w:type="dxa"/>
              <w:end w:w="120" w:type="dxa"/>
            </w:tcMar>
          </w:tcPr>
          <w:p>
            <w:pPr>
              <w:spacing w:after="0"/>
            </w:pPr>
            <w:r>
              <w:t>Approved for BRD</w:t>
            </w:r>
          </w:p>
        </w:tc>
        <w:tc>
          <w:tcPr>
            <w:tcW w:type="dxa" w:w="1750"/>
            <w:vAlign w:val="center"/>
            <w:tcMar>
              <w:top w:w="80" w:type="dxa"/>
              <w:start w:w="120" w:type="dxa"/>
              <w:bottom w:w="80" w:type="dxa"/>
              <w:end w:w="120" w:type="dxa"/>
            </w:tcMar>
          </w:tcPr>
          <w:p>
            <w:pPr>
              <w:spacing w:after="0"/>
            </w:pPr>
            <w:r>
              <w:t>31 July 2026</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color w:val="20242A"/>
                <w:sz w:val="18"/>
              </w:rPr>
              <w:t>Implementation lead</w:t>
            </w:r>
          </w:p>
        </w:tc>
        <w:tc>
          <w:tcPr>
            <w:tcW w:type="dxa" w:w="2650"/>
            <w:vAlign w:val="center"/>
            <w:tcMar>
              <w:top w:w="80" w:type="dxa"/>
              <w:start w:w="120" w:type="dxa"/>
              <w:bottom w:w="80" w:type="dxa"/>
              <w:end w:w="120" w:type="dxa"/>
            </w:tcMar>
          </w:tcPr>
          <w:p>
            <w:pPr>
              <w:spacing w:after="0"/>
            </w:pPr>
            <w:r>
              <w:rPr>
                <w:rFonts w:ascii="Calibri" w:hAnsi="Calibri"/>
                <w:b w:val="0"/>
                <w:color w:val="20242A"/>
                <w:sz w:val="18"/>
              </w:rPr>
            </w:r>
          </w:p>
        </w:tc>
        <w:tc>
          <w:tcPr>
            <w:tcW w:type="dxa" w:w="2660"/>
            <w:vAlign w:val="center"/>
            <w:tcMar>
              <w:top w:w="80" w:type="dxa"/>
              <w:start w:w="120" w:type="dxa"/>
              <w:bottom w:w="80" w:type="dxa"/>
              <w:end w:w="120" w:type="dxa"/>
            </w:tcMar>
          </w:tcPr>
          <w:p>
            <w:pPr>
              <w:spacing w:after="0"/>
            </w:pPr>
            <w:r>
              <w:t>Approved for BRD</w:t>
            </w:r>
          </w:p>
        </w:tc>
        <w:tc>
          <w:tcPr>
            <w:tcW w:type="dxa" w:w="1750"/>
            <w:vAlign w:val="center"/>
            <w:tcMar>
              <w:top w:w="80" w:type="dxa"/>
              <w:start w:w="120" w:type="dxa"/>
              <w:bottom w:w="80" w:type="dxa"/>
              <w:end w:w="120" w:type="dxa"/>
            </w:tcMar>
          </w:tcPr>
          <w:p>
            <w:pPr>
              <w:spacing w:after="0"/>
            </w:pPr>
            <w:r>
              <w:t>31 July 2026</w:t>
            </w:r>
          </w:p>
        </w:tc>
      </w:tr>
    </w:tbl>
    <w:p>
      <w:pPr>
        <w:spacing w:before="80"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D6673"/>
        <w:sz w:val="18"/>
      </w:rPr>
      <w:t xml:space="preserve">Page </w:t>
    </w:r>
    <w:r>
      <w:rPr>
        <w:rFonts w:ascii="Calibri" w:hAnsi="Calibri"/>
        <w:color w:val="5D6673"/>
        <w:sz w:val="18"/>
      </w:rPr>
      <w:fldChar w:fldCharType="begin"/>
      <w:instrText xml:space="preserve">PAGE</w:instrText>
      <w:fldChar w:fldCharType="separate"/>
      <w:t>1</w:t>
      <w:fldChar w:fldCharType="end"/>
    </w:r>
    <w:r>
      <w:rPr>
        <w:rFonts w:ascii="Calibri" w:hAnsi="Calibri"/>
        <w:color w:val="5D6673"/>
        <w:sz w:val="18"/>
      </w:rPr>
      <w:t xml:space="preserve"> of </w:t>
    </w:r>
    <w:r>
      <w:rPr>
        <w:rFonts w:ascii="Calibri" w:hAnsi="Calibri"/>
        <w:color w:val="5D66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t>MINI ERP SAAS PLATFORM   |   PRD v1.2 / FINAL APPROVED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024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D66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basedOn w:val="Normal"/>
    <w:pPr>
      <w:keepLines/>
      <w:spacing w:after="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ERP SaaS Platform - Product Requirements Document</dc:title>
  <dc:subject>Final approved product baseline for BRD initiation</dc:subject>
  <dc:creator>Product, Business Analysis &amp; Engineering</dc:creator>
  <cp:keywords>ERP, SaaS, Saudi Arabia, Wafra, BRD, procurement, inventory, sales, POS, finance, FATOORA, PDPL</cp:keywords>
  <dc:description>Consolidates three PRD drafts and approved product decisions. Release 1 is B2B ERP only; retail POS is excluded.</dc:description>
  <cp:lastModifiedBy/>
  <cp:revision>1</cp:revision>
  <dcterms:created xsi:type="dcterms:W3CDTF">2013-12-23T23:15:00Z</dcterms:created>
  <dcterms:modified xsi:type="dcterms:W3CDTF">2013-12-23T23:15:00Z</dcterms:modified>
  <cp:category/>
  <cp:version>1.2</cp:version>
</cp:coreProperties>
</file>