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B59A" w14:textId="08EF2DCD" w:rsidR="003A71B8" w:rsidRPr="003A71B8" w:rsidRDefault="003A71B8" w:rsidP="003A7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Benchmarking Project</w:t>
      </w:r>
      <w:r w:rsidRPr="003A7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Evaluating Variant Calling Performance at Different Depths of Coverage</w:t>
      </w:r>
    </w:p>
    <w:p w14:paraId="05136224" w14:textId="77777777" w:rsidR="003A71B8" w:rsidRDefault="003A71B8" w:rsidP="003A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The Genome in a Bottle (GIAB) consortium provides well-characterized human reference samples with high-confidence variant calls, serving as a gold standard for benchmarking variant calling pipelines.</w:t>
      </w:r>
    </w:p>
    <w:p w14:paraId="36675ADC" w14:textId="395853E2" w:rsidR="003A71B8" w:rsidRDefault="003A71B8" w:rsidP="003A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8F7F5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https://www.nist.gov/programs-projects/genome-bottle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D1D207" w14:textId="396BA9B7" w:rsidR="003A71B8" w:rsidRPr="003A71B8" w:rsidRDefault="003A71B8" w:rsidP="00777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this exercise, you will explore the relationship between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depth of 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sequencing coverage and variant calling accuracy by subsampling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whole-exome Illumina reads from HG002 and comparing results at multiple depths of coverage (2×, 10×, 40×, and 80×).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71B8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To reduce computational cost, restrict all analyses to </w:t>
      </w:r>
      <w:r w:rsidRPr="003A71B8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chromosome 22</w:t>
      </w:r>
      <w:r w:rsidRPr="003A71B8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.</w:t>
      </w:r>
    </w:p>
    <w:p w14:paraId="6D7347AF" w14:textId="3D7436E4" w:rsidR="003A71B8" w:rsidRPr="003A71B8" w:rsidRDefault="00777A7F" w:rsidP="003A7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Directions</w:t>
      </w:r>
      <w:r w:rsid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4843F8" w14:textId="05B08C6F" w:rsidR="003A71B8" w:rsidRPr="003A71B8" w:rsidRDefault="003A71B8" w:rsidP="003A71B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 xml:space="preserve">You will apply the </w:t>
      </w: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GATK Best Practices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 xml:space="preserve"> pipeline to call variants and benchmark your results using established metrics.</w:t>
      </w:r>
    </w:p>
    <w:p w14:paraId="4C5C4E68" w14:textId="77777777" w:rsidR="003A71B8" w:rsidRDefault="003A71B8" w:rsidP="003A71B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GRCh38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uman reference genome</w:t>
      </w:r>
    </w:p>
    <w:p w14:paraId="097E809E" w14:textId="0817587B" w:rsidR="003A71B8" w:rsidRPr="00777A7F" w:rsidRDefault="003A71B8" w:rsidP="003A71B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 xml:space="preserve">For the gold truth dataset, use 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GIAB truth set for HG002 (VCF + BED for confident regions)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restricted to chromosome 22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E837ED" w14:textId="77777777" w:rsidR="00777A7F" w:rsidRDefault="00777A7F" w:rsidP="00777A7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14:ligatures w14:val="none"/>
        </w:rPr>
      </w:pPr>
      <w:r w:rsidRPr="00777A7F">
        <w:rPr>
          <w:rFonts w:ascii="Times New Roman" w:eastAsia="Times New Roman" w:hAnsi="Times New Roman" w:cs="Times New Roman"/>
          <w:kern w:val="0"/>
          <w14:ligatures w14:val="none"/>
        </w:rPr>
        <w:t>Use this manuscript for be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777A7F"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14:ligatures w14:val="none"/>
        </w:rPr>
        <w:t>hmar</w:t>
      </w:r>
      <w:r w:rsidRPr="00777A7F">
        <w:rPr>
          <w:rFonts w:ascii="Times New Roman" w:eastAsia="Times New Roman" w:hAnsi="Times New Roman" w:cs="Times New Roman"/>
          <w:kern w:val="0"/>
          <w14:ligatures w14:val="none"/>
        </w:rPr>
        <w:t>king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metrrics:</w:t>
      </w:r>
      <w:r w:rsidRPr="00777A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7C0BF8" w14:textId="2A02F7C6" w:rsidR="00777A7F" w:rsidRPr="00777A7F" w:rsidRDefault="00777A7F" w:rsidP="00777A7F">
      <w:pPr>
        <w:pStyle w:val="ListParagraph"/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14:ligatures w14:val="none"/>
        </w:rPr>
      </w:pPr>
      <w:r w:rsidRPr="00777A7F">
        <w:rPr>
          <w:rFonts w:ascii="Times New Roman" w:eastAsia="Times New Roman" w:hAnsi="Times New Roman" w:cs="Times New Roman"/>
          <w:kern w:val="0"/>
          <w14:ligatures w14:val="none"/>
        </w:rPr>
        <w:t>Best practices for benchmarking germline small-variant calls in human genomes:</w:t>
      </w:r>
    </w:p>
    <w:p w14:paraId="5F597405" w14:textId="4E41868F" w:rsidR="00777A7F" w:rsidRPr="003A71B8" w:rsidRDefault="00777A7F" w:rsidP="00777A7F">
      <w:pPr>
        <w:pStyle w:val="ListParagraph"/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hyperlink r:id="rId8" w:history="1">
        <w:r w:rsidRPr="008F7F5F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https://www.nature.com/articles/s41587-019-0054-x</w:t>
        </w:r>
      </w:hyperlink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Hint: 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A71B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hap.py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 xml:space="preserve"> (from the GA4GH benchmarking toolkit) to compute performance metrics:</w:t>
      </w:r>
    </w:p>
    <w:p w14:paraId="05C4D6C3" w14:textId="77777777" w:rsidR="00777A7F" w:rsidRPr="003A71B8" w:rsidRDefault="00777A7F" w:rsidP="00777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(Positive Predictive Value)</w:t>
      </w:r>
    </w:p>
    <w:p w14:paraId="6B6F9C60" w14:textId="77777777" w:rsidR="00777A7F" w:rsidRPr="003A71B8" w:rsidRDefault="00777A7F" w:rsidP="00777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(Sensitivity)</w:t>
      </w:r>
    </w:p>
    <w:p w14:paraId="33CF0F27" w14:textId="77777777" w:rsidR="00777A7F" w:rsidRPr="003A71B8" w:rsidRDefault="00777A7F" w:rsidP="00777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F1-score</w:t>
      </w:r>
    </w:p>
    <w:p w14:paraId="298523CF" w14:textId="77777777" w:rsidR="00777A7F" w:rsidRPr="003A71B8" w:rsidRDefault="00777A7F" w:rsidP="00777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 Rate</w:t>
      </w:r>
    </w:p>
    <w:p w14:paraId="73BB9177" w14:textId="77777777" w:rsidR="00777A7F" w:rsidRPr="003A71B8" w:rsidRDefault="00777A7F" w:rsidP="00777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Genotype Concordance</w:t>
      </w:r>
    </w:p>
    <w:p w14:paraId="7DC87731" w14:textId="77777777" w:rsidR="00777A7F" w:rsidRPr="003A71B8" w:rsidRDefault="00777A7F" w:rsidP="00777A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SNP vs. Indel stratification</w:t>
      </w:r>
    </w:p>
    <w:p w14:paraId="44666A48" w14:textId="10BA8D87" w:rsidR="003A71B8" w:rsidRPr="003A71B8" w:rsidRDefault="003A71B8" w:rsidP="00777A7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Analysis and Interpretation</w:t>
      </w:r>
    </w:p>
    <w:p w14:paraId="2808167D" w14:textId="77777777" w:rsidR="003A71B8" w:rsidRPr="003A71B8" w:rsidRDefault="003A71B8" w:rsidP="003A7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Summarize benchmarking results across the four coverage levels.</w:t>
      </w:r>
    </w:p>
    <w:p w14:paraId="59537414" w14:textId="77777777" w:rsidR="003A71B8" w:rsidRPr="003A71B8" w:rsidRDefault="003A71B8" w:rsidP="003A7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Plot or tabulate:</w:t>
      </w:r>
    </w:p>
    <w:p w14:paraId="719905B8" w14:textId="77777777" w:rsidR="003A71B8" w:rsidRPr="003A71B8" w:rsidRDefault="003A71B8" w:rsidP="003A7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Precision–Recall–F1 across coverage</w:t>
      </w:r>
    </w:p>
    <w:p w14:paraId="167D579C" w14:textId="77777777" w:rsidR="003A71B8" w:rsidRPr="003A71B8" w:rsidRDefault="003A71B8" w:rsidP="003A7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Separate metrics for SNPs and indels</w:t>
      </w:r>
    </w:p>
    <w:p w14:paraId="6196C793" w14:textId="77777777" w:rsidR="003A71B8" w:rsidRPr="003A71B8" w:rsidRDefault="003A71B8" w:rsidP="003A7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Discuss:</w:t>
      </w:r>
    </w:p>
    <w:p w14:paraId="70732C50" w14:textId="77777777" w:rsidR="003A71B8" w:rsidRPr="003A71B8" w:rsidRDefault="003A71B8" w:rsidP="003A7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How coverage depth affects variant detection accuracy</w:t>
      </w:r>
    </w:p>
    <w:p w14:paraId="0D77F812" w14:textId="77777777" w:rsidR="003A71B8" w:rsidRPr="003A71B8" w:rsidRDefault="003A71B8" w:rsidP="003A7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The trade-off between sequencing cost and accuracy</w:t>
      </w:r>
    </w:p>
    <w:p w14:paraId="4E747985" w14:textId="77777777" w:rsidR="003A71B8" w:rsidRPr="003A71B8" w:rsidRDefault="003A71B8" w:rsidP="003A7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Whether higher depth always improves performance</w:t>
      </w:r>
    </w:p>
    <w:p w14:paraId="6566B8E2" w14:textId="725A998F" w:rsidR="003A71B8" w:rsidRPr="003A71B8" w:rsidRDefault="003A71B8" w:rsidP="003A7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CFA093" w14:textId="77777777" w:rsidR="003A71B8" w:rsidRPr="003A71B8" w:rsidRDefault="003A71B8" w:rsidP="003A7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28500584" w14:textId="77777777" w:rsidR="003A71B8" w:rsidRPr="003A71B8" w:rsidRDefault="003A71B8" w:rsidP="003A7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(max 3 pages)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 xml:space="preserve"> including:</w:t>
      </w:r>
    </w:p>
    <w:p w14:paraId="20F051D3" w14:textId="77777777" w:rsidR="003A71B8" w:rsidRPr="003A71B8" w:rsidRDefault="003A71B8" w:rsidP="003A7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Methods summary</w:t>
      </w:r>
    </w:p>
    <w:p w14:paraId="3E7FE052" w14:textId="77777777" w:rsidR="003A71B8" w:rsidRPr="003A71B8" w:rsidRDefault="003A71B8" w:rsidP="003A7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Benchmarking results (tables/plots)</w:t>
      </w:r>
    </w:p>
    <w:p w14:paraId="4ACD8D5E" w14:textId="77777777" w:rsidR="003A71B8" w:rsidRPr="003A71B8" w:rsidRDefault="003A71B8" w:rsidP="003A7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Interpretation of trends</w:t>
      </w:r>
    </w:p>
    <w:p w14:paraId="4AB53859" w14:textId="77777777" w:rsidR="003A71B8" w:rsidRPr="003A71B8" w:rsidRDefault="003A71B8" w:rsidP="003A7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files:</w:t>
      </w:r>
    </w:p>
    <w:p w14:paraId="253F8912" w14:textId="77777777" w:rsidR="003A71B8" w:rsidRPr="003A71B8" w:rsidRDefault="003A71B8" w:rsidP="003A7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Benchmarking metrics output</w:t>
      </w:r>
    </w:p>
    <w:p w14:paraId="117A501C" w14:textId="18C1F91D" w:rsidR="003A71B8" w:rsidRPr="003A71B8" w:rsidRDefault="003A71B8" w:rsidP="003A7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Commands or workflow scripts (bash)</w:t>
      </w:r>
    </w:p>
    <w:p w14:paraId="1C5FEA1C" w14:textId="647E923E" w:rsidR="003A71B8" w:rsidRPr="003A71B8" w:rsidRDefault="003A71B8" w:rsidP="003A7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A506E5" w14:textId="77777777" w:rsidR="003A71B8" w:rsidRPr="003A71B8" w:rsidRDefault="003A71B8" w:rsidP="003A7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Extension</w:t>
      </w:r>
    </w:p>
    <w:p w14:paraId="2406470D" w14:textId="77777777" w:rsidR="003A71B8" w:rsidRPr="003A71B8" w:rsidRDefault="003A71B8" w:rsidP="003A7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1B8">
        <w:rPr>
          <w:rFonts w:ascii="Times New Roman" w:eastAsia="Times New Roman" w:hAnsi="Times New Roman" w:cs="Times New Roman"/>
          <w:kern w:val="0"/>
          <w14:ligatures w14:val="none"/>
        </w:rPr>
        <w:t xml:space="preserve">Compare results using an alternative variant caller (e.g., </w:t>
      </w: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DeepVariant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A7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FreeBayes</w:t>
      </w:r>
      <w:r w:rsidRPr="003A71B8">
        <w:rPr>
          <w:rFonts w:ascii="Times New Roman" w:eastAsia="Times New Roman" w:hAnsi="Times New Roman" w:cs="Times New Roman"/>
          <w:kern w:val="0"/>
          <w14:ligatures w14:val="none"/>
        </w:rPr>
        <w:t>) at one depth (e.g., 40×).</w:t>
      </w:r>
    </w:p>
    <w:p w14:paraId="01801666" w14:textId="66BD4404" w:rsidR="003A71B8" w:rsidRPr="003A71B8" w:rsidRDefault="003A71B8" w:rsidP="003A7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A36F1F" w14:textId="77777777" w:rsidR="0043361D" w:rsidRDefault="0043361D"/>
    <w:sectPr w:rsidR="004336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20EF7" w14:textId="77777777" w:rsidR="007A75E6" w:rsidRDefault="007A75E6" w:rsidP="00777A7F">
      <w:pPr>
        <w:spacing w:after="0" w:line="240" w:lineRule="auto"/>
      </w:pPr>
      <w:r>
        <w:separator/>
      </w:r>
    </w:p>
  </w:endnote>
  <w:endnote w:type="continuationSeparator" w:id="0">
    <w:p w14:paraId="09C42A74" w14:textId="77777777" w:rsidR="007A75E6" w:rsidRDefault="007A75E6" w:rsidP="00777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C790" w14:textId="77777777" w:rsidR="007A75E6" w:rsidRDefault="007A75E6" w:rsidP="00777A7F">
      <w:pPr>
        <w:spacing w:after="0" w:line="240" w:lineRule="auto"/>
      </w:pPr>
      <w:r>
        <w:separator/>
      </w:r>
    </w:p>
  </w:footnote>
  <w:footnote w:type="continuationSeparator" w:id="0">
    <w:p w14:paraId="1F5F8BF6" w14:textId="77777777" w:rsidR="007A75E6" w:rsidRDefault="007A75E6" w:rsidP="00777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3E1"/>
    <w:multiLevelType w:val="multilevel"/>
    <w:tmpl w:val="60B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4229"/>
    <w:multiLevelType w:val="multilevel"/>
    <w:tmpl w:val="C76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164F"/>
    <w:multiLevelType w:val="multilevel"/>
    <w:tmpl w:val="0B9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76446"/>
    <w:multiLevelType w:val="multilevel"/>
    <w:tmpl w:val="247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83E7C"/>
    <w:multiLevelType w:val="multilevel"/>
    <w:tmpl w:val="BD1E99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B14D2"/>
    <w:multiLevelType w:val="multilevel"/>
    <w:tmpl w:val="E902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C6725"/>
    <w:multiLevelType w:val="hybridMultilevel"/>
    <w:tmpl w:val="5D10BECE"/>
    <w:lvl w:ilvl="0" w:tplc="E59E7BE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A753C"/>
    <w:multiLevelType w:val="multilevel"/>
    <w:tmpl w:val="9DC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646FE"/>
    <w:multiLevelType w:val="multilevel"/>
    <w:tmpl w:val="809C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35EF3"/>
    <w:multiLevelType w:val="multilevel"/>
    <w:tmpl w:val="973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41308">
    <w:abstractNumId w:val="1"/>
  </w:num>
  <w:num w:numId="2" w16cid:durableId="1557929182">
    <w:abstractNumId w:val="9"/>
  </w:num>
  <w:num w:numId="3" w16cid:durableId="336348903">
    <w:abstractNumId w:val="2"/>
  </w:num>
  <w:num w:numId="4" w16cid:durableId="784157114">
    <w:abstractNumId w:val="7"/>
  </w:num>
  <w:num w:numId="5" w16cid:durableId="1998806486">
    <w:abstractNumId w:val="5"/>
  </w:num>
  <w:num w:numId="6" w16cid:durableId="1107895113">
    <w:abstractNumId w:val="4"/>
  </w:num>
  <w:num w:numId="7" w16cid:durableId="1844861026">
    <w:abstractNumId w:val="8"/>
  </w:num>
  <w:num w:numId="8" w16cid:durableId="2040469919">
    <w:abstractNumId w:val="0"/>
  </w:num>
  <w:num w:numId="9" w16cid:durableId="1816331743">
    <w:abstractNumId w:val="3"/>
  </w:num>
  <w:num w:numId="10" w16cid:durableId="18767741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B8"/>
    <w:rsid w:val="0021238A"/>
    <w:rsid w:val="00227399"/>
    <w:rsid w:val="003A71B8"/>
    <w:rsid w:val="0043361D"/>
    <w:rsid w:val="006F586C"/>
    <w:rsid w:val="00777A7F"/>
    <w:rsid w:val="007A75E6"/>
    <w:rsid w:val="00905239"/>
    <w:rsid w:val="00CC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E399"/>
  <w15:chartTrackingRefBased/>
  <w15:docId w15:val="{510F1FE5-E57F-754A-965E-363F241D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7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7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7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7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71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71B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A71B8"/>
    <w:rPr>
      <w:i/>
      <w:iCs/>
    </w:rPr>
  </w:style>
  <w:style w:type="character" w:styleId="Hyperlink">
    <w:name w:val="Hyperlink"/>
    <w:basedOn w:val="DefaultParagraphFont"/>
    <w:uiPriority w:val="99"/>
    <w:unhideWhenUsed/>
    <w:rsid w:val="003A71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7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7F"/>
  </w:style>
  <w:style w:type="paragraph" w:styleId="Footer">
    <w:name w:val="footer"/>
    <w:basedOn w:val="Normal"/>
    <w:link w:val="FooterChar"/>
    <w:uiPriority w:val="99"/>
    <w:unhideWhenUsed/>
    <w:rsid w:val="00777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87-019-0054-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ist.gov/programs-projects/genome-bott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 Ahmed Mansour Ahmed</dc:creator>
  <cp:keywords/>
  <dc:description/>
  <cp:lastModifiedBy>Tamer Ahmed Mansour Ahmed</cp:lastModifiedBy>
  <cp:revision>1</cp:revision>
  <dcterms:created xsi:type="dcterms:W3CDTF">2025-11-09T15:07:00Z</dcterms:created>
  <dcterms:modified xsi:type="dcterms:W3CDTF">2025-11-09T15:22:00Z</dcterms:modified>
</cp:coreProperties>
</file>