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A091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  <w:r w:rsidRPr="00281A83"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731CC080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3111E8EF" w14:textId="77777777" w:rsidR="00450264" w:rsidRPr="00281A83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1721EB2C" w14:textId="61754347" w:rsidR="00450264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</w:t>
      </w:r>
      <w:r w:rsidR="00576CE1">
        <w:rPr>
          <w:rFonts w:cs="B Yekan" w:hint="cs"/>
          <w:sz w:val="32"/>
          <w:szCs w:val="32"/>
          <w:rtl/>
          <w:lang w:bidi="fa-IR"/>
        </w:rPr>
        <w:t>آزمایشگاه اپتیک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دکتر </w:t>
      </w:r>
      <w:r w:rsidR="00576CE1">
        <w:rPr>
          <w:rFonts w:cs="B Yekan" w:hint="cs"/>
          <w:sz w:val="32"/>
          <w:szCs w:val="32"/>
          <w:rtl/>
          <w:lang w:bidi="fa-IR"/>
        </w:rPr>
        <w:t>مهدوی</w:t>
      </w:r>
    </w:p>
    <w:p w14:paraId="0B47C25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5AF83948" w14:textId="6FF61FC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گروه </w:t>
      </w:r>
      <w:r w:rsidR="00576CE1">
        <w:rPr>
          <w:rFonts w:cs="B Yekan" w:hint="cs"/>
          <w:sz w:val="32"/>
          <w:szCs w:val="32"/>
          <w:rtl/>
          <w:lang w:bidi="fa-IR"/>
        </w:rPr>
        <w:t>دوم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چهارشنبه از ساعت </w:t>
      </w:r>
      <w:r w:rsidR="00576CE1">
        <w:rPr>
          <w:rFonts w:cs="B Yekan" w:hint="cs"/>
          <w:sz w:val="32"/>
          <w:szCs w:val="32"/>
          <w:rtl/>
          <w:lang w:bidi="fa-IR"/>
        </w:rPr>
        <w:t>13:3</w:t>
      </w:r>
      <w:r>
        <w:rPr>
          <w:rFonts w:cs="B Yekan" w:hint="cs"/>
          <w:sz w:val="32"/>
          <w:szCs w:val="32"/>
          <w:rtl/>
          <w:lang w:bidi="fa-IR"/>
        </w:rPr>
        <w:t>0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الی </w:t>
      </w:r>
      <w:r w:rsidR="00576CE1">
        <w:rPr>
          <w:rFonts w:cs="B Yekan" w:hint="cs"/>
          <w:sz w:val="32"/>
          <w:szCs w:val="32"/>
          <w:rtl/>
          <w:lang w:bidi="fa-IR"/>
        </w:rPr>
        <w:t>17</w:t>
      </w:r>
      <w:r w:rsidRPr="00281A83">
        <w:rPr>
          <w:rFonts w:cs="B Yekan" w:hint="cs"/>
          <w:sz w:val="32"/>
          <w:szCs w:val="32"/>
          <w:rtl/>
          <w:lang w:bidi="fa-IR"/>
        </w:rPr>
        <w:t>:</w:t>
      </w:r>
      <w:r w:rsidR="00576CE1">
        <w:rPr>
          <w:rFonts w:cs="B Yekan" w:hint="cs"/>
          <w:sz w:val="32"/>
          <w:szCs w:val="32"/>
          <w:rtl/>
          <w:lang w:bidi="fa-IR"/>
        </w:rPr>
        <w:t>3</w:t>
      </w:r>
      <w:r w:rsidRPr="00281A83">
        <w:rPr>
          <w:rFonts w:cs="B Yekan" w:hint="cs"/>
          <w:sz w:val="32"/>
          <w:szCs w:val="32"/>
          <w:rtl/>
          <w:lang w:bidi="fa-IR"/>
        </w:rPr>
        <w:t>0</w:t>
      </w:r>
    </w:p>
    <w:p w14:paraId="2F19B097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079851D2" w14:textId="3B8E7A42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467AC1">
        <w:rPr>
          <w:rFonts w:cs="B Yekan" w:hint="cs"/>
          <w:sz w:val="32"/>
          <w:szCs w:val="32"/>
          <w:rtl/>
          <w:lang w:bidi="fa-IR"/>
        </w:rPr>
        <w:t>دوازدهم</w:t>
      </w:r>
    </w:p>
    <w:p w14:paraId="1FDF40CC" w14:textId="50058600" w:rsidR="00DD5E05" w:rsidRPr="001260E0" w:rsidRDefault="00467AC1" w:rsidP="00DD5E05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کار با تداخل سنج فابری پرو</w:t>
      </w:r>
    </w:p>
    <w:p w14:paraId="64C268E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11405DD6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6D5C9961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۹۶۱۰۱۰۳۵</w:t>
      </w:r>
    </w:p>
    <w:p w14:paraId="58333765" w14:textId="15063CC9" w:rsidR="00F13789" w:rsidRDefault="00F13789">
      <w:pPr>
        <w:rPr>
          <w:rtl/>
        </w:rPr>
      </w:pPr>
    </w:p>
    <w:p w14:paraId="2B56B281" w14:textId="380ABD48" w:rsidR="00450264" w:rsidRDefault="00450264">
      <w:pPr>
        <w:rPr>
          <w:rtl/>
        </w:rPr>
      </w:pPr>
    </w:p>
    <w:p w14:paraId="0F0C3266" w14:textId="61F63238" w:rsidR="00450264" w:rsidRDefault="00450264">
      <w:pPr>
        <w:rPr>
          <w:rtl/>
        </w:rPr>
      </w:pPr>
    </w:p>
    <w:p w14:paraId="2788998C" w14:textId="0CFE8A73" w:rsidR="00EE36E6" w:rsidRDefault="00EE36E6" w:rsidP="00EE36E6">
      <w:pPr>
        <w:bidi/>
        <w:rPr>
          <w:rFonts w:cs="B Nazanin"/>
          <w:sz w:val="28"/>
          <w:szCs w:val="28"/>
          <w:rtl/>
          <w:lang w:bidi="fa-IR"/>
        </w:rPr>
      </w:pPr>
    </w:p>
    <w:p w14:paraId="6D7CDF18" w14:textId="362A3BD4" w:rsidR="00D81A83" w:rsidRPr="00167620" w:rsidRDefault="00EE36E6" w:rsidP="00167620">
      <w:pPr>
        <w:pStyle w:val="ListParagraph"/>
        <w:numPr>
          <w:ilvl w:val="0"/>
          <w:numId w:val="16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167620">
        <w:rPr>
          <w:rFonts w:cs="B Nazanin"/>
          <w:sz w:val="28"/>
          <w:szCs w:val="28"/>
          <w:rtl/>
          <w:lang w:bidi="fa-IR"/>
        </w:rPr>
        <w:br w:type="page"/>
      </w:r>
      <w:r w:rsidR="00167620" w:rsidRPr="0016762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بطور خلاصه اجزاء تداخل سنج فابری پرو را معرفی نمایید.</w:t>
      </w:r>
    </w:p>
    <w:p w14:paraId="4C6F4431" w14:textId="21C3EA6D" w:rsidR="001D64E1" w:rsidRDefault="00167620" w:rsidP="001D64E1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تداخل سنج از دو تیغه ی نیمه اندود</w:t>
      </w:r>
      <w:r w:rsidR="001D64E1">
        <w:rPr>
          <w:rFonts w:cs="B Nazanin" w:hint="cs"/>
          <w:sz w:val="32"/>
          <w:szCs w:val="32"/>
          <w:rtl/>
          <w:lang w:bidi="fa-IR"/>
        </w:rPr>
        <w:t xml:space="preserve"> (80 درصد به بالا)</w:t>
      </w:r>
      <w:r>
        <w:rPr>
          <w:rFonts w:cs="B Nazanin" w:hint="cs"/>
          <w:sz w:val="32"/>
          <w:szCs w:val="32"/>
          <w:rtl/>
          <w:lang w:bidi="fa-IR"/>
        </w:rPr>
        <w:t xml:space="preserve"> تشکیل شده که موازی هم هستند. یکی از این تیغه ها قابلیت تحرک در راستای سطح خود را دارد و دیگری دارای دو پیچ تنظیم برای منحرف کردن و چرخاندن آن است.</w:t>
      </w:r>
      <w:r w:rsidR="001D64E1">
        <w:rPr>
          <w:rFonts w:cs="B Nazanin" w:hint="cs"/>
          <w:sz w:val="32"/>
          <w:szCs w:val="32"/>
          <w:rtl/>
          <w:lang w:bidi="fa-IR"/>
        </w:rPr>
        <w:t xml:space="preserve"> پرتوهای بازتابی به چند دسته پرتو تقسیم می شوند که تداخل آن ها در بی نهایت شکل می گیرد؛ از این رو فریزهای را مستقیما با چشم می توان دید.</w:t>
      </w:r>
    </w:p>
    <w:p w14:paraId="740508E6" w14:textId="39B6FDFB" w:rsidR="001D64E1" w:rsidRDefault="001D64E1" w:rsidP="001D64E1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گاهی در ساختار این تداخل سنج یک دوربین برای بزرگنمایی هم قرار داده می شود تا در صورتی که فریزها نزدیک هم باشد، بتوان آن ها را تشخیص و تمییز داد.</w:t>
      </w:r>
    </w:p>
    <w:p w14:paraId="3C3A675E" w14:textId="21CBF66A" w:rsidR="008871A1" w:rsidRDefault="008871A1" w:rsidP="008871A1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نور پس از خروج از چشمه نور، به محیط تداخل سنجی وارد می شود و توسط آینه</w:t>
      </w:r>
      <w:r w:rsidR="00DD7700">
        <w:rPr>
          <w:rFonts w:cs="B Nazanin" w:hint="cs"/>
          <w:sz w:val="32"/>
          <w:szCs w:val="32"/>
          <w:rtl/>
          <w:lang w:bidi="fa-IR"/>
        </w:rPr>
        <w:t xml:space="preserve"> های موازی، مدام بازتاب می شود‌ (عملا تعداد محدود دفعه) و با خروج از آینه ی نقره اندود ثانویه، با پرتوهای اولیه تداخل می کند و نتیجه را روی پرده مشاهده می کنیم.</w:t>
      </w:r>
    </w:p>
    <w:p w14:paraId="618B0892" w14:textId="77777777" w:rsidR="00DD7700" w:rsidRDefault="00DD7700" w:rsidP="00DD7700">
      <w:pPr>
        <w:bidi/>
        <w:ind w:left="360"/>
        <w:rPr>
          <w:rFonts w:cs="B Nazanin"/>
          <w:noProof/>
          <w:sz w:val="32"/>
          <w:szCs w:val="32"/>
          <w:rtl/>
          <w:lang w:bidi="fa-IR"/>
        </w:rPr>
      </w:pPr>
    </w:p>
    <w:p w14:paraId="28B901D9" w14:textId="5FAF4230" w:rsidR="00DD7700" w:rsidRDefault="00DD7700" w:rsidP="00DD7700">
      <w:pPr>
        <w:bidi/>
        <w:ind w:left="360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13986B3" wp14:editId="4BA29A5C">
            <wp:extent cx="6066532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7" r="18222"/>
                    <a:stretch/>
                  </pic:blipFill>
                  <pic:spPr bwMode="auto">
                    <a:xfrm>
                      <a:off x="0" y="0"/>
                      <a:ext cx="6071378" cy="27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57BB1" w14:textId="6FFD9385" w:rsidR="008871A1" w:rsidRPr="00DD7700" w:rsidRDefault="00DD7700" w:rsidP="00DD7700">
      <w:pPr>
        <w:bidi/>
        <w:ind w:left="360"/>
        <w:jc w:val="center"/>
        <w:rPr>
          <w:rFonts w:cs="B Nazanin"/>
          <w:b/>
          <w:bCs/>
          <w:sz w:val="24"/>
          <w:szCs w:val="24"/>
          <w:lang w:bidi="fa-IR"/>
        </w:rPr>
      </w:pPr>
      <w:r w:rsidRPr="00DD7700">
        <w:rPr>
          <w:rFonts w:cs="B Nazanin" w:hint="cs"/>
          <w:b/>
          <w:bCs/>
          <w:sz w:val="24"/>
          <w:szCs w:val="24"/>
          <w:rtl/>
          <w:lang w:bidi="fa-IR"/>
        </w:rPr>
        <w:t>تصویر ۱ : تداخل سنج فابری پرو و ساختار آن</w:t>
      </w:r>
    </w:p>
    <w:p w14:paraId="691CE365" w14:textId="6E1144F5" w:rsidR="00167620" w:rsidRDefault="00167620" w:rsidP="00167620">
      <w:pPr>
        <w:bidi/>
        <w:ind w:left="360"/>
        <w:rPr>
          <w:rFonts w:cs="B Nazanin"/>
          <w:b/>
          <w:bCs/>
          <w:sz w:val="32"/>
          <w:szCs w:val="32"/>
          <w:rtl/>
          <w:lang w:bidi="fa-IR"/>
        </w:rPr>
      </w:pPr>
      <w:r w:rsidRPr="00167620">
        <w:rPr>
          <w:rFonts w:cs="B Nazanin" w:hint="cs"/>
          <w:b/>
          <w:bCs/>
          <w:sz w:val="32"/>
          <w:szCs w:val="32"/>
          <w:rtl/>
          <w:lang w:bidi="fa-IR"/>
        </w:rPr>
        <w:t>۲- روش تنظیم و مدرج کردن تداخل سنج فابری پرو</w:t>
      </w:r>
    </w:p>
    <w:p w14:paraId="278F5DB9" w14:textId="0F46CCE5" w:rsidR="00DD7700" w:rsidRDefault="00DD7700" w:rsidP="00DD7700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مشابه تداخل سنج مایکلسون، باید ضریب تبدیل مقداری که از ریزسنج خوانده می شود با مقدار حرکت آینه را به دست بیاوریم و به این کار مدرج کردن تداخل سنج فابری پرو می گوییم.</w:t>
      </w:r>
    </w:p>
    <w:p w14:paraId="2A2F350D" w14:textId="25DCA25F" w:rsidR="00DD7700" w:rsidRDefault="00DD7700" w:rsidP="00DD7700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از نور تکفام سبز رنگ جیوه با طول موج 5460 آنگستروم استفاده می کنیم. ابتدا مقدار اولیه ریزسنج را ثبت می کنیم و سپس با چرخش ریزسنج، صد فریز عبور می کنیم (به داخل یا خارج) و دوباره مقدار ثانویه ریزسنج را یادداشت می کنیم.</w:t>
      </w:r>
    </w:p>
    <w:p w14:paraId="3E766686" w14:textId="40F066A1" w:rsidR="00CD273B" w:rsidRDefault="00DD7700" w:rsidP="009E59E0">
      <w:pPr>
        <w:bidi/>
        <w:ind w:left="360"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در دست داشتن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n=100</m:t>
        </m:r>
      </m:oMath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 و طول موج از رابطه ی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2d=nλ</m:t>
        </m:r>
      </m:oMath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، مقدار </w:t>
      </w:r>
      <w:r w:rsidR="00CD273B">
        <w:rPr>
          <w:rFonts w:eastAsiaTheme="minorEastAsia" w:cs="B Nazanin"/>
          <w:sz w:val="32"/>
          <w:szCs w:val="32"/>
          <w:lang w:bidi="fa-IR"/>
        </w:rPr>
        <w:t>d</w:t>
      </w:r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 یعنی تغییر فاصله ی دو تیغه را به دست می آوریم. حالا با در دست داشتن تفاضل فاصله ریزسنج (</w:t>
      </w:r>
      <w:r w:rsidR="00CD273B">
        <w:rPr>
          <w:rFonts w:eastAsiaTheme="minorEastAsia" w:cs="B Nazanin"/>
          <w:sz w:val="32"/>
          <w:szCs w:val="32"/>
          <w:lang w:bidi="fa-IR"/>
        </w:rPr>
        <w:t>D</w:t>
      </w:r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) و </w:t>
      </w:r>
      <w:r w:rsidR="00CD273B">
        <w:rPr>
          <w:rFonts w:eastAsiaTheme="minorEastAsia" w:cs="B Nazanin"/>
          <w:sz w:val="32"/>
          <w:szCs w:val="32"/>
          <w:lang w:bidi="fa-IR"/>
        </w:rPr>
        <w:t>d</w:t>
      </w:r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 می توانیم نسبت تبدیل این فواصل را که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d</m:t>
            </m:r>
          </m:num>
          <m:den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D</m:t>
            </m:r>
          </m:den>
        </m:f>
      </m:oMath>
      <w:r w:rsidR="00CD273B">
        <w:rPr>
          <w:rFonts w:eastAsiaTheme="minorEastAsia" w:cs="B Nazanin" w:hint="cs"/>
          <w:sz w:val="32"/>
          <w:szCs w:val="32"/>
          <w:rtl/>
          <w:lang w:bidi="fa-IR"/>
        </w:rPr>
        <w:t xml:space="preserve"> است بخوانیم. حالا با ضرب کردن تغییرمکان ریزسنج در این نسبت، می توانیم تغییر مکان تیغه ها نسبت به هم را بخوانیم. (مستقل از طول موج استفاده شده)</w:t>
      </w:r>
    </w:p>
    <w:p w14:paraId="68DD1E68" w14:textId="4ED32ED9" w:rsidR="00CD273B" w:rsidRDefault="00CD273B" w:rsidP="00CD273B">
      <w:pPr>
        <w:bidi/>
        <w:ind w:left="360"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برای تنظیم کردن این تداخل سنج هم باید لامپ جیوه را روشن کنیم و پیچ 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1</m:t>
            </m:r>
          </m:sub>
        </m:sSub>
      </m:oMath>
      <w:r>
        <w:rPr>
          <w:rFonts w:eastAsiaTheme="minorEastAsia" w:cs="B Nazanin"/>
          <w:sz w:val="32"/>
          <w:szCs w:val="32"/>
          <w:lang w:bidi="fa-IR"/>
        </w:rPr>
        <w:t xml:space="preserve">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 w:val="32"/>
          <w:szCs w:val="32"/>
          <w:rtl/>
          <w:lang w:bidi="fa-IR"/>
        </w:rPr>
        <w:t>‌ را به طور جزئي بچرخانیم تا فریزهای دایره ای در مرکز دید قرار گیرد.(تصویر۲)  به این کار تنظیم اولیه ی تداخل سنج گوییم.</w:t>
      </w:r>
    </w:p>
    <w:p w14:paraId="2D5D3E18" w14:textId="007DBEE0" w:rsidR="00CD273B" w:rsidRDefault="00CD273B" w:rsidP="00CD273B">
      <w:pPr>
        <w:bidi/>
        <w:jc w:val="center"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noProof/>
          <w:sz w:val="32"/>
          <w:szCs w:val="32"/>
          <w:lang w:bidi="fa-IR"/>
        </w:rPr>
        <w:drawing>
          <wp:inline distT="0" distB="0" distL="0" distR="0" wp14:anchorId="58962817" wp14:editId="4A11F571">
            <wp:extent cx="1844040" cy="1912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E8A2" w14:textId="306AF5AA" w:rsidR="00CD273B" w:rsidRPr="00CD273B" w:rsidRDefault="00CD273B" w:rsidP="00CD273B">
      <w:pPr>
        <w:bidi/>
        <w:ind w:left="360"/>
        <w:jc w:val="center"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CD273B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تصویر ۲ : تنظیم فریزهای دایره ای در مرکز میدان دید</w:t>
      </w:r>
    </w:p>
    <w:p w14:paraId="5D4D603B" w14:textId="047C451D" w:rsidR="00CD273B" w:rsidRDefault="00CD273B" w:rsidP="00CD273B">
      <w:pPr>
        <w:bidi/>
        <w:ind w:left="360"/>
        <w:jc w:val="center"/>
        <w:rPr>
          <w:rFonts w:eastAsiaTheme="minorEastAsia" w:cs="B Nazanin"/>
          <w:noProof/>
          <w:sz w:val="32"/>
          <w:szCs w:val="32"/>
          <w:lang w:bidi="fa-IR"/>
        </w:rPr>
      </w:pPr>
      <w:r>
        <w:rPr>
          <w:rFonts w:eastAsiaTheme="minorEastAsia" w:cs="B Nazanin"/>
          <w:noProof/>
          <w:sz w:val="32"/>
          <w:szCs w:val="32"/>
          <w:lang w:bidi="fa-IR"/>
        </w:rPr>
        <w:drawing>
          <wp:inline distT="0" distB="0" distL="0" distR="0" wp14:anchorId="54D1EAD2" wp14:editId="78B9A1AC">
            <wp:extent cx="2164080" cy="22112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71" cy="22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264E" w14:textId="21A76BE4" w:rsidR="00CD273B" w:rsidRPr="00CD273B" w:rsidRDefault="00CD273B" w:rsidP="00CD273B">
      <w:pPr>
        <w:bidi/>
        <w:ind w:left="360"/>
        <w:jc w:val="center"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CD273B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تصویر </w:t>
      </w:r>
      <w:r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۳</w:t>
      </w:r>
      <w:r w:rsidRPr="00CD273B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 : </w:t>
      </w:r>
      <w:r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تداخل سنج فابری پرو</w:t>
      </w:r>
    </w:p>
    <w:sectPr w:rsidR="00CD273B" w:rsidRPr="00CD273B" w:rsidSect="0010671C">
      <w:pgSz w:w="12240" w:h="15840"/>
      <w:pgMar w:top="810" w:right="630" w:bottom="90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FA8A" w14:textId="77777777" w:rsidR="004A4132" w:rsidRDefault="004A4132" w:rsidP="00C161B3">
      <w:pPr>
        <w:spacing w:after="0" w:line="240" w:lineRule="auto"/>
      </w:pPr>
      <w:r>
        <w:separator/>
      </w:r>
    </w:p>
  </w:endnote>
  <w:endnote w:type="continuationSeparator" w:id="0">
    <w:p w14:paraId="234E2F93" w14:textId="77777777" w:rsidR="004A4132" w:rsidRDefault="004A4132" w:rsidP="00C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F395" w14:textId="77777777" w:rsidR="004A4132" w:rsidRDefault="004A4132" w:rsidP="00C161B3">
      <w:pPr>
        <w:spacing w:after="0" w:line="240" w:lineRule="auto"/>
      </w:pPr>
      <w:r>
        <w:separator/>
      </w:r>
    </w:p>
  </w:footnote>
  <w:footnote w:type="continuationSeparator" w:id="0">
    <w:p w14:paraId="3340C3A6" w14:textId="77777777" w:rsidR="004A4132" w:rsidRDefault="004A4132" w:rsidP="00C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DF9"/>
    <w:multiLevelType w:val="hybridMultilevel"/>
    <w:tmpl w:val="04B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1A5A"/>
    <w:multiLevelType w:val="hybridMultilevel"/>
    <w:tmpl w:val="217ABAE4"/>
    <w:lvl w:ilvl="0" w:tplc="ECFC1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5109"/>
    <w:multiLevelType w:val="hybridMultilevel"/>
    <w:tmpl w:val="CF14C37A"/>
    <w:lvl w:ilvl="0" w:tplc="14788B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6CF"/>
    <w:multiLevelType w:val="hybridMultilevel"/>
    <w:tmpl w:val="0C6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04C69"/>
    <w:multiLevelType w:val="hybridMultilevel"/>
    <w:tmpl w:val="48288290"/>
    <w:lvl w:ilvl="0" w:tplc="4C083038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66B44"/>
    <w:multiLevelType w:val="hybridMultilevel"/>
    <w:tmpl w:val="CD74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14A2"/>
    <w:multiLevelType w:val="hybridMultilevel"/>
    <w:tmpl w:val="9CD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1C5A"/>
    <w:multiLevelType w:val="hybridMultilevel"/>
    <w:tmpl w:val="AB52128C"/>
    <w:lvl w:ilvl="0" w:tplc="057E265E">
      <w:start w:val="1"/>
      <w:numFmt w:val="bullet"/>
      <w:lvlText w:val="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5CE9D92" w:tentative="1">
      <w:start w:val="1"/>
      <w:numFmt w:val="bullet"/>
      <w:lvlText w:val="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8A101A48" w:tentative="1">
      <w:start w:val="1"/>
      <w:numFmt w:val="bullet"/>
      <w:lvlText w:val="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84B47A32" w:tentative="1">
      <w:start w:val="1"/>
      <w:numFmt w:val="bullet"/>
      <w:lvlText w:val="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59B025BE" w:tentative="1">
      <w:start w:val="1"/>
      <w:numFmt w:val="bullet"/>
      <w:lvlText w:val="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3C12ECAA" w:tentative="1">
      <w:start w:val="1"/>
      <w:numFmt w:val="bullet"/>
      <w:lvlText w:val="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DC6A7ED8" w:tentative="1">
      <w:start w:val="1"/>
      <w:numFmt w:val="bullet"/>
      <w:lvlText w:val="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B68A4518" w:tentative="1">
      <w:start w:val="1"/>
      <w:numFmt w:val="bullet"/>
      <w:lvlText w:val="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01BA7EBA" w:tentative="1">
      <w:start w:val="1"/>
      <w:numFmt w:val="bullet"/>
      <w:lvlText w:val="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9" w15:restartNumberingAfterBreak="0">
    <w:nsid w:val="35DC0020"/>
    <w:multiLevelType w:val="hybridMultilevel"/>
    <w:tmpl w:val="F486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4076C"/>
    <w:multiLevelType w:val="hybridMultilevel"/>
    <w:tmpl w:val="334EBB46"/>
    <w:lvl w:ilvl="0" w:tplc="C324C1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0EAC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492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4283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D08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5A9D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8EA0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2E1D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B0C8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E1074C5"/>
    <w:multiLevelType w:val="hybridMultilevel"/>
    <w:tmpl w:val="D836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04C60"/>
    <w:multiLevelType w:val="hybridMultilevel"/>
    <w:tmpl w:val="9ADA1ACA"/>
    <w:lvl w:ilvl="0" w:tplc="127C94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3847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6470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52D6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9EFF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D098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F6E3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28E8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3AE4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AAE1F34"/>
    <w:multiLevelType w:val="hybridMultilevel"/>
    <w:tmpl w:val="6C1C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745DB"/>
    <w:multiLevelType w:val="hybridMultilevel"/>
    <w:tmpl w:val="3D4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3"/>
  </w:num>
  <w:num w:numId="5">
    <w:abstractNumId w:val="3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14"/>
  </w:num>
  <w:num w:numId="14">
    <w:abstractNumId w:val="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CE"/>
    <w:rsid w:val="000008FD"/>
    <w:rsid w:val="00022340"/>
    <w:rsid w:val="0008361F"/>
    <w:rsid w:val="000863BD"/>
    <w:rsid w:val="000B06AB"/>
    <w:rsid w:val="000C1E4B"/>
    <w:rsid w:val="000E667E"/>
    <w:rsid w:val="0010671C"/>
    <w:rsid w:val="00111C0B"/>
    <w:rsid w:val="001211C4"/>
    <w:rsid w:val="00130825"/>
    <w:rsid w:val="00155275"/>
    <w:rsid w:val="00167620"/>
    <w:rsid w:val="001C55D3"/>
    <w:rsid w:val="001D1DDE"/>
    <w:rsid w:val="001D64E1"/>
    <w:rsid w:val="001E6311"/>
    <w:rsid w:val="001E6E21"/>
    <w:rsid w:val="00204EDE"/>
    <w:rsid w:val="00280098"/>
    <w:rsid w:val="0028039F"/>
    <w:rsid w:val="002901B6"/>
    <w:rsid w:val="002F73A8"/>
    <w:rsid w:val="003222EC"/>
    <w:rsid w:val="00384C1F"/>
    <w:rsid w:val="00394C28"/>
    <w:rsid w:val="003A3279"/>
    <w:rsid w:val="003D0876"/>
    <w:rsid w:val="003F7E40"/>
    <w:rsid w:val="00404E58"/>
    <w:rsid w:val="0041029B"/>
    <w:rsid w:val="00450264"/>
    <w:rsid w:val="00454929"/>
    <w:rsid w:val="00467AC1"/>
    <w:rsid w:val="004727A5"/>
    <w:rsid w:val="00472F49"/>
    <w:rsid w:val="00493F06"/>
    <w:rsid w:val="004A4132"/>
    <w:rsid w:val="004B7DF7"/>
    <w:rsid w:val="004C436B"/>
    <w:rsid w:val="00515E24"/>
    <w:rsid w:val="00556709"/>
    <w:rsid w:val="00576CE1"/>
    <w:rsid w:val="005D125C"/>
    <w:rsid w:val="00611D29"/>
    <w:rsid w:val="006203E2"/>
    <w:rsid w:val="00627C16"/>
    <w:rsid w:val="00674F27"/>
    <w:rsid w:val="00695F64"/>
    <w:rsid w:val="006A6A1B"/>
    <w:rsid w:val="006E611A"/>
    <w:rsid w:val="007369C4"/>
    <w:rsid w:val="0073792F"/>
    <w:rsid w:val="00747DA3"/>
    <w:rsid w:val="00752A79"/>
    <w:rsid w:val="00765E4F"/>
    <w:rsid w:val="00776E50"/>
    <w:rsid w:val="00785E5C"/>
    <w:rsid w:val="007C0A03"/>
    <w:rsid w:val="007C684B"/>
    <w:rsid w:val="007C7A44"/>
    <w:rsid w:val="007E7468"/>
    <w:rsid w:val="008871A1"/>
    <w:rsid w:val="008D06AD"/>
    <w:rsid w:val="008D19B9"/>
    <w:rsid w:val="0092495E"/>
    <w:rsid w:val="00933BA1"/>
    <w:rsid w:val="00990705"/>
    <w:rsid w:val="009E59E0"/>
    <w:rsid w:val="00A54B2E"/>
    <w:rsid w:val="00AB2675"/>
    <w:rsid w:val="00B375AA"/>
    <w:rsid w:val="00B46C4A"/>
    <w:rsid w:val="00B8204F"/>
    <w:rsid w:val="00BA1412"/>
    <w:rsid w:val="00BC3060"/>
    <w:rsid w:val="00C161B3"/>
    <w:rsid w:val="00C17C0A"/>
    <w:rsid w:val="00C2561D"/>
    <w:rsid w:val="00C318F1"/>
    <w:rsid w:val="00C353EB"/>
    <w:rsid w:val="00C768F8"/>
    <w:rsid w:val="00C945F6"/>
    <w:rsid w:val="00CD273B"/>
    <w:rsid w:val="00D30C05"/>
    <w:rsid w:val="00D30FAD"/>
    <w:rsid w:val="00D33406"/>
    <w:rsid w:val="00D3694B"/>
    <w:rsid w:val="00D81A83"/>
    <w:rsid w:val="00DA346F"/>
    <w:rsid w:val="00DD5E05"/>
    <w:rsid w:val="00DD7700"/>
    <w:rsid w:val="00DE7CAA"/>
    <w:rsid w:val="00DF5C97"/>
    <w:rsid w:val="00E037CE"/>
    <w:rsid w:val="00E17AE5"/>
    <w:rsid w:val="00E30008"/>
    <w:rsid w:val="00E516E5"/>
    <w:rsid w:val="00E72D77"/>
    <w:rsid w:val="00ED4602"/>
    <w:rsid w:val="00EE36E6"/>
    <w:rsid w:val="00F13789"/>
    <w:rsid w:val="00F33B0F"/>
    <w:rsid w:val="00F72996"/>
    <w:rsid w:val="00F77AEE"/>
    <w:rsid w:val="00F93C55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8DEE"/>
  <w15:chartTrackingRefBased/>
  <w15:docId w15:val="{B189CBC4-974E-4AE0-A02B-3F63CC75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29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61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8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4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7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34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94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62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73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E06A-7423-4A4F-9AF7-5465231F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69</cp:revision>
  <dcterms:created xsi:type="dcterms:W3CDTF">2021-02-28T11:51:00Z</dcterms:created>
  <dcterms:modified xsi:type="dcterms:W3CDTF">2021-05-25T06:52:00Z</dcterms:modified>
</cp:coreProperties>
</file>