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7104FF">
      <w:pPr>
        <w:pStyle w:val="2"/>
        <w:bidi w:val="0"/>
        <w:ind w:firstLine="2209" w:firstLineChars="500"/>
        <w:rPr>
          <w:rFonts w:hint="eastAsia"/>
          <w:lang w:val="en-US" w:eastAsia="zh-CN"/>
        </w:rPr>
      </w:pPr>
      <w:bookmarkStart w:id="0" w:name="_GoBack"/>
      <w:bookmarkEnd w:id="0"/>
      <w:r>
        <w:rPr>
          <w:rFonts w:hint="eastAsia"/>
          <w:lang w:val="en-US" w:eastAsia="zh-CN"/>
        </w:rPr>
        <w:t>国债与红利轮动产品</w:t>
      </w:r>
    </w:p>
    <w:p w14:paraId="038CC9E8">
      <w:pPr>
        <w:rPr>
          <w:rFonts w:hint="eastAsia"/>
          <w:sz w:val="28"/>
          <w:szCs w:val="28"/>
          <w:lang w:val="en-US" w:eastAsia="zh-CN"/>
        </w:rPr>
      </w:pPr>
      <w:r>
        <w:rPr>
          <w:rFonts w:hint="eastAsia"/>
          <w:lang w:val="en-US" w:eastAsia="zh-CN"/>
        </w:rPr>
        <w:t xml:space="preserve">     </w:t>
      </w:r>
      <w:r>
        <w:rPr>
          <w:rFonts w:hint="eastAsia"/>
          <w:sz w:val="28"/>
          <w:szCs w:val="28"/>
          <w:lang w:val="en-US" w:eastAsia="zh-CN"/>
        </w:rPr>
        <w:t>我们的产品是中证红利指数的衍生etf以及十年期国债的结合。十年期国债可以被视为无风险财产，而红利指数的成分股由于每年分红的原因也算得上是一种稳健风格的风险资产。</w:t>
      </w:r>
    </w:p>
    <w:p w14:paraId="47524A42">
      <w:pPr>
        <w:rPr>
          <w:rFonts w:hint="eastAsia"/>
          <w:sz w:val="28"/>
          <w:szCs w:val="28"/>
          <w:lang w:val="en-US" w:eastAsia="zh-CN"/>
        </w:rPr>
      </w:pPr>
      <w:r>
        <w:rPr>
          <w:rFonts w:hint="eastAsia"/>
          <w:sz w:val="28"/>
          <w:szCs w:val="28"/>
          <w:lang w:val="en-US" w:eastAsia="zh-CN"/>
        </w:rPr>
        <w:t xml:space="preserve">    十年期国债的到期收益率和红利指数的股息率都可以认为是一种“年化收益率”，它代表了一种对应有（无论是否真实分红）每年现金流流入的预期。因此通过比较十年期国债到期收益率与红利指数股息率的相对大小可以很好的判断出二者之间的性价比，从而为本产品的仓位调整给予指导。</w:t>
      </w:r>
    </w:p>
    <w:p w14:paraId="10C55C64">
      <w:pPr>
        <w:ind w:firstLine="560"/>
        <w:rPr>
          <w:rFonts w:hint="eastAsia"/>
          <w:sz w:val="28"/>
          <w:szCs w:val="28"/>
          <w:lang w:val="en-US" w:eastAsia="zh-CN"/>
        </w:rPr>
      </w:pPr>
      <w:r>
        <w:rPr>
          <w:rFonts w:hint="eastAsia"/>
          <w:sz w:val="28"/>
          <w:szCs w:val="28"/>
          <w:lang w:val="en-US" w:eastAsia="zh-CN"/>
        </w:rPr>
        <w:t>通过回测2011年7月12日至今的中证红利历史点位（后复权）以及中证红利指数股息率减去十年期国债收益率的数据，我们绘制图形如下：</w:t>
      </w:r>
    </w:p>
    <w:p w14:paraId="602597F9">
      <w:pPr>
        <w:ind w:firstLine="560"/>
        <w:rPr>
          <w:rFonts w:hint="eastAsia"/>
          <w:sz w:val="28"/>
          <w:szCs w:val="28"/>
          <w:lang w:val="en-US" w:eastAsia="zh-CN"/>
        </w:rPr>
      </w:pPr>
      <w:r>
        <w:rPr>
          <w:rFonts w:hint="eastAsia"/>
          <w:sz w:val="28"/>
          <w:szCs w:val="28"/>
          <w:lang w:val="en-US" w:eastAsia="zh-CN"/>
        </w:rPr>
        <w:drawing>
          <wp:inline distT="0" distB="0" distL="114300" distR="114300">
            <wp:extent cx="5266690" cy="2748915"/>
            <wp:effectExtent l="0" t="0" r="3810" b="6985"/>
            <wp:docPr id="1" name="图片 1" descr="98baf50c1d3cbbd543a3a40967d02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8baf50c1d3cbbd543a3a40967d024f"/>
                    <pic:cNvPicPr>
                      <a:picLocks noChangeAspect="1"/>
                    </pic:cNvPicPr>
                  </pic:nvPicPr>
                  <pic:blipFill>
                    <a:blip r:embed="rId4"/>
                    <a:stretch>
                      <a:fillRect/>
                    </a:stretch>
                  </pic:blipFill>
                  <pic:spPr>
                    <a:xfrm>
                      <a:off x="0" y="0"/>
                      <a:ext cx="5266690" cy="2748915"/>
                    </a:xfrm>
                    <a:prstGeom prst="rect">
                      <a:avLst/>
                    </a:prstGeom>
                  </pic:spPr>
                </pic:pic>
              </a:graphicData>
            </a:graphic>
          </wp:inline>
        </w:drawing>
      </w:r>
    </w:p>
    <w:p w14:paraId="0ED0A038">
      <w:pPr>
        <w:ind w:firstLine="560"/>
        <w:rPr>
          <w:rFonts w:hint="eastAsia"/>
          <w:sz w:val="28"/>
          <w:szCs w:val="28"/>
          <w:lang w:val="en-US" w:eastAsia="zh-CN"/>
        </w:rPr>
      </w:pPr>
      <w:r>
        <w:rPr>
          <w:rFonts w:hint="eastAsia"/>
          <w:sz w:val="28"/>
          <w:szCs w:val="28"/>
          <w:lang w:val="en-US" w:eastAsia="zh-CN"/>
        </w:rPr>
        <w:t>进一步我们绘制出中证红利指数股息率减去十年期国债收益率历史百分位与中证红利历史点位（后复权）的图形：</w:t>
      </w:r>
    </w:p>
    <w:p w14:paraId="01A78BC7">
      <w:pPr>
        <w:ind w:firstLine="560"/>
        <w:rPr>
          <w:rFonts w:hint="default"/>
          <w:sz w:val="28"/>
          <w:szCs w:val="28"/>
          <w:lang w:val="en-US" w:eastAsia="zh-CN"/>
        </w:rPr>
      </w:pPr>
      <w:r>
        <w:rPr>
          <w:rFonts w:hint="default"/>
          <w:sz w:val="28"/>
          <w:szCs w:val="28"/>
          <w:lang w:val="en-US" w:eastAsia="zh-CN"/>
        </w:rPr>
        <w:drawing>
          <wp:inline distT="0" distB="0" distL="114300" distR="114300">
            <wp:extent cx="5266690" cy="2633345"/>
            <wp:effectExtent l="0" t="0" r="3810" b="8255"/>
            <wp:docPr id="2" name="图片 2" descr="股息率减去国债收益率的历史百分位数与红利点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股息率减去国债收益率的历史百分位数与红利点位"/>
                    <pic:cNvPicPr>
                      <a:picLocks noChangeAspect="1"/>
                    </pic:cNvPicPr>
                  </pic:nvPicPr>
                  <pic:blipFill>
                    <a:blip r:embed="rId5"/>
                    <a:stretch>
                      <a:fillRect/>
                    </a:stretch>
                  </pic:blipFill>
                  <pic:spPr>
                    <a:xfrm>
                      <a:off x="0" y="0"/>
                      <a:ext cx="5266690" cy="2633345"/>
                    </a:xfrm>
                    <a:prstGeom prst="rect">
                      <a:avLst/>
                    </a:prstGeom>
                  </pic:spPr>
                </pic:pic>
              </a:graphicData>
            </a:graphic>
          </wp:inline>
        </w:drawing>
      </w:r>
    </w:p>
    <w:p w14:paraId="4E639124">
      <w:pPr>
        <w:ind w:firstLine="560"/>
        <w:rPr>
          <w:rFonts w:hint="eastAsia"/>
          <w:sz w:val="28"/>
          <w:szCs w:val="28"/>
          <w:lang w:val="en-US" w:eastAsia="zh-CN"/>
        </w:rPr>
      </w:pPr>
      <w:r>
        <w:rPr>
          <w:rFonts w:hint="eastAsia"/>
          <w:sz w:val="28"/>
          <w:szCs w:val="28"/>
          <w:lang w:val="en-US" w:eastAsia="zh-CN"/>
        </w:rPr>
        <w:t>需要说明的一点是没有对十年期国债的历史点位进行回测的原因是因为国债的到期收益率中已经包含了国债价格的信息。</w:t>
      </w:r>
    </w:p>
    <w:p w14:paraId="553A96CC">
      <w:pPr>
        <w:ind w:firstLine="560"/>
        <w:rPr>
          <w:rFonts w:hint="eastAsia"/>
          <w:sz w:val="28"/>
          <w:szCs w:val="28"/>
          <w:lang w:val="en-US" w:eastAsia="zh-CN"/>
        </w:rPr>
      </w:pPr>
      <w:r>
        <w:rPr>
          <w:rFonts w:hint="eastAsia"/>
          <w:sz w:val="28"/>
          <w:szCs w:val="28"/>
          <w:lang w:val="en-US" w:eastAsia="zh-CN"/>
        </w:rPr>
        <w:t>因此可以观察到历史上多次有中证红利指数股息率减去十年期国债收益率局部最低点与中证红利历史点位（后复权）局部最高点（反之亦然）相互对应，同时也观察到多次二者变动趋势的相反关系，因此这个关系既是我们进行调仓的重点把手。</w:t>
      </w:r>
    </w:p>
    <w:p w14:paraId="39489EE6">
      <w:pPr>
        <w:ind w:firstLine="560"/>
        <w:rPr>
          <w:rFonts w:hint="eastAsia"/>
          <w:sz w:val="28"/>
          <w:szCs w:val="28"/>
          <w:lang w:val="en-US" w:eastAsia="zh-CN"/>
        </w:rPr>
      </w:pPr>
      <w:r>
        <w:rPr>
          <w:rFonts w:hint="eastAsia"/>
          <w:sz w:val="28"/>
          <w:szCs w:val="28"/>
          <w:lang w:val="en-US" w:eastAsia="zh-CN"/>
        </w:rPr>
        <w:t>具体思路如下：</w:t>
      </w:r>
    </w:p>
    <w:p w14:paraId="6897219A">
      <w:pPr>
        <w:numPr>
          <w:ilvl w:val="0"/>
          <w:numId w:val="1"/>
        </w:numPr>
        <w:ind w:firstLine="560"/>
        <w:rPr>
          <w:rFonts w:hint="eastAsia"/>
          <w:sz w:val="28"/>
          <w:szCs w:val="28"/>
          <w:lang w:val="en-US" w:eastAsia="zh-CN"/>
        </w:rPr>
      </w:pPr>
      <w:r>
        <w:rPr>
          <w:rFonts w:hint="eastAsia"/>
          <w:sz w:val="28"/>
          <w:szCs w:val="28"/>
          <w:lang w:val="en-US" w:eastAsia="zh-CN"/>
        </w:rPr>
        <w:t>：对股息率减去国债收益率时间序列滚动求前五日以及前二十日趋势（用线性方法求斜率进行判断）</w:t>
      </w:r>
    </w:p>
    <w:p w14:paraId="0EDDFBBF">
      <w:pPr>
        <w:numPr>
          <w:ilvl w:val="0"/>
          <w:numId w:val="1"/>
        </w:numPr>
        <w:ind w:firstLine="560"/>
        <w:rPr>
          <w:rFonts w:hint="default"/>
          <w:sz w:val="28"/>
          <w:szCs w:val="28"/>
          <w:lang w:val="en-US" w:eastAsia="zh-CN"/>
        </w:rPr>
      </w:pPr>
      <w:r>
        <w:rPr>
          <w:rFonts w:hint="eastAsia"/>
          <w:sz w:val="28"/>
          <w:szCs w:val="28"/>
          <w:lang w:val="en-US" w:eastAsia="zh-CN"/>
        </w:rPr>
        <w:t>：对中证红利历史点位时间序列利用GARCH模型判断其波动率状态</w:t>
      </w:r>
    </w:p>
    <w:p w14:paraId="122CD06F">
      <w:pPr>
        <w:numPr>
          <w:ilvl w:val="0"/>
          <w:numId w:val="1"/>
        </w:numPr>
        <w:ind w:firstLine="560"/>
        <w:rPr>
          <w:rFonts w:hint="default"/>
          <w:sz w:val="28"/>
          <w:szCs w:val="28"/>
          <w:lang w:val="en-US" w:eastAsia="zh-CN"/>
        </w:rPr>
      </w:pPr>
      <w:r>
        <w:rPr>
          <w:rFonts w:hint="eastAsia"/>
          <w:sz w:val="28"/>
          <w:szCs w:val="28"/>
          <w:lang w:val="en-US" w:eastAsia="zh-CN"/>
        </w:rPr>
        <w:t>：如果状态是高波动率则使用前五日趋势，反之则使用二十日趋势；同时根据波动聚类，如果昨天是高波动认为今天是高波动的概率也会很高。（Q：这里这样选对吗？）</w:t>
      </w:r>
    </w:p>
    <w:p w14:paraId="1FEF5EE2">
      <w:pPr>
        <w:numPr>
          <w:ilvl w:val="0"/>
          <w:numId w:val="1"/>
        </w:numPr>
        <w:ind w:firstLine="560"/>
        <w:rPr>
          <w:rFonts w:hint="default"/>
          <w:sz w:val="28"/>
          <w:szCs w:val="28"/>
          <w:lang w:val="en-US" w:eastAsia="zh-CN"/>
        </w:rPr>
      </w:pPr>
      <w:r>
        <w:rPr>
          <w:rFonts w:hint="eastAsia"/>
          <w:sz w:val="28"/>
          <w:szCs w:val="28"/>
          <w:lang w:val="en-US" w:eastAsia="zh-CN"/>
        </w:rPr>
        <w:t>：当趋势第一次显示为减时，全仓买入红利指数，成本按照对应历史点位笼统概括；反之如果第一次显示为增，则卖出红利指数，全仓买入国债十年期。</w:t>
      </w:r>
    </w:p>
    <w:p w14:paraId="6BBFB813">
      <w:pPr>
        <w:ind w:firstLine="560"/>
        <w:rPr>
          <w:rFonts w:hint="default"/>
          <w:sz w:val="28"/>
          <w:szCs w:val="28"/>
          <w:lang w:val="en-US" w:eastAsia="zh-CN"/>
        </w:rPr>
      </w:pPr>
    </w:p>
    <w:p w14:paraId="529BDE84">
      <w:pPr>
        <w:rPr>
          <w:rFonts w:hint="eastAsia"/>
          <w:sz w:val="28"/>
          <w:szCs w:val="28"/>
          <w:lang w:val="en-US" w:eastAsia="zh-CN"/>
        </w:rPr>
      </w:pPr>
    </w:p>
    <w:p w14:paraId="3119B998">
      <w:pPr>
        <w:rPr>
          <w:rFonts w:hint="default"/>
          <w:sz w:val="28"/>
          <w:szCs w:val="28"/>
          <w:lang w:val="en-US" w:eastAsia="zh-CN"/>
        </w:rPr>
      </w:pPr>
    </w:p>
    <w:p w14:paraId="2096F8D0">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10C211"/>
    <w:multiLevelType w:val="singleLevel"/>
    <w:tmpl w:val="1510C21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D5EB0"/>
    <w:rsid w:val="102E3F73"/>
    <w:rsid w:val="40CA2ADA"/>
    <w:rsid w:val="56AD6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485</Words>
  <Characters>491</Characters>
  <Lines>0</Lines>
  <Paragraphs>0</Paragraphs>
  <TotalTime>41</TotalTime>
  <ScaleCrop>false</ScaleCrop>
  <LinksUpToDate>false</LinksUpToDate>
  <CharactersWithSpaces>500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2024-12-21T14:46:00Z</dcterms:created>
  <dc:creator>Think</dc:creator>
  <cp:lastModifiedBy>WPS_1656815224</cp:lastModifiedBy>
  <dcterms:modified xsi:type="dcterms:W3CDTF">2024-12-21T18:45:26Z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79F535D8376243AE90425AE2DCF996D8_12</vt:lpwstr>
  </property>
</Properties>
</file>