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3E" w:rsidRDefault="00B4463E" w:rsidP="00B4463E">
      <w:pPr>
        <w:pStyle w:val="1"/>
      </w:pPr>
      <w:r>
        <w:rPr>
          <w:rFonts w:hint="eastAsia"/>
        </w:rPr>
        <w:t>白日梦与电子游戏</w:t>
      </w:r>
    </w:p>
    <w:p w:rsidR="00B4463E" w:rsidRDefault="00B4463E" w:rsidP="00B4463E">
      <w:pPr>
        <w:pStyle w:val="text"/>
        <w:ind w:firstLine="480"/>
      </w:pPr>
      <w:r>
        <w:rPr>
          <w:rFonts w:hint="eastAsia"/>
        </w:rPr>
        <w:t>电子游戏已经成为了现代人精神生活中不可缺少的一部分，有人认为其已经成为艺术的一种形式，将电子游戏称为继绘画、雕刻、建筑、音乐、诗歌（文学）、舞蹈、戏剧、电影的“第九艺术”。这一说法的最初来源虽然已经不可考，但是电子游戏已经成为了表达人心灵所思，并且构造与现实不一的世界的重要方式。本文尝试运用弗洛伊德的心理动力学理论，对电子游戏和电子竞技对现代人的心理状态的影响进行简单分析。</w:t>
      </w:r>
    </w:p>
    <w:p w:rsidR="00B4463E" w:rsidRDefault="00B4463E" w:rsidP="00B4463E">
      <w:pPr>
        <w:pStyle w:val="2"/>
      </w:pPr>
      <w:r>
        <w:rPr>
          <w:rFonts w:hint="eastAsia"/>
        </w:rPr>
        <w:t>一、弗洛伊德的游戏理论</w:t>
      </w:r>
    </w:p>
    <w:p w:rsidR="00B4463E" w:rsidRDefault="00B4463E" w:rsidP="00B4463E">
      <w:pPr>
        <w:pStyle w:val="3"/>
      </w:pPr>
      <w:r>
        <w:rPr>
          <w:rFonts w:hint="eastAsia"/>
        </w:rPr>
        <w:t>（一）弗洛伊德的儿童游戏理论</w:t>
      </w:r>
    </w:p>
    <w:p w:rsidR="00B4463E" w:rsidRDefault="00B4463E" w:rsidP="00B4463E">
      <w:pPr>
        <w:pStyle w:val="text"/>
        <w:ind w:firstLine="480"/>
      </w:pPr>
      <w:r>
        <w:rPr>
          <w:rFonts w:hint="eastAsia"/>
        </w:rPr>
        <w:t>游戏现象在儿童生活中最为普遍</w:t>
      </w:r>
      <w:r>
        <w:t xml:space="preserve"> </w:t>
      </w:r>
      <w:r>
        <w:t>。弗洛伊德对游戏的探讨也是从儿童游戏入手的</w:t>
      </w:r>
      <w:r>
        <w:t xml:space="preserve"> </w:t>
      </w:r>
      <w:r>
        <w:t>。对于儿童而言，游戏的意义是构造了一个属于自身的世界。游戏的儿童</w:t>
      </w:r>
      <w:r>
        <w:t xml:space="preserve"> </w:t>
      </w:r>
      <w:r w:rsidR="009D23C2">
        <w:rPr>
          <w:rFonts w:hint="eastAsia"/>
        </w:rPr>
        <w:t>“</w:t>
      </w:r>
      <w:r>
        <w:t>在脑子里形成一个与世隔绝的天地</w:t>
      </w:r>
      <w:r w:rsidR="009D23C2">
        <w:rPr>
          <w:rFonts w:hint="eastAsia"/>
        </w:rPr>
        <w:t>”</w:t>
      </w:r>
      <w:sdt>
        <w:sdtPr>
          <w:id w:val="1472022636"/>
          <w:citation/>
        </w:sdtPr>
        <w:sdtContent>
          <w:r w:rsidR="009D23C2">
            <w:fldChar w:fldCharType="begin"/>
          </w:r>
          <w:r w:rsidR="009D23C2">
            <w:instrText xml:space="preserve"> </w:instrText>
          </w:r>
          <w:r w:rsidR="009D23C2">
            <w:rPr>
              <w:rFonts w:hint="eastAsia"/>
            </w:rPr>
            <w:instrText xml:space="preserve">CITATION </w:instrText>
          </w:r>
          <w:r w:rsidR="009D23C2">
            <w:rPr>
              <w:rFonts w:hint="eastAsia"/>
            </w:rPr>
            <w:instrText>弗洛伊</w:instrText>
          </w:r>
          <w:r w:rsidR="009D23C2">
            <w:rPr>
              <w:rFonts w:hint="eastAsia"/>
            </w:rPr>
            <w:instrText>87 \l 2052</w:instrText>
          </w:r>
          <w:r w:rsidR="009D23C2">
            <w:instrText xml:space="preserve"> </w:instrText>
          </w:r>
          <w:r w:rsidR="009D23C2">
            <w:fldChar w:fldCharType="separate"/>
          </w:r>
          <w:r w:rsidR="00C110EC">
            <w:rPr>
              <w:rFonts w:hint="eastAsia"/>
              <w:noProof/>
            </w:rPr>
            <w:t xml:space="preserve"> (</w:t>
          </w:r>
          <w:r w:rsidR="00C110EC">
            <w:rPr>
              <w:rFonts w:hint="eastAsia"/>
              <w:noProof/>
            </w:rPr>
            <w:t>弗洛伊德</w:t>
          </w:r>
          <w:r w:rsidR="00C110EC">
            <w:rPr>
              <w:rFonts w:hint="eastAsia"/>
              <w:noProof/>
            </w:rPr>
            <w:t>, 1987)</w:t>
          </w:r>
          <w:r w:rsidR="009D23C2">
            <w:fldChar w:fldCharType="end"/>
          </w:r>
        </w:sdtContent>
      </w:sdt>
      <w:r>
        <w:t>。在过去的研究人士看来，与游戏相对应的是</w:t>
      </w:r>
      <w:r>
        <w:t>“</w:t>
      </w:r>
      <w:r>
        <w:t>工作</w:t>
      </w:r>
      <w:r>
        <w:t>”</w:t>
      </w:r>
      <w:r>
        <w:t>，或者说，劳动。而在弗洛伊德看来，与游戏相对应的是</w:t>
      </w:r>
      <w:r>
        <w:t>“</w:t>
      </w:r>
      <w:r>
        <w:t>现实</w:t>
      </w:r>
      <w:r>
        <w:t>”</w:t>
      </w:r>
      <w:r>
        <w:t>。儿童通过游戏这一媒介，创造自己的虚拟的精神世界，从而获得现实生活中无法得到的快感。</w:t>
      </w:r>
    </w:p>
    <w:p w:rsidR="00B4463E" w:rsidRDefault="00B4463E" w:rsidP="00B4463E">
      <w:pPr>
        <w:pStyle w:val="text"/>
        <w:ind w:firstLine="480"/>
      </w:pPr>
      <w:r>
        <w:rPr>
          <w:rFonts w:hint="eastAsia"/>
        </w:rPr>
        <w:t>而儿童的游戏的原动力，同样来自于自身的“力比多”。儿童期的最大愿望就是快快长成大人</w:t>
      </w:r>
      <w:r w:rsidR="009D23C2">
        <w:rPr>
          <w:rFonts w:hint="eastAsia"/>
        </w:rPr>
        <w:t>，</w:t>
      </w:r>
      <w:r>
        <w:t>以便能做大人所做的事情。换句话说，儿童有了做大人的事情的欲望，希望自己可以像成年人一样生活，但是没有做这些事情的能力。因此，儿童的游戏中常常会出现对成人生活场景的模拟，例如说开车，或者对娃娃的抚养的游戏行为，都体现了对进行大人行为的希望。</w:t>
      </w:r>
    </w:p>
    <w:p w:rsidR="00B4463E" w:rsidRDefault="00B4463E" w:rsidP="00B4463E">
      <w:pPr>
        <w:pStyle w:val="text"/>
        <w:ind w:firstLine="480"/>
      </w:pPr>
      <w:r>
        <w:rPr>
          <w:rFonts w:hint="eastAsia"/>
        </w:rPr>
        <w:t>除了对成人行为的模拟之外，儿童的游戏行为也体现了自身行为的“享乐原则”。在游戏行为中，享乐原则既体现在上文所述的，模拟一个自身期望，却无法达成的成人行为环境，也包括对消极和负面的情绪的发泄。例如，儿童常常在游戏中愿意主动重现痛苦经历：扮演医生为娃娃打针，扮演妖魔鬼怪，</w:t>
      </w:r>
      <w:r>
        <w:rPr>
          <w:rFonts w:hint="eastAsia"/>
        </w:rPr>
        <w:lastRenderedPageBreak/>
        <w:t>等等。在此过程中，</w:t>
      </w:r>
      <w:r>
        <w:t>儿童通过对痛苦经历的重现，以积极主动的身份不断重复、演练、最终宣泄消极情绪，</w:t>
      </w:r>
      <w:r>
        <w:t>“</w:t>
      </w:r>
      <w:r>
        <w:t>掌握</w:t>
      </w:r>
      <w:r>
        <w:t>”</w:t>
      </w:r>
      <w:r>
        <w:t>痛苦经历从而获得压力的释放与安全感。</w:t>
      </w:r>
      <w:sdt>
        <w:sdtPr>
          <w:id w:val="2132275337"/>
          <w:citation/>
        </w:sdtPr>
        <w:sdtContent>
          <w:r w:rsidR="009D23C2">
            <w:fldChar w:fldCharType="begin"/>
          </w:r>
          <w:r w:rsidR="009D23C2">
            <w:instrText xml:space="preserve"> </w:instrText>
          </w:r>
          <w:r w:rsidR="009D23C2">
            <w:rPr>
              <w:rFonts w:hint="eastAsia"/>
            </w:rPr>
            <w:instrText xml:space="preserve">CITATION </w:instrText>
          </w:r>
          <w:r w:rsidR="009D23C2">
            <w:rPr>
              <w:rFonts w:hint="eastAsia"/>
            </w:rPr>
            <w:instrText>黄丹</w:instrText>
          </w:r>
          <w:r w:rsidR="009D23C2">
            <w:rPr>
              <w:rFonts w:hint="eastAsia"/>
            </w:rPr>
            <w:instrText>14 \l 2052</w:instrText>
          </w:r>
          <w:r w:rsidR="009D23C2">
            <w:instrText xml:space="preserve"> </w:instrText>
          </w:r>
          <w:r w:rsidR="009D23C2">
            <w:fldChar w:fldCharType="separate"/>
          </w:r>
          <w:r w:rsidR="00C110EC">
            <w:rPr>
              <w:rFonts w:hint="eastAsia"/>
              <w:noProof/>
            </w:rPr>
            <w:t xml:space="preserve"> (</w:t>
          </w:r>
          <w:r w:rsidR="00C110EC">
            <w:rPr>
              <w:rFonts w:hint="eastAsia"/>
              <w:noProof/>
            </w:rPr>
            <w:t>黄</w:t>
          </w:r>
          <w:r w:rsidR="00C110EC">
            <w:rPr>
              <w:rFonts w:hint="eastAsia"/>
              <w:noProof/>
            </w:rPr>
            <w:t>, 2014)</w:t>
          </w:r>
          <w:r w:rsidR="009D23C2">
            <w:fldChar w:fldCharType="end"/>
          </w:r>
        </w:sdtContent>
      </w:sdt>
    </w:p>
    <w:p w:rsidR="00B4463E" w:rsidRDefault="00B4463E" w:rsidP="00B4463E">
      <w:pPr>
        <w:pStyle w:val="text"/>
        <w:ind w:firstLine="480"/>
      </w:pPr>
      <w:r>
        <w:rPr>
          <w:rFonts w:hint="eastAsia"/>
        </w:rPr>
        <w:t>因此，我们可以认为，儿童的游戏行为其实是一种为了满足自身的快感，从而通过想象增强自身所不具备的能力的行为。</w:t>
      </w:r>
    </w:p>
    <w:p w:rsidR="00B4463E" w:rsidRDefault="00B4463E" w:rsidP="00B4463E">
      <w:pPr>
        <w:pStyle w:val="3"/>
      </w:pPr>
      <w:r>
        <w:rPr>
          <w:rFonts w:hint="eastAsia"/>
        </w:rPr>
        <w:t>（二）成人的游戏——“昼梦”</w:t>
      </w:r>
    </w:p>
    <w:p w:rsidR="00B4463E" w:rsidRDefault="00B4463E" w:rsidP="00B4463E">
      <w:pPr>
        <w:pStyle w:val="text"/>
        <w:ind w:firstLine="480"/>
      </w:pPr>
      <w:r>
        <w:rPr>
          <w:rFonts w:hint="eastAsia"/>
        </w:rPr>
        <w:t>游戏行为并不仅仅存在于儿童中，成人的游戏行为与儿童有不同之处。在弗洛伊德的年代，成人已经基本不进行可见的游戏活动了。因此，弗洛伊德引入了“昼梦”的概念。在弗洛伊德看来，人的白日梦，或者说，自由联想，也是自身的潜意识的体现。成年人运用幻想来代替童年时游戏，与世界的现实对抗，获得自身的快感。</w:t>
      </w:r>
    </w:p>
    <w:p w:rsidR="00B4463E" w:rsidRDefault="00B4463E" w:rsidP="00B4463E">
      <w:pPr>
        <w:pStyle w:val="text"/>
        <w:ind w:firstLine="480"/>
      </w:pPr>
      <w:r>
        <w:rPr>
          <w:rFonts w:hint="eastAsia"/>
        </w:rPr>
        <w:t>成年人幻想的内容也包括</w:t>
      </w:r>
      <w:r>
        <w:rPr>
          <w:rFonts w:hint="eastAsia"/>
        </w:rPr>
        <w:t>多种形式和内容，然而，弗洛伊德将其总结为两个类型。对于女性而言，主要是关于性的幻想，也就是和别的男性之间的互动，从而使自身获得快感。而对于男性而言，除了相同的与性有关的幻想之外，也包括个人野心的幻想。渴望自身成为世界的中心，获得世俗意义上的成果，从而满足自身的成就欲望。然而我们也可以这样认为，一般人的“个人野心的实现”，其实也是为了获得“性”这一意义上的满足。</w:t>
      </w:r>
    </w:p>
    <w:p w:rsidR="00B4463E" w:rsidRDefault="00B4463E" w:rsidP="00B4463E">
      <w:pPr>
        <w:pStyle w:val="text"/>
        <w:ind w:firstLine="480"/>
      </w:pPr>
      <w:r>
        <w:rPr>
          <w:rFonts w:hint="eastAsia"/>
        </w:rPr>
        <w:t>因此，在弗洛伊德看来，成年人的游戏行为，也就是“昼梦”，其实也是在自身的内在“性原力”的驱使下，与现实相逃避的一种自我保护，自身满足的行为。弥补了现实生活的空虚，无聊和不如意。综合弗洛伊德的成人和儿童的游戏观来看，游戏，是借助想象</w:t>
      </w:r>
      <w:r w:rsidR="009D23C2">
        <w:rPr>
          <w:rFonts w:hint="eastAsia"/>
        </w:rPr>
        <w:t>（</w:t>
      </w:r>
      <w:r w:rsidR="009D23C2">
        <w:t>梦与幻想</w:t>
      </w:r>
      <w:r w:rsidR="009D23C2">
        <w:rPr>
          <w:rFonts w:hint="eastAsia"/>
        </w:rPr>
        <w:t>）</w:t>
      </w:r>
      <w:r>
        <w:t>来满足自身愿望的虚拟活动。只是，儿童游戏通常是身心统一的，而成人游戏通常是纯粹精神性的。</w:t>
      </w:r>
    </w:p>
    <w:p w:rsidR="00B4463E" w:rsidRDefault="00B4463E" w:rsidP="00B4463E">
      <w:pPr>
        <w:pStyle w:val="2"/>
      </w:pPr>
      <w:r>
        <w:rPr>
          <w:rFonts w:hint="eastAsia"/>
        </w:rPr>
        <w:t>二、现代电子游戏</w:t>
      </w:r>
    </w:p>
    <w:p w:rsidR="00B4463E" w:rsidRDefault="00B4463E" w:rsidP="00B4463E">
      <w:pPr>
        <w:pStyle w:val="text"/>
        <w:ind w:firstLine="480"/>
      </w:pPr>
      <w:r>
        <w:rPr>
          <w:rFonts w:hint="eastAsia"/>
        </w:rPr>
        <w:t>现代社会对游戏的看法和弗洛伊德的时代有了巨大的区别，电子游戏名正言顺地进入了成年人的生活之中。如果说</w:t>
      </w:r>
      <w:r>
        <w:rPr>
          <w:rFonts w:hint="eastAsia"/>
        </w:rPr>
        <w:t>在</w:t>
      </w:r>
      <w:r>
        <w:rPr>
          <w:rFonts w:hint="eastAsia"/>
        </w:rPr>
        <w:t>十</w:t>
      </w:r>
      <w:r>
        <w:rPr>
          <w:rFonts w:hint="eastAsia"/>
        </w:rPr>
        <w:t>，</w:t>
      </w:r>
      <w:r>
        <w:rPr>
          <w:rFonts w:hint="eastAsia"/>
        </w:rPr>
        <w:t>或者十五年之前，大众舆论对</w:t>
      </w:r>
      <w:r>
        <w:rPr>
          <w:rFonts w:hint="eastAsia"/>
        </w:rPr>
        <w:lastRenderedPageBreak/>
        <w:t>电子游戏仍然持有一种相对消极和否定的态度，那么在</w:t>
      </w:r>
      <w:r>
        <w:t>2018</w:t>
      </w:r>
      <w:r>
        <w:t>年的今天，成年人每天花费相当一部分的时间在电子游戏上已经不再是一件奇怪，少见并且引人指摘的事情。甚至在有些学校里，已经出现了电子竞技专业。种种迹象表明，成年人的电子游戏已经是一个不可忽视的现象了。</w:t>
      </w:r>
    </w:p>
    <w:p w:rsidR="00B4463E" w:rsidRDefault="00B4463E" w:rsidP="00B4463E">
      <w:pPr>
        <w:pStyle w:val="text"/>
        <w:ind w:firstLine="480"/>
      </w:pPr>
      <w:r>
        <w:rPr>
          <w:rFonts w:hint="eastAsia"/>
        </w:rPr>
        <w:t>现代电子游戏和传统的成年人的“昼梦”相比，得益于其独有的声光影的表现力，可以模拟出许多“昼梦”所无法展现的刺激。有的电子游戏只需要简单的操作重复，游戏者的快感来源于自身操作的精确和熟练，例如像经典的“马里奥”或者“消消乐”，他们不需要复杂的游戏背景故事，只需要简单的进行规定的游戏动作就可以获得成绩。然而有的游戏并非如此，它尝试构建了一个一般玩家日常所不可能接触和进入的世界，从而让玩家沉浸入这个世界之中，从中获得现实生活无法带来的快感。这个世界可以是穿越时间，回到古代或者去往未来；也可以穿越空间，到世界上你未曾到达过的角落，感受中东的战事或者南美的雨林；也有的游戏是选择赋予</w:t>
      </w:r>
      <w:proofErr w:type="gramStart"/>
      <w:r>
        <w:rPr>
          <w:rFonts w:hint="eastAsia"/>
        </w:rPr>
        <w:t>玩家超</w:t>
      </w:r>
      <w:proofErr w:type="gramEnd"/>
      <w:r>
        <w:rPr>
          <w:rFonts w:hint="eastAsia"/>
        </w:rPr>
        <w:t>能力，可以以一敌百，获得现实中不可能的畅快打击感。或者有人认为自己有着领导一个公司或者一个国家的能力，他也可以在游戏中施展。总而言之，现代的电子游戏是帮助成年人完成了自己的“昼梦”，并且可以加以引导，把属于游戏制作人的想象力分享给所有拥有这个游戏的人。从这个角度，我们似乎也可以理解为什么玩家总是希望游戏拥有更高的自由度了，他们希望可以操纵自己的角色在游戏的幻境中，实现更多自己所不可能在现实生活中做不到的行为。</w:t>
      </w:r>
    </w:p>
    <w:p w:rsidR="00B4463E" w:rsidRDefault="00B4463E" w:rsidP="00B4463E">
      <w:pPr>
        <w:pStyle w:val="text"/>
        <w:ind w:firstLine="480"/>
      </w:pPr>
      <w:r>
        <w:rPr>
          <w:rFonts w:hint="eastAsia"/>
        </w:rPr>
        <w:t>此外，由于人不需要为自己在游戏中的行为付出现实上的责任，因此在弗洛伊德的人格模型中，深处的“本我”可以更多地呈现出来，而不是受到现实和社会制约的干扰，而这也给了某些暴力血腥的游戏以生存的土壤。这些元素虽然根植于人的内心最深处，却因为社会伦理法律法规的压制无法光明正大的出现在现实生活之中，而游戏让他们重见天日。而这样的游戏，更可能成为内心负面能量的发泄渠道，人可以从中转换自己的角色，从承受方变成主动方，将消极能量转移到一个替代者身上。</w:t>
      </w:r>
    </w:p>
    <w:p w:rsidR="00EF1B8D" w:rsidRDefault="00B4463E" w:rsidP="00EF1B8D">
      <w:pPr>
        <w:pStyle w:val="text"/>
        <w:ind w:firstLine="480"/>
        <w:rPr>
          <w:rFonts w:hint="eastAsia"/>
        </w:rPr>
      </w:pPr>
      <w:r>
        <w:rPr>
          <w:rFonts w:hint="eastAsia"/>
        </w:rPr>
        <w:lastRenderedPageBreak/>
        <w:t>因此我们可以预见，未来的游戏发展会更加朝着满足人内心幻想的方向发展，通过精巧的创意和艺术的光影满足人的内心欲求。而未来的良好的游戏，也会成为好的精神分析的素材。</w:t>
      </w:r>
    </w:p>
    <w:sdt>
      <w:sdtPr>
        <w:rPr>
          <w:lang w:val="zh-CN"/>
        </w:rPr>
        <w:id w:val="-1519390955"/>
        <w:docPartObj>
          <w:docPartGallery w:val="Bibliographies"/>
          <w:docPartUnique/>
        </w:docPartObj>
      </w:sdtPr>
      <w:sdtEndPr>
        <w:rPr>
          <w:rFonts w:eastAsiaTheme="minorEastAsia"/>
          <w:bCs w:val="0"/>
          <w:kern w:val="2"/>
          <w:sz w:val="21"/>
          <w:szCs w:val="21"/>
          <w:lang w:val="en-US"/>
        </w:rPr>
      </w:sdtEndPr>
      <w:sdtContent>
        <w:p w:rsidR="00EF1B8D" w:rsidRDefault="00EF1B8D">
          <w:pPr>
            <w:pStyle w:val="1"/>
          </w:pPr>
          <w:r>
            <w:rPr>
              <w:lang w:val="zh-CN"/>
            </w:rPr>
            <w:t>引用</w:t>
          </w:r>
        </w:p>
        <w:sdt>
          <w:sdtPr>
            <w:id w:val="-573587230"/>
            <w:bibliography/>
          </w:sdtPr>
          <w:sdtContent>
            <w:p w:rsidR="00EF1B8D" w:rsidRDefault="00EF1B8D" w:rsidP="00EF1B8D">
              <w:pPr>
                <w:pStyle w:val="a3"/>
                <w:ind w:left="720" w:hanging="720"/>
                <w:rPr>
                  <w:noProof/>
                  <w:kern w:val="0"/>
                  <w:sz w:val="24"/>
                  <w:szCs w:val="24"/>
                </w:rPr>
              </w:pPr>
              <w:r>
                <w:fldChar w:fldCharType="begin"/>
              </w:r>
              <w:r>
                <w:instrText>BIBLIOGRAPHY</w:instrText>
              </w:r>
              <w:r>
                <w:fldChar w:fldCharType="separate"/>
              </w:r>
              <w:r>
                <w:rPr>
                  <w:rFonts w:hint="eastAsia"/>
                  <w:noProof/>
                </w:rPr>
                <w:t>弗洛伊德. (1987). 论创造力与无意识.</w:t>
              </w:r>
            </w:p>
            <w:p w:rsidR="00EF1B8D" w:rsidRDefault="00EF1B8D" w:rsidP="00EF1B8D">
              <w:pPr>
                <w:pStyle w:val="a3"/>
                <w:ind w:left="720" w:hanging="720"/>
                <w:rPr>
                  <w:rFonts w:hint="eastAsia"/>
                  <w:noProof/>
                </w:rPr>
              </w:pPr>
              <w:r>
                <w:rPr>
                  <w:rFonts w:hint="eastAsia"/>
                  <w:noProof/>
                </w:rPr>
                <w:t>黄丹. (2014年4月). 精神分析学派游戏理论及其对学前游戏理论建构的启示. 基础教育研究.</w:t>
              </w:r>
            </w:p>
            <w:p w:rsidR="00EF1B8D" w:rsidRDefault="00EF1B8D" w:rsidP="00EF1B8D">
              <w:r>
                <w:rPr>
                  <w:b/>
                  <w:bCs/>
                </w:rPr>
                <w:fldChar w:fldCharType="end"/>
              </w:r>
            </w:p>
          </w:sdtContent>
        </w:sdt>
      </w:sdtContent>
    </w:sdt>
    <w:p w:rsidR="00D80658" w:rsidRDefault="00D80658" w:rsidP="00EF1B8D">
      <w:pPr>
        <w:pStyle w:val="text"/>
        <w:ind w:firstLine="480"/>
        <w:rPr>
          <w:rFonts w:hint="eastAsia"/>
        </w:rPr>
      </w:pPr>
      <w:bookmarkStart w:id="0" w:name="_GoBack"/>
      <w:bookmarkEnd w:id="0"/>
    </w:p>
    <w:sectPr w:rsidR="00D80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NbYwNjMztDS3sDBX0lEKTi0uzszPAykwrAUALSvKCSwAAAA="/>
  </w:docVars>
  <w:rsids>
    <w:rsidRoot w:val="00B4463E"/>
    <w:rsid w:val="009D23C2"/>
    <w:rsid w:val="00B4463E"/>
    <w:rsid w:val="00C110EC"/>
    <w:rsid w:val="00D314BE"/>
    <w:rsid w:val="00D80658"/>
    <w:rsid w:val="00EF1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D6FD"/>
  <w15:chartTrackingRefBased/>
  <w15:docId w15:val="{7C0A3E03-5841-4CCA-A4F6-E4F1EC49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4BE"/>
    <w:pPr>
      <w:widowControl w:val="0"/>
      <w:jc w:val="both"/>
    </w:pPr>
  </w:style>
  <w:style w:type="paragraph" w:styleId="1">
    <w:name w:val="heading 1"/>
    <w:basedOn w:val="a"/>
    <w:next w:val="a"/>
    <w:link w:val="10"/>
    <w:uiPriority w:val="9"/>
    <w:qFormat/>
    <w:rsid w:val="00D314BE"/>
    <w:pPr>
      <w:keepNext/>
      <w:keepLines/>
      <w:spacing w:before="340" w:after="330" w:line="360"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D314BE"/>
    <w:pPr>
      <w:keepNext/>
      <w:keepLines/>
      <w:spacing w:before="260" w:after="260"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14BE"/>
    <w:pPr>
      <w:keepNext/>
      <w:keepLines/>
      <w:spacing w:before="260" w:after="260" w:line="360" w:lineRule="auto"/>
      <w:outlineLvl w:val="2"/>
    </w:pPr>
    <w:rPr>
      <w:rFonts w:eastAsiaTheme="maj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4BE"/>
    <w:rPr>
      <w:rFonts w:eastAsia="黑体"/>
      <w:bCs/>
      <w:kern w:val="44"/>
      <w:sz w:val="44"/>
      <w:szCs w:val="44"/>
    </w:rPr>
  </w:style>
  <w:style w:type="character" w:customStyle="1" w:styleId="20">
    <w:name w:val="标题 2 字符"/>
    <w:basedOn w:val="a0"/>
    <w:link w:val="2"/>
    <w:uiPriority w:val="9"/>
    <w:rsid w:val="00D314BE"/>
    <w:rPr>
      <w:rFonts w:asciiTheme="majorHAnsi" w:eastAsiaTheme="majorEastAsia" w:hAnsiTheme="majorHAnsi" w:cstheme="majorBidi"/>
      <w:b/>
      <w:bCs/>
      <w:sz w:val="32"/>
      <w:szCs w:val="32"/>
    </w:rPr>
  </w:style>
  <w:style w:type="paragraph" w:customStyle="1" w:styleId="text">
    <w:name w:val="text"/>
    <w:basedOn w:val="a"/>
    <w:qFormat/>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 w:val="24"/>
      <w:szCs w:val="24"/>
    </w:rPr>
  </w:style>
  <w:style w:type="character" w:customStyle="1" w:styleId="30">
    <w:name w:val="标题 3 字符"/>
    <w:basedOn w:val="a0"/>
    <w:link w:val="3"/>
    <w:uiPriority w:val="9"/>
    <w:rsid w:val="00D314BE"/>
    <w:rPr>
      <w:rFonts w:eastAsiaTheme="majorEastAsia"/>
      <w:b/>
      <w:bCs/>
      <w:sz w:val="32"/>
      <w:szCs w:val="32"/>
    </w:rPr>
  </w:style>
  <w:style w:type="paragraph" w:styleId="a3">
    <w:name w:val="Bibliography"/>
    <w:basedOn w:val="a"/>
    <w:next w:val="a"/>
    <w:uiPriority w:val="37"/>
    <w:unhideWhenUsed/>
    <w:rsid w:val="00C11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6803">
      <w:bodyDiv w:val="1"/>
      <w:marLeft w:val="0"/>
      <w:marRight w:val="0"/>
      <w:marTop w:val="0"/>
      <w:marBottom w:val="0"/>
      <w:divBdr>
        <w:top w:val="none" w:sz="0" w:space="0" w:color="auto"/>
        <w:left w:val="none" w:sz="0" w:space="0" w:color="auto"/>
        <w:bottom w:val="none" w:sz="0" w:space="0" w:color="auto"/>
        <w:right w:val="none" w:sz="0" w:space="0" w:color="auto"/>
      </w:divBdr>
    </w:div>
    <w:div w:id="37516376">
      <w:bodyDiv w:val="1"/>
      <w:marLeft w:val="0"/>
      <w:marRight w:val="0"/>
      <w:marTop w:val="0"/>
      <w:marBottom w:val="0"/>
      <w:divBdr>
        <w:top w:val="none" w:sz="0" w:space="0" w:color="auto"/>
        <w:left w:val="none" w:sz="0" w:space="0" w:color="auto"/>
        <w:bottom w:val="none" w:sz="0" w:space="0" w:color="auto"/>
        <w:right w:val="none" w:sz="0" w:space="0" w:color="auto"/>
      </w:divBdr>
    </w:div>
    <w:div w:id="288434377">
      <w:bodyDiv w:val="1"/>
      <w:marLeft w:val="0"/>
      <w:marRight w:val="0"/>
      <w:marTop w:val="0"/>
      <w:marBottom w:val="0"/>
      <w:divBdr>
        <w:top w:val="none" w:sz="0" w:space="0" w:color="auto"/>
        <w:left w:val="none" w:sz="0" w:space="0" w:color="auto"/>
        <w:bottom w:val="none" w:sz="0" w:space="0" w:color="auto"/>
        <w:right w:val="none" w:sz="0" w:space="0" w:color="auto"/>
      </w:divBdr>
    </w:div>
    <w:div w:id="369763446">
      <w:bodyDiv w:val="1"/>
      <w:marLeft w:val="0"/>
      <w:marRight w:val="0"/>
      <w:marTop w:val="0"/>
      <w:marBottom w:val="0"/>
      <w:divBdr>
        <w:top w:val="none" w:sz="0" w:space="0" w:color="auto"/>
        <w:left w:val="none" w:sz="0" w:space="0" w:color="auto"/>
        <w:bottom w:val="none" w:sz="0" w:space="0" w:color="auto"/>
        <w:right w:val="none" w:sz="0" w:space="0" w:color="auto"/>
      </w:divBdr>
    </w:div>
    <w:div w:id="446047762">
      <w:bodyDiv w:val="1"/>
      <w:marLeft w:val="0"/>
      <w:marRight w:val="0"/>
      <w:marTop w:val="0"/>
      <w:marBottom w:val="0"/>
      <w:divBdr>
        <w:top w:val="none" w:sz="0" w:space="0" w:color="auto"/>
        <w:left w:val="none" w:sz="0" w:space="0" w:color="auto"/>
        <w:bottom w:val="none" w:sz="0" w:space="0" w:color="auto"/>
        <w:right w:val="none" w:sz="0" w:space="0" w:color="auto"/>
      </w:divBdr>
    </w:div>
    <w:div w:id="738946513">
      <w:bodyDiv w:val="1"/>
      <w:marLeft w:val="0"/>
      <w:marRight w:val="0"/>
      <w:marTop w:val="0"/>
      <w:marBottom w:val="0"/>
      <w:divBdr>
        <w:top w:val="none" w:sz="0" w:space="0" w:color="auto"/>
        <w:left w:val="none" w:sz="0" w:space="0" w:color="auto"/>
        <w:bottom w:val="none" w:sz="0" w:space="0" w:color="auto"/>
        <w:right w:val="none" w:sz="0" w:space="0" w:color="auto"/>
      </w:divBdr>
    </w:div>
    <w:div w:id="767623734">
      <w:bodyDiv w:val="1"/>
      <w:marLeft w:val="0"/>
      <w:marRight w:val="0"/>
      <w:marTop w:val="0"/>
      <w:marBottom w:val="0"/>
      <w:divBdr>
        <w:top w:val="none" w:sz="0" w:space="0" w:color="auto"/>
        <w:left w:val="none" w:sz="0" w:space="0" w:color="auto"/>
        <w:bottom w:val="none" w:sz="0" w:space="0" w:color="auto"/>
        <w:right w:val="none" w:sz="0" w:space="0" w:color="auto"/>
      </w:divBdr>
    </w:div>
    <w:div w:id="922105290">
      <w:bodyDiv w:val="1"/>
      <w:marLeft w:val="0"/>
      <w:marRight w:val="0"/>
      <w:marTop w:val="0"/>
      <w:marBottom w:val="0"/>
      <w:divBdr>
        <w:top w:val="none" w:sz="0" w:space="0" w:color="auto"/>
        <w:left w:val="none" w:sz="0" w:space="0" w:color="auto"/>
        <w:bottom w:val="none" w:sz="0" w:space="0" w:color="auto"/>
        <w:right w:val="none" w:sz="0" w:space="0" w:color="auto"/>
      </w:divBdr>
    </w:div>
    <w:div w:id="966467062">
      <w:bodyDiv w:val="1"/>
      <w:marLeft w:val="0"/>
      <w:marRight w:val="0"/>
      <w:marTop w:val="0"/>
      <w:marBottom w:val="0"/>
      <w:divBdr>
        <w:top w:val="none" w:sz="0" w:space="0" w:color="auto"/>
        <w:left w:val="none" w:sz="0" w:space="0" w:color="auto"/>
        <w:bottom w:val="none" w:sz="0" w:space="0" w:color="auto"/>
        <w:right w:val="none" w:sz="0" w:space="0" w:color="auto"/>
      </w:divBdr>
    </w:div>
    <w:div w:id="1118908994">
      <w:bodyDiv w:val="1"/>
      <w:marLeft w:val="0"/>
      <w:marRight w:val="0"/>
      <w:marTop w:val="0"/>
      <w:marBottom w:val="0"/>
      <w:divBdr>
        <w:top w:val="none" w:sz="0" w:space="0" w:color="auto"/>
        <w:left w:val="none" w:sz="0" w:space="0" w:color="auto"/>
        <w:bottom w:val="none" w:sz="0" w:space="0" w:color="auto"/>
        <w:right w:val="none" w:sz="0" w:space="0" w:color="auto"/>
      </w:divBdr>
    </w:div>
    <w:div w:id="1178155015">
      <w:bodyDiv w:val="1"/>
      <w:marLeft w:val="0"/>
      <w:marRight w:val="0"/>
      <w:marTop w:val="0"/>
      <w:marBottom w:val="0"/>
      <w:divBdr>
        <w:top w:val="none" w:sz="0" w:space="0" w:color="auto"/>
        <w:left w:val="none" w:sz="0" w:space="0" w:color="auto"/>
        <w:bottom w:val="none" w:sz="0" w:space="0" w:color="auto"/>
        <w:right w:val="none" w:sz="0" w:space="0" w:color="auto"/>
      </w:divBdr>
    </w:div>
    <w:div w:id="1303272228">
      <w:bodyDiv w:val="1"/>
      <w:marLeft w:val="0"/>
      <w:marRight w:val="0"/>
      <w:marTop w:val="0"/>
      <w:marBottom w:val="0"/>
      <w:divBdr>
        <w:top w:val="none" w:sz="0" w:space="0" w:color="auto"/>
        <w:left w:val="none" w:sz="0" w:space="0" w:color="auto"/>
        <w:bottom w:val="none" w:sz="0" w:space="0" w:color="auto"/>
        <w:right w:val="none" w:sz="0" w:space="0" w:color="auto"/>
      </w:divBdr>
    </w:div>
    <w:div w:id="1332568431">
      <w:bodyDiv w:val="1"/>
      <w:marLeft w:val="0"/>
      <w:marRight w:val="0"/>
      <w:marTop w:val="0"/>
      <w:marBottom w:val="0"/>
      <w:divBdr>
        <w:top w:val="none" w:sz="0" w:space="0" w:color="auto"/>
        <w:left w:val="none" w:sz="0" w:space="0" w:color="auto"/>
        <w:bottom w:val="none" w:sz="0" w:space="0" w:color="auto"/>
        <w:right w:val="none" w:sz="0" w:space="0" w:color="auto"/>
      </w:divBdr>
    </w:div>
    <w:div w:id="1404569142">
      <w:bodyDiv w:val="1"/>
      <w:marLeft w:val="0"/>
      <w:marRight w:val="0"/>
      <w:marTop w:val="0"/>
      <w:marBottom w:val="0"/>
      <w:divBdr>
        <w:top w:val="none" w:sz="0" w:space="0" w:color="auto"/>
        <w:left w:val="none" w:sz="0" w:space="0" w:color="auto"/>
        <w:bottom w:val="none" w:sz="0" w:space="0" w:color="auto"/>
        <w:right w:val="none" w:sz="0" w:space="0" w:color="auto"/>
      </w:divBdr>
    </w:div>
    <w:div w:id="1696954493">
      <w:bodyDiv w:val="1"/>
      <w:marLeft w:val="0"/>
      <w:marRight w:val="0"/>
      <w:marTop w:val="0"/>
      <w:marBottom w:val="0"/>
      <w:divBdr>
        <w:top w:val="none" w:sz="0" w:space="0" w:color="auto"/>
        <w:left w:val="none" w:sz="0" w:space="0" w:color="auto"/>
        <w:bottom w:val="none" w:sz="0" w:space="0" w:color="auto"/>
        <w:right w:val="none" w:sz="0" w:space="0" w:color="auto"/>
      </w:divBdr>
    </w:div>
    <w:div w:id="1781291645">
      <w:bodyDiv w:val="1"/>
      <w:marLeft w:val="0"/>
      <w:marRight w:val="0"/>
      <w:marTop w:val="0"/>
      <w:marBottom w:val="0"/>
      <w:divBdr>
        <w:top w:val="none" w:sz="0" w:space="0" w:color="auto"/>
        <w:left w:val="none" w:sz="0" w:space="0" w:color="auto"/>
        <w:bottom w:val="none" w:sz="0" w:space="0" w:color="auto"/>
        <w:right w:val="none" w:sz="0" w:space="0" w:color="auto"/>
      </w:divBdr>
    </w:div>
    <w:div w:id="18727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黄丹14</b:Tag>
    <b:SourceType>ArticleInAPeriodical</b:SourceType>
    <b:Guid>{1CCBE503-B427-4391-8525-C58F8E3D9C1B}</b:Guid>
    <b:Title>精神分析学派游戏理论及其对学前游戏理论建构的启示</b:Title>
    <b:PeriodicalTitle>基础教育研究</b:PeriodicalTitle>
    <b:Year>2014</b:Year>
    <b:Month>4</b:Month>
    <b:Author>
      <b:Author>
        <b:NameList>
          <b:Person>
            <b:Last>黄</b:Last>
            <b:First>丹</b:First>
          </b:Person>
        </b:NameList>
      </b:Author>
    </b:Author>
    <b:RefOrder>2</b:RefOrder>
  </b:Source>
  <b:Source>
    <b:Tag>弗洛伊87</b:Tag>
    <b:SourceType>Book</b:SourceType>
    <b:Guid>{02D9639C-8304-45F6-B26D-5F5D231CBB22}</b:Guid>
    <b:Title>论创造力与无意识</b:Title>
    <b:Year>1987</b:Year>
    <b:Author>
      <b:Author>
        <b:NameList>
          <b:Person>
            <b:Last>弗洛伊德</b:Last>
          </b:Person>
        </b:NameList>
      </b:Author>
    </b:Author>
    <b:RefOrder>1</b:RefOrder>
  </b:Source>
</b:Sources>
</file>

<file path=customXml/itemProps1.xml><?xml version="1.0" encoding="utf-8"?>
<ds:datastoreItem xmlns:ds="http://schemas.openxmlformats.org/officeDocument/2006/customXml" ds:itemID="{55DCCC63-61A6-4D4D-AFE7-035746F4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蔡兆钦</dc:creator>
  <cp:keywords/>
  <dc:description/>
  <cp:lastModifiedBy>蔡兆钦</cp:lastModifiedBy>
  <cp:revision>2</cp:revision>
  <dcterms:created xsi:type="dcterms:W3CDTF">2018-04-02T14:43:00Z</dcterms:created>
  <dcterms:modified xsi:type="dcterms:W3CDTF">2018-04-02T15:35:00Z</dcterms:modified>
</cp:coreProperties>
</file>