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0A" w:rsidRDefault="00EB324C">
      <w:pPr>
        <w:jc w:val="center"/>
        <w:rPr>
          <w:rFonts w:ascii="黑体" w:eastAsia="黑体"/>
          <w:b/>
          <w:sz w:val="32"/>
          <w:szCs w:val="32"/>
        </w:rPr>
      </w:pPr>
      <w:r>
        <w:rPr>
          <w:rFonts w:ascii="黑体" w:eastAsia="黑体" w:hint="eastAsia"/>
          <w:b/>
          <w:sz w:val="32"/>
          <w:szCs w:val="32"/>
        </w:rPr>
        <w:t>南京大学本科毕业论文（设计）开题报告</w:t>
      </w:r>
    </w:p>
    <w:p w:rsidR="00D3500A" w:rsidRDefault="00EB324C">
      <w:pPr>
        <w:jc w:val="center"/>
        <w:rPr>
          <w:rFonts w:ascii="黑体" w:eastAsia="黑体"/>
          <w:b/>
          <w:szCs w:val="21"/>
        </w:rPr>
      </w:pPr>
      <w:r>
        <w:rPr>
          <w:rFonts w:hint="eastAsia"/>
          <w:bCs/>
          <w:color w:val="000000"/>
          <w:szCs w:val="21"/>
        </w:rPr>
        <w:t>填表人签名</w:t>
      </w:r>
      <w:r>
        <w:rPr>
          <w:bCs/>
          <w:color w:val="000000"/>
          <w:szCs w:val="21"/>
          <w:u w:val="single"/>
        </w:rPr>
        <w:t xml:space="preserve">            </w:t>
      </w:r>
      <w:r>
        <w:rPr>
          <w:rFonts w:hint="eastAsia"/>
          <w:bCs/>
          <w:color w:val="000000"/>
          <w:szCs w:val="21"/>
        </w:rPr>
        <w:t>填表时间：</w:t>
      </w:r>
      <w:r>
        <w:rPr>
          <w:rFonts w:hint="eastAsia"/>
          <w:bCs/>
          <w:color w:val="000000"/>
          <w:szCs w:val="21"/>
          <w:u w:val="single"/>
        </w:rPr>
        <w:t xml:space="preserve"> </w:t>
      </w:r>
      <w:r w:rsidR="00AE3BD6">
        <w:rPr>
          <w:rFonts w:hint="eastAsia"/>
          <w:bCs/>
          <w:color w:val="000000"/>
          <w:szCs w:val="21"/>
          <w:u w:val="single"/>
        </w:rPr>
        <w:t>2019</w:t>
      </w:r>
      <w:r>
        <w:rPr>
          <w:rFonts w:hint="eastAsia"/>
          <w:bCs/>
          <w:color w:val="000000"/>
          <w:szCs w:val="21"/>
          <w:u w:val="single"/>
        </w:rPr>
        <w:t xml:space="preserve"> </w:t>
      </w:r>
      <w:r>
        <w:rPr>
          <w:rFonts w:hint="eastAsia"/>
          <w:bCs/>
          <w:color w:val="000000"/>
          <w:szCs w:val="21"/>
        </w:rPr>
        <w:t>年</w:t>
      </w:r>
      <w:r>
        <w:rPr>
          <w:rFonts w:hint="eastAsia"/>
          <w:bCs/>
          <w:color w:val="000000"/>
          <w:szCs w:val="21"/>
          <w:u w:val="single"/>
        </w:rPr>
        <w:t xml:space="preserve">  </w:t>
      </w:r>
      <w:r w:rsidR="00AE3BD6">
        <w:rPr>
          <w:rFonts w:hint="eastAsia"/>
          <w:bCs/>
          <w:color w:val="000000"/>
          <w:szCs w:val="21"/>
          <w:u w:val="single"/>
        </w:rPr>
        <w:t>3</w:t>
      </w:r>
      <w:r>
        <w:rPr>
          <w:rFonts w:hint="eastAsia"/>
          <w:bCs/>
          <w:color w:val="000000"/>
          <w:szCs w:val="21"/>
          <w:u w:val="single"/>
        </w:rPr>
        <w:t xml:space="preserve">   </w:t>
      </w:r>
      <w:r>
        <w:rPr>
          <w:rFonts w:hint="eastAsia"/>
          <w:bCs/>
          <w:color w:val="000000"/>
          <w:szCs w:val="21"/>
        </w:rPr>
        <w:t>月</w:t>
      </w:r>
      <w:r>
        <w:rPr>
          <w:rFonts w:hint="eastAsia"/>
          <w:bCs/>
          <w:color w:val="000000"/>
          <w:szCs w:val="21"/>
          <w:u w:val="single"/>
        </w:rPr>
        <w:t xml:space="preserve">   </w:t>
      </w:r>
      <w:r w:rsidR="00AE3BD6">
        <w:rPr>
          <w:rFonts w:hint="eastAsia"/>
          <w:bCs/>
          <w:color w:val="000000"/>
          <w:szCs w:val="21"/>
          <w:u w:val="single"/>
        </w:rPr>
        <w:t>9</w:t>
      </w:r>
      <w:r>
        <w:rPr>
          <w:rFonts w:hint="eastAsia"/>
          <w:bCs/>
          <w:color w:val="000000"/>
          <w:szCs w:val="21"/>
          <w:u w:val="single"/>
        </w:rPr>
        <w:t xml:space="preserve">  </w:t>
      </w:r>
      <w:r>
        <w:rPr>
          <w:rFonts w:hint="eastAsia"/>
          <w:bCs/>
          <w:color w:val="000000"/>
          <w:szCs w:val="21"/>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835"/>
        <w:gridCol w:w="1321"/>
        <w:gridCol w:w="2131"/>
      </w:tblGrid>
      <w:tr w:rsidR="00D3500A">
        <w:tc>
          <w:tcPr>
            <w:tcW w:w="2235" w:type="dxa"/>
          </w:tcPr>
          <w:p w:rsidR="00D3500A" w:rsidRDefault="00EB324C">
            <w:pPr>
              <w:spacing w:line="360" w:lineRule="auto"/>
              <w:jc w:val="center"/>
              <w:rPr>
                <w:rFonts w:ascii="宋体" w:hAnsi="宋体"/>
                <w:sz w:val="24"/>
              </w:rPr>
            </w:pPr>
            <w:r>
              <w:rPr>
                <w:rFonts w:ascii="宋体" w:hAnsi="宋体" w:hint="eastAsia"/>
                <w:sz w:val="24"/>
              </w:rPr>
              <w:t>学生姓名</w:t>
            </w:r>
          </w:p>
        </w:tc>
        <w:tc>
          <w:tcPr>
            <w:tcW w:w="2835" w:type="dxa"/>
          </w:tcPr>
          <w:p w:rsidR="00D3500A" w:rsidRDefault="00AE3BD6">
            <w:pPr>
              <w:spacing w:line="360" w:lineRule="auto"/>
              <w:jc w:val="center"/>
              <w:rPr>
                <w:rFonts w:ascii="宋体" w:hAnsi="宋体"/>
                <w:sz w:val="24"/>
              </w:rPr>
            </w:pPr>
            <w:r>
              <w:rPr>
                <w:rFonts w:ascii="宋体" w:hAnsi="宋体" w:hint="eastAsia"/>
                <w:sz w:val="24"/>
              </w:rPr>
              <w:t>蔡兆钦</w:t>
            </w:r>
          </w:p>
        </w:tc>
        <w:tc>
          <w:tcPr>
            <w:tcW w:w="1321" w:type="dxa"/>
          </w:tcPr>
          <w:p w:rsidR="00D3500A" w:rsidRDefault="00EB324C">
            <w:pPr>
              <w:spacing w:line="360" w:lineRule="auto"/>
              <w:jc w:val="center"/>
              <w:rPr>
                <w:rFonts w:ascii="宋体" w:hAnsi="宋体"/>
                <w:sz w:val="24"/>
              </w:rPr>
            </w:pPr>
            <w:r>
              <w:rPr>
                <w:rFonts w:ascii="宋体" w:hAnsi="宋体" w:hint="eastAsia"/>
                <w:sz w:val="24"/>
              </w:rPr>
              <w:t>学号</w:t>
            </w:r>
          </w:p>
        </w:tc>
        <w:tc>
          <w:tcPr>
            <w:tcW w:w="2131" w:type="dxa"/>
          </w:tcPr>
          <w:p w:rsidR="00D3500A" w:rsidRDefault="00AE3BD6">
            <w:pPr>
              <w:spacing w:line="360" w:lineRule="auto"/>
              <w:jc w:val="center"/>
              <w:rPr>
                <w:rFonts w:ascii="宋体" w:hAnsi="宋体"/>
                <w:sz w:val="24"/>
              </w:rPr>
            </w:pPr>
            <w:r>
              <w:rPr>
                <w:rFonts w:ascii="宋体" w:hAnsi="宋体" w:hint="eastAsia"/>
                <w:sz w:val="24"/>
              </w:rPr>
              <w:t>151080001</w:t>
            </w:r>
          </w:p>
        </w:tc>
      </w:tr>
      <w:tr w:rsidR="00D3500A">
        <w:tc>
          <w:tcPr>
            <w:tcW w:w="2235" w:type="dxa"/>
          </w:tcPr>
          <w:p w:rsidR="00D3500A" w:rsidRDefault="00EB324C">
            <w:pPr>
              <w:spacing w:line="360" w:lineRule="auto"/>
              <w:jc w:val="center"/>
              <w:rPr>
                <w:rFonts w:ascii="宋体" w:hAnsi="宋体"/>
                <w:sz w:val="24"/>
              </w:rPr>
            </w:pPr>
            <w:r>
              <w:rPr>
                <w:rFonts w:ascii="宋体" w:hAnsi="宋体"/>
                <w:sz w:val="24"/>
              </w:rPr>
              <w:t>院系专业</w:t>
            </w:r>
          </w:p>
        </w:tc>
        <w:tc>
          <w:tcPr>
            <w:tcW w:w="2835" w:type="dxa"/>
          </w:tcPr>
          <w:p w:rsidR="00D3500A" w:rsidRDefault="00AE3BD6">
            <w:pPr>
              <w:spacing w:line="360" w:lineRule="auto"/>
              <w:jc w:val="center"/>
              <w:rPr>
                <w:rFonts w:ascii="宋体" w:hAnsi="宋体"/>
                <w:sz w:val="24"/>
              </w:rPr>
            </w:pPr>
            <w:r>
              <w:rPr>
                <w:rFonts w:ascii="宋体" w:hAnsi="宋体" w:hint="eastAsia"/>
                <w:sz w:val="24"/>
              </w:rPr>
              <w:t>社会学院 应用心理学系</w:t>
            </w:r>
          </w:p>
        </w:tc>
        <w:tc>
          <w:tcPr>
            <w:tcW w:w="1321" w:type="dxa"/>
          </w:tcPr>
          <w:p w:rsidR="00D3500A" w:rsidRDefault="00EB324C">
            <w:pPr>
              <w:spacing w:line="360" w:lineRule="auto"/>
              <w:jc w:val="center"/>
              <w:rPr>
                <w:rFonts w:ascii="宋体" w:hAnsi="宋体"/>
                <w:sz w:val="24"/>
              </w:rPr>
            </w:pPr>
            <w:r>
              <w:rPr>
                <w:rFonts w:ascii="宋体" w:hAnsi="宋体" w:hint="eastAsia"/>
                <w:sz w:val="24"/>
              </w:rPr>
              <w:t>手机号</w:t>
            </w:r>
          </w:p>
        </w:tc>
        <w:tc>
          <w:tcPr>
            <w:tcW w:w="2131" w:type="dxa"/>
          </w:tcPr>
          <w:p w:rsidR="00D3500A" w:rsidRDefault="00AE3BD6">
            <w:pPr>
              <w:spacing w:line="360" w:lineRule="auto"/>
              <w:jc w:val="center"/>
              <w:rPr>
                <w:rFonts w:ascii="宋体" w:hAnsi="宋体"/>
                <w:sz w:val="24"/>
              </w:rPr>
            </w:pPr>
            <w:r>
              <w:rPr>
                <w:rFonts w:ascii="宋体" w:hAnsi="宋体" w:hint="eastAsia"/>
                <w:sz w:val="24"/>
              </w:rPr>
              <w:t>130951650687</w:t>
            </w:r>
          </w:p>
        </w:tc>
      </w:tr>
      <w:tr w:rsidR="00D3500A">
        <w:tc>
          <w:tcPr>
            <w:tcW w:w="2235" w:type="dxa"/>
          </w:tcPr>
          <w:p w:rsidR="00D3500A" w:rsidRDefault="00EB324C">
            <w:pPr>
              <w:spacing w:line="360" w:lineRule="auto"/>
              <w:jc w:val="center"/>
              <w:rPr>
                <w:rFonts w:ascii="宋体" w:hAnsi="宋体"/>
                <w:sz w:val="24"/>
              </w:rPr>
            </w:pPr>
            <w:r>
              <w:rPr>
                <w:rFonts w:ascii="宋体" w:hAnsi="宋体" w:hint="eastAsia"/>
                <w:sz w:val="24"/>
              </w:rPr>
              <w:t>指导教师姓名</w:t>
            </w:r>
          </w:p>
        </w:tc>
        <w:tc>
          <w:tcPr>
            <w:tcW w:w="2835" w:type="dxa"/>
          </w:tcPr>
          <w:p w:rsidR="00D3500A" w:rsidRDefault="00AE3BD6">
            <w:pPr>
              <w:spacing w:line="360" w:lineRule="auto"/>
              <w:jc w:val="center"/>
              <w:rPr>
                <w:rFonts w:ascii="宋体" w:hAnsi="宋体"/>
                <w:sz w:val="24"/>
              </w:rPr>
            </w:pPr>
            <w:r>
              <w:rPr>
                <w:rFonts w:ascii="宋体" w:hAnsi="宋体" w:hint="eastAsia"/>
                <w:sz w:val="24"/>
              </w:rPr>
              <w:t>李中权</w:t>
            </w:r>
          </w:p>
        </w:tc>
        <w:tc>
          <w:tcPr>
            <w:tcW w:w="1321" w:type="dxa"/>
          </w:tcPr>
          <w:p w:rsidR="00D3500A" w:rsidRDefault="00EB324C">
            <w:pPr>
              <w:spacing w:line="360" w:lineRule="auto"/>
              <w:jc w:val="center"/>
              <w:rPr>
                <w:rFonts w:ascii="宋体" w:hAnsi="宋体"/>
                <w:sz w:val="24"/>
              </w:rPr>
            </w:pPr>
            <w:r>
              <w:rPr>
                <w:rFonts w:ascii="宋体" w:hAnsi="宋体" w:hint="eastAsia"/>
                <w:sz w:val="24"/>
              </w:rPr>
              <w:t>职称</w:t>
            </w:r>
          </w:p>
        </w:tc>
        <w:tc>
          <w:tcPr>
            <w:tcW w:w="2131" w:type="dxa"/>
          </w:tcPr>
          <w:p w:rsidR="00D3500A" w:rsidRDefault="00AE3BD6">
            <w:pPr>
              <w:spacing w:line="360" w:lineRule="auto"/>
              <w:jc w:val="center"/>
              <w:rPr>
                <w:rFonts w:ascii="宋体" w:hAnsi="宋体"/>
                <w:sz w:val="24"/>
              </w:rPr>
            </w:pPr>
            <w:r>
              <w:rPr>
                <w:rFonts w:ascii="宋体" w:hAnsi="宋体" w:hint="eastAsia"/>
                <w:sz w:val="24"/>
              </w:rPr>
              <w:t>副教授</w:t>
            </w:r>
          </w:p>
        </w:tc>
      </w:tr>
      <w:tr w:rsidR="00D3500A">
        <w:tc>
          <w:tcPr>
            <w:tcW w:w="2235" w:type="dxa"/>
          </w:tcPr>
          <w:p w:rsidR="00D3500A" w:rsidRDefault="00EB324C">
            <w:pPr>
              <w:spacing w:line="360" w:lineRule="auto"/>
              <w:jc w:val="center"/>
              <w:rPr>
                <w:rFonts w:ascii="宋体" w:hAnsi="宋体"/>
                <w:sz w:val="24"/>
              </w:rPr>
            </w:pPr>
            <w:r>
              <w:rPr>
                <w:rFonts w:ascii="宋体" w:hAnsi="宋体" w:hint="eastAsia"/>
                <w:sz w:val="24"/>
              </w:rPr>
              <w:t>所在院系/单位</w:t>
            </w:r>
          </w:p>
        </w:tc>
        <w:tc>
          <w:tcPr>
            <w:tcW w:w="6287" w:type="dxa"/>
            <w:gridSpan w:val="3"/>
          </w:tcPr>
          <w:p w:rsidR="00D3500A" w:rsidRDefault="00EB324C">
            <w:pPr>
              <w:spacing w:line="360" w:lineRule="auto"/>
              <w:rPr>
                <w:rFonts w:ascii="宋体" w:hAnsi="宋体"/>
                <w:sz w:val="24"/>
              </w:rPr>
            </w:pPr>
            <w:r>
              <w:rPr>
                <w:rFonts w:ascii="宋体" w:hAnsi="宋体" w:hint="eastAsia"/>
                <w:sz w:val="24"/>
              </w:rPr>
              <w:t>□校内</w:t>
            </w:r>
            <w:r>
              <w:rPr>
                <w:rFonts w:ascii="宋体" w:hAnsi="宋体" w:hint="eastAsia"/>
                <w:sz w:val="24"/>
                <w:u w:val="single"/>
              </w:rPr>
              <w:t>_</w:t>
            </w:r>
            <w:r w:rsidR="00AE3BD6" w:rsidRPr="00AE3BD6">
              <w:rPr>
                <w:rFonts w:ascii="宋体" w:hAnsi="宋体" w:hint="eastAsia"/>
                <w:sz w:val="24"/>
                <w:u w:val="single"/>
              </w:rPr>
              <w:t>社会学院 应用心理学系</w:t>
            </w:r>
            <w:r>
              <w:rPr>
                <w:rFonts w:ascii="宋体" w:hAnsi="宋体"/>
                <w:sz w:val="24"/>
                <w:u w:val="single"/>
              </w:rPr>
              <w:t xml:space="preserve"> </w:t>
            </w:r>
            <w:r>
              <w:rPr>
                <w:rFonts w:ascii="宋体" w:hAnsi="宋体"/>
                <w:sz w:val="24"/>
              </w:rPr>
              <w:t xml:space="preserve">    </w:t>
            </w:r>
            <w:r>
              <w:rPr>
                <w:rFonts w:ascii="宋体" w:hAnsi="宋体" w:hint="eastAsia"/>
                <w:sz w:val="24"/>
              </w:rPr>
              <w:t>□</w:t>
            </w:r>
            <w:r>
              <w:rPr>
                <w:rFonts w:ascii="宋体" w:hAnsi="宋体"/>
                <w:sz w:val="24"/>
              </w:rPr>
              <w:t>校外</w:t>
            </w:r>
            <w:r>
              <w:rPr>
                <w:rFonts w:ascii="宋体" w:hAnsi="宋体" w:hint="eastAsia"/>
                <w:sz w:val="24"/>
                <w:u w:val="single"/>
              </w:rPr>
              <w:t>_</w:t>
            </w:r>
            <w:r>
              <w:rPr>
                <w:rFonts w:ascii="宋体" w:hAnsi="宋体"/>
                <w:sz w:val="24"/>
                <w:u w:val="single"/>
              </w:rPr>
              <w:t xml:space="preserve">____      </w:t>
            </w:r>
          </w:p>
        </w:tc>
      </w:tr>
      <w:tr w:rsidR="00D3500A">
        <w:tc>
          <w:tcPr>
            <w:tcW w:w="2235" w:type="dxa"/>
          </w:tcPr>
          <w:p w:rsidR="00D3500A" w:rsidRDefault="00EB324C">
            <w:pPr>
              <w:spacing w:line="360" w:lineRule="auto"/>
              <w:jc w:val="center"/>
              <w:rPr>
                <w:rFonts w:ascii="宋体" w:hAnsi="宋体"/>
                <w:sz w:val="24"/>
              </w:rPr>
            </w:pPr>
            <w:r>
              <w:rPr>
                <w:rFonts w:ascii="宋体" w:hAnsi="宋体" w:hint="eastAsia"/>
                <w:sz w:val="24"/>
              </w:rPr>
              <w:t>论文题目</w:t>
            </w:r>
          </w:p>
        </w:tc>
        <w:tc>
          <w:tcPr>
            <w:tcW w:w="6287" w:type="dxa"/>
            <w:gridSpan w:val="3"/>
          </w:tcPr>
          <w:p w:rsidR="00D3500A" w:rsidRDefault="009C66B3">
            <w:pPr>
              <w:spacing w:line="360" w:lineRule="auto"/>
              <w:jc w:val="center"/>
              <w:rPr>
                <w:rFonts w:ascii="宋体" w:hAnsi="宋体"/>
                <w:sz w:val="24"/>
              </w:rPr>
            </w:pPr>
            <w:bookmarkStart w:id="0" w:name="_GoBack"/>
            <w:r>
              <w:rPr>
                <w:rFonts w:ascii="宋体" w:hAnsi="宋体" w:hint="eastAsia"/>
                <w:sz w:val="24"/>
              </w:rPr>
              <w:t>虚拟现实</w:t>
            </w:r>
            <w:r w:rsidR="00F92287">
              <w:rPr>
                <w:rFonts w:ascii="宋体" w:hAnsi="宋体" w:hint="eastAsia"/>
                <w:sz w:val="24"/>
              </w:rPr>
              <w:t>场景下道德决策影响因素的探究</w:t>
            </w:r>
            <w:bookmarkEnd w:id="0"/>
          </w:p>
        </w:tc>
      </w:tr>
      <w:tr w:rsidR="00D3500A">
        <w:tc>
          <w:tcPr>
            <w:tcW w:w="8522" w:type="dxa"/>
            <w:gridSpan w:val="4"/>
          </w:tcPr>
          <w:p w:rsidR="00D3500A" w:rsidRDefault="00EB324C">
            <w:pPr>
              <w:spacing w:line="360" w:lineRule="auto"/>
              <w:rPr>
                <w:rFonts w:ascii="宋体" w:hAnsi="宋体"/>
                <w:b/>
                <w:sz w:val="24"/>
              </w:rPr>
            </w:pPr>
            <w:r>
              <w:rPr>
                <w:rFonts w:ascii="宋体" w:hAnsi="宋体" w:hint="eastAsia"/>
                <w:b/>
                <w:sz w:val="24"/>
              </w:rPr>
              <w:t>一、研究背景及意义</w:t>
            </w:r>
            <w:r>
              <w:rPr>
                <w:rFonts w:ascii="宋体" w:hAnsi="宋体" w:hint="eastAsia"/>
                <w:sz w:val="24"/>
              </w:rPr>
              <w:t>（附参考文献，不少于800字）</w:t>
            </w:r>
          </w:p>
          <w:p w:rsidR="00AE3BD6" w:rsidRPr="00AE3BD6" w:rsidRDefault="00AE3BD6" w:rsidP="00AE3BD6">
            <w:pPr>
              <w:rPr>
                <w:rFonts w:ascii="等线" w:eastAsia="等线" w:hAnsi="等线"/>
                <w:szCs w:val="22"/>
              </w:rPr>
            </w:pPr>
            <w:r w:rsidRPr="00AE3BD6">
              <w:rPr>
                <w:rFonts w:ascii="等线" w:eastAsia="等线" w:hAnsi="等线" w:hint="eastAsia"/>
                <w:szCs w:val="22"/>
              </w:rPr>
              <w:t>传统的心理测量一般是基于某个“结构”所制定的。这种制定方式反映了研究者对某个心理能力的结构判断，例如，“工作记忆”就是研究者所预测和制定的认知心理模型，而对工作记忆能力的测量量表，也是根据研究者对他们的模型结构所制定的。但是通过这种方式制定的量表不能很好的反应受测者在某项行为上的能力。而行为测验就不同，例如威斯康辛卡片分类测验（</w:t>
            </w:r>
            <w:r w:rsidRPr="00AE3BD6">
              <w:rPr>
                <w:rFonts w:ascii="等线" w:eastAsia="等线" w:hAnsi="等线"/>
                <w:szCs w:val="22"/>
              </w:rPr>
              <w:t>WCST）</w:t>
            </w:r>
            <w:r w:rsidRPr="00AE3BD6">
              <w:rPr>
                <w:rFonts w:ascii="等线" w:eastAsia="等线" w:hAnsi="等线" w:hint="eastAsia"/>
                <w:szCs w:val="22"/>
              </w:rPr>
              <w:t>通过让受测者对不同图案的卡牌进行分类，在这一过程中测量了被试的工作记忆水平，并且让研究者能够更好地预测该受测者在现实生活中的与工作记忆相关的任务表现</w:t>
            </w:r>
            <w:r w:rsidRPr="00AE3BD6">
              <w:rPr>
                <w:rFonts w:ascii="等线" w:eastAsia="等线" w:hAnsi="等线" w:hint="eastAsia"/>
                <w:noProof/>
                <w:szCs w:val="22"/>
              </w:rPr>
              <w:t xml:space="preserve"> (Parsons, 2015)</w:t>
            </w:r>
            <w:r w:rsidRPr="00AE3BD6">
              <w:rPr>
                <w:rFonts w:ascii="等线" w:eastAsia="等线" w:hAnsi="等线" w:hint="eastAsia"/>
                <w:szCs w:val="22"/>
              </w:rPr>
              <w:t>。</w:t>
            </w:r>
          </w:p>
          <w:p w:rsidR="00AE3BD6" w:rsidRPr="00AE3BD6" w:rsidRDefault="00AE3BD6" w:rsidP="00AE3BD6">
            <w:pPr>
              <w:rPr>
                <w:rFonts w:ascii="等线" w:eastAsia="等线" w:hAnsi="等线"/>
                <w:szCs w:val="22"/>
              </w:rPr>
            </w:pPr>
            <w:r w:rsidRPr="00AE3BD6">
              <w:rPr>
                <w:rFonts w:ascii="等线" w:eastAsia="等线" w:hAnsi="等线" w:hint="eastAsia"/>
                <w:szCs w:val="22"/>
              </w:rPr>
              <w:t>在道德判断研究中也存在相同的问题。研究者尝试通过提供给受测者某个具体的道德情境，来衡量和研究其在道德判断过程中的思维过程和影响因素。道德困境是心理学家和伦理学家用于研究道德判断问题的常用方法，心理学家用其探究道德判断的影响因子，而伦理学家研究道德判断问题为其道德理论提供支持。相比之下，心理学家更关注于人类的道德判断“是什么”而不是“应该怎么样”</w:t>
            </w:r>
            <w:r w:rsidRPr="00AE3BD6">
              <w:rPr>
                <w:rFonts w:ascii="等线" w:eastAsia="等线" w:hAnsi="等线"/>
                <w:noProof/>
                <w:szCs w:val="22"/>
              </w:rPr>
              <w:t xml:space="preserve"> </w:t>
            </w:r>
            <w:r w:rsidRPr="00AE3BD6">
              <w:rPr>
                <w:rFonts w:ascii="等线" w:eastAsia="等线" w:hAnsi="等线" w:hint="eastAsia"/>
                <w:noProof/>
                <w:szCs w:val="22"/>
              </w:rPr>
              <w:t>(Greene, 2003)</w:t>
            </w:r>
            <w:r w:rsidRPr="00AE3BD6">
              <w:rPr>
                <w:rFonts w:ascii="等线" w:eastAsia="等线" w:hAnsi="等线" w:hint="eastAsia"/>
                <w:szCs w:val="22"/>
              </w:rPr>
              <w:t>。</w:t>
            </w:r>
          </w:p>
          <w:p w:rsidR="00AE3BD6" w:rsidRPr="00AE3BD6" w:rsidRDefault="00AE3BD6" w:rsidP="00AE3BD6">
            <w:pPr>
              <w:rPr>
                <w:rFonts w:ascii="等线" w:eastAsia="等线" w:hAnsi="等线"/>
                <w:szCs w:val="22"/>
              </w:rPr>
            </w:pPr>
            <w:r w:rsidRPr="00AE3BD6">
              <w:rPr>
                <w:rFonts w:ascii="等线" w:eastAsia="等线" w:hAnsi="等线" w:hint="eastAsia"/>
                <w:szCs w:val="22"/>
              </w:rPr>
              <w:t>“电车难题”就是一个这样的道德判断问题，它关注在何种情况下，伤害小部分人的利益以满足大部分人的利益是可以得到豁免的</w:t>
            </w:r>
            <w:r w:rsidRPr="00AE3BD6">
              <w:rPr>
                <w:rFonts w:ascii="等线" w:eastAsia="等线" w:hAnsi="等线" w:hint="eastAsia"/>
                <w:noProof/>
                <w:szCs w:val="22"/>
              </w:rPr>
              <w:t xml:space="preserve"> (Foot, 1967)</w:t>
            </w:r>
            <w:r w:rsidRPr="00AE3BD6">
              <w:rPr>
                <w:rFonts w:ascii="等线" w:eastAsia="等线" w:hAnsi="等线" w:hint="eastAsia"/>
                <w:szCs w:val="22"/>
              </w:rPr>
              <w:t>。原始的电车难题是一个单边选择问题，假设你看到一辆刹车坏了的有轨电车，即将撞上前方轨道上的五个人，而旁边的备用轨道上只有一个人，如果你什么都不做，五个人会被撞死。你手边有一个按钮，按下按钮，车会驶入备用轨道，只撞死一个人。你是否应该牺牲这一个人的生命而拯救另外五个人？</w:t>
            </w:r>
          </w:p>
          <w:p w:rsidR="00AE3BD6" w:rsidRPr="00AE3BD6" w:rsidRDefault="00AE3BD6" w:rsidP="00AE3BD6">
            <w:pPr>
              <w:rPr>
                <w:rFonts w:ascii="等线" w:eastAsia="等线" w:hAnsi="等线"/>
                <w:szCs w:val="22"/>
              </w:rPr>
            </w:pPr>
            <w:r w:rsidRPr="00AE3BD6">
              <w:rPr>
                <w:rFonts w:ascii="等线" w:eastAsia="等线" w:hAnsi="等线" w:hint="eastAsia"/>
                <w:szCs w:val="22"/>
              </w:rPr>
              <w:t>电车难题包括两种基本范式，一种是受测者扮演一个旁观者</w:t>
            </w:r>
            <w:r w:rsidRPr="00AE3BD6">
              <w:rPr>
                <w:rFonts w:ascii="等线" w:eastAsia="等线" w:hAnsi="等线" w:hint="eastAsia"/>
                <w:noProof/>
                <w:szCs w:val="22"/>
              </w:rPr>
              <w:t xml:space="preserve"> (Thomson, 1985)</w:t>
            </w:r>
            <w:r w:rsidRPr="00AE3BD6">
              <w:rPr>
                <w:rFonts w:ascii="等线" w:eastAsia="等线" w:hAnsi="等线" w:hint="eastAsia"/>
                <w:szCs w:val="22"/>
              </w:rPr>
              <w:t>，另一种是受测者扮演电车司机</w:t>
            </w:r>
            <w:r w:rsidRPr="00AE3BD6">
              <w:rPr>
                <w:rFonts w:ascii="等线" w:eastAsia="等线" w:hAnsi="等线" w:hint="eastAsia"/>
                <w:noProof/>
                <w:szCs w:val="22"/>
              </w:rPr>
              <w:t xml:space="preserve"> (Foot, 1967)</w:t>
            </w:r>
            <w:r w:rsidRPr="00AE3BD6">
              <w:rPr>
                <w:rFonts w:ascii="等线" w:eastAsia="等线" w:hAnsi="等线" w:hint="eastAsia"/>
                <w:szCs w:val="22"/>
              </w:rPr>
              <w:t>。两种范式各有其优点。第一种范式（旁观者）可以让受测者处于一个相对中立和疏离的态度，而不是身背电车司机的责任，想通过减少撞人的数量来保护电车不受损失</w:t>
            </w:r>
            <w:r w:rsidRPr="00AE3BD6">
              <w:rPr>
                <w:rFonts w:ascii="等线" w:eastAsia="等线" w:hAnsi="等线" w:hint="eastAsia"/>
                <w:noProof/>
                <w:szCs w:val="22"/>
              </w:rPr>
              <w:t xml:space="preserve"> (Thomson, 1985)</w:t>
            </w:r>
            <w:r w:rsidRPr="00AE3BD6">
              <w:rPr>
                <w:rFonts w:ascii="等线" w:eastAsia="等线" w:hAnsi="等线" w:hint="eastAsia"/>
                <w:szCs w:val="22"/>
              </w:rPr>
              <w:t>。而在第二种范式之中，受测者会有更强的情感体验，从而使这一理想实验拥有更强的可靠性</w:t>
            </w:r>
            <w:r w:rsidRPr="00AE3BD6">
              <w:rPr>
                <w:rFonts w:ascii="等线" w:eastAsia="等线" w:hAnsi="等线"/>
                <w:noProof/>
                <w:szCs w:val="22"/>
              </w:rPr>
              <w:t xml:space="preserve"> </w:t>
            </w:r>
            <w:r w:rsidRPr="00AE3BD6">
              <w:rPr>
                <w:rFonts w:ascii="等线" w:eastAsia="等线" w:hAnsi="等线" w:hint="eastAsia"/>
                <w:noProof/>
                <w:szCs w:val="22"/>
              </w:rPr>
              <w:t>(Gold, Pulford, &amp; Colman, 2014)</w:t>
            </w:r>
            <w:r w:rsidRPr="00AE3BD6">
              <w:rPr>
                <w:rFonts w:ascii="等线" w:eastAsia="等线" w:hAnsi="等线" w:hint="eastAsia"/>
                <w:szCs w:val="22"/>
              </w:rPr>
              <w:t>。</w:t>
            </w:r>
          </w:p>
          <w:p w:rsidR="00AE3BD6" w:rsidRPr="00AE3BD6" w:rsidRDefault="00AE3BD6" w:rsidP="00AE3BD6">
            <w:pPr>
              <w:rPr>
                <w:rFonts w:ascii="等线" w:eastAsia="等线" w:hAnsi="等线"/>
                <w:szCs w:val="22"/>
              </w:rPr>
            </w:pPr>
            <w:r w:rsidRPr="00AE3BD6">
              <w:rPr>
                <w:rFonts w:ascii="等线" w:eastAsia="等线" w:hAnsi="等线" w:hint="eastAsia"/>
                <w:szCs w:val="22"/>
              </w:rPr>
              <w:t>在传统的道德判断研究中，人的道德判断方式被分为两种。推理</w:t>
            </w:r>
            <w:proofErr w:type="gramStart"/>
            <w:r w:rsidRPr="00AE3BD6">
              <w:rPr>
                <w:rFonts w:ascii="等线" w:eastAsia="等线" w:hAnsi="等线" w:hint="eastAsia"/>
                <w:szCs w:val="22"/>
              </w:rPr>
              <w:t>型道德</w:t>
            </w:r>
            <w:proofErr w:type="gramEnd"/>
            <w:r w:rsidRPr="00AE3BD6">
              <w:rPr>
                <w:rFonts w:ascii="等线" w:eastAsia="等线" w:hAnsi="等线" w:hint="eastAsia"/>
                <w:szCs w:val="22"/>
              </w:rPr>
              <w:t>和直觉型道德。柯尔伯格认为道德判断是一系列意识高度参与的推理过程，</w:t>
            </w:r>
            <w:r w:rsidRPr="00AE3BD6">
              <w:rPr>
                <w:rFonts w:ascii="等线" w:eastAsia="等线" w:hAnsi="等线"/>
                <w:szCs w:val="22"/>
              </w:rPr>
              <w:t>而推理者的表现就像是一个科学</w:t>
            </w:r>
            <w:r w:rsidRPr="00AE3BD6">
              <w:rPr>
                <w:rFonts w:ascii="等线" w:eastAsia="等线" w:hAnsi="等线" w:hint="eastAsia"/>
                <w:szCs w:val="22"/>
              </w:rPr>
              <w:t>家，</w:t>
            </w:r>
            <w:r w:rsidRPr="00AE3BD6">
              <w:rPr>
                <w:rFonts w:ascii="等线" w:eastAsia="等线" w:hAnsi="等线"/>
                <w:szCs w:val="22"/>
              </w:rPr>
              <w:t xml:space="preserve"> 通过形成和检验假设来做出最后的道德判断</w:t>
            </w:r>
            <w:r w:rsidRPr="00AE3BD6">
              <w:rPr>
                <w:rFonts w:ascii="等线" w:eastAsia="等线" w:hAnsi="等线" w:hint="eastAsia"/>
                <w:szCs w:val="22"/>
              </w:rPr>
              <w:t>。而社会直觉模型认为直觉加工和情绪才是道德判断最基本和最主要的过程。也有很多研究证明了情绪在道德判断中的作用</w:t>
            </w:r>
            <w:r w:rsidRPr="00AE3BD6">
              <w:rPr>
                <w:rFonts w:ascii="等线" w:eastAsia="等线" w:hAnsi="等线" w:hint="eastAsia"/>
                <w:noProof/>
                <w:szCs w:val="22"/>
              </w:rPr>
              <w:t xml:space="preserve"> (Bernhard Pastötter, 2013)</w:t>
            </w:r>
            <w:r w:rsidRPr="00AE3BD6">
              <w:rPr>
                <w:rFonts w:ascii="等线" w:eastAsia="等线" w:hAnsi="等线" w:hint="eastAsia"/>
                <w:szCs w:val="22"/>
              </w:rPr>
              <w:t>。</w:t>
            </w:r>
          </w:p>
          <w:p w:rsidR="009C66B3" w:rsidRPr="00AE3BD6" w:rsidRDefault="00AE3BD6" w:rsidP="00AE3BD6">
            <w:pPr>
              <w:rPr>
                <w:rFonts w:ascii="等线" w:eastAsia="等线" w:hAnsi="等线"/>
                <w:szCs w:val="22"/>
              </w:rPr>
            </w:pPr>
            <w:r w:rsidRPr="00AE3BD6">
              <w:rPr>
                <w:rFonts w:ascii="等线" w:eastAsia="等线" w:hAnsi="等线" w:hint="eastAsia"/>
                <w:szCs w:val="22"/>
              </w:rPr>
              <w:t>后来，G</w:t>
            </w:r>
            <w:r w:rsidRPr="00AE3BD6">
              <w:rPr>
                <w:rFonts w:ascii="等线" w:eastAsia="等线" w:hAnsi="等线"/>
                <w:szCs w:val="22"/>
              </w:rPr>
              <w:t>reene</w:t>
            </w:r>
            <w:r w:rsidRPr="00AE3BD6">
              <w:rPr>
                <w:rFonts w:ascii="等线" w:eastAsia="等线" w:hAnsi="等线" w:hint="eastAsia"/>
                <w:szCs w:val="22"/>
              </w:rPr>
              <w:t>等人提出了道德判断的</w:t>
            </w:r>
            <w:proofErr w:type="gramStart"/>
            <w:r w:rsidRPr="00AE3BD6">
              <w:rPr>
                <w:rFonts w:ascii="等线" w:eastAsia="等线" w:hAnsi="等线" w:hint="eastAsia"/>
                <w:szCs w:val="22"/>
              </w:rPr>
              <w:t>双加工</w:t>
            </w:r>
            <w:proofErr w:type="gramEnd"/>
            <w:r w:rsidRPr="00AE3BD6">
              <w:rPr>
                <w:rFonts w:ascii="等线" w:eastAsia="等线" w:hAnsi="等线" w:hint="eastAsia"/>
                <w:szCs w:val="22"/>
              </w:rPr>
              <w:t>模型，人的道德判断同时受到推理和情绪的共同作用。其中，情绪性判断更快速，而推理性判断更加深思熟虑。二者既共同作用，也相互竞争。在电车难题中，若被试选择功利性选项，也就是主动杀死一个人而拯救另外五个人，从而获得最大的社会效益，这属于</w:t>
            </w:r>
            <w:proofErr w:type="gramStart"/>
            <w:r w:rsidRPr="00AE3BD6">
              <w:rPr>
                <w:rFonts w:ascii="等线" w:eastAsia="等线" w:hAnsi="等线" w:hint="eastAsia"/>
                <w:szCs w:val="22"/>
              </w:rPr>
              <w:t>双加工</w:t>
            </w:r>
            <w:proofErr w:type="gramEnd"/>
            <w:r w:rsidRPr="00AE3BD6">
              <w:rPr>
                <w:rFonts w:ascii="等线" w:eastAsia="等线" w:hAnsi="等线" w:hint="eastAsia"/>
                <w:szCs w:val="22"/>
              </w:rPr>
              <w:t>模型中的属于推理性判断。而且G</w:t>
            </w:r>
            <w:r w:rsidRPr="00AE3BD6">
              <w:rPr>
                <w:rFonts w:ascii="等线" w:eastAsia="等线" w:hAnsi="等线"/>
                <w:szCs w:val="22"/>
              </w:rPr>
              <w:t>reene</w:t>
            </w:r>
            <w:r w:rsidRPr="00AE3BD6">
              <w:rPr>
                <w:rFonts w:ascii="等线" w:eastAsia="等线" w:hAnsi="等线" w:hint="eastAsia"/>
                <w:szCs w:val="22"/>
              </w:rPr>
              <w:t>等人发现，在电车难题实验中，如果给被试加大认知负荷，那么被试做出情绪性反应的比例也会随之增</w:t>
            </w:r>
            <w:r w:rsidRPr="00AE3BD6">
              <w:rPr>
                <w:rFonts w:ascii="等线" w:eastAsia="等线" w:hAnsi="等线" w:hint="eastAsia"/>
                <w:szCs w:val="22"/>
              </w:rPr>
              <w:lastRenderedPageBreak/>
              <w:t>大。这也证明了功利性判断属于推理过程的结果，甚至在一定情况下，情绪性判断和推理性判断还是竞争关系</w:t>
            </w:r>
            <w:r w:rsidRPr="00AE3BD6">
              <w:rPr>
                <w:rFonts w:ascii="等线" w:eastAsia="等线" w:hAnsi="等线"/>
                <w:noProof/>
                <w:szCs w:val="22"/>
              </w:rPr>
              <w:t xml:space="preserve"> </w:t>
            </w:r>
            <w:r w:rsidRPr="00AE3BD6">
              <w:rPr>
                <w:rFonts w:ascii="等线" w:eastAsia="等线" w:hAnsi="等线" w:hint="eastAsia"/>
                <w:noProof/>
                <w:szCs w:val="22"/>
              </w:rPr>
              <w:t>(Joshua D. Greene, 2008)</w:t>
            </w:r>
            <w:r w:rsidRPr="00AE3BD6">
              <w:rPr>
                <w:rFonts w:ascii="等线" w:eastAsia="等线" w:hAnsi="等线" w:hint="eastAsia"/>
                <w:szCs w:val="22"/>
              </w:rPr>
              <w:t>。</w:t>
            </w:r>
          </w:p>
          <w:p w:rsidR="00AE3BD6" w:rsidRPr="009C66B3" w:rsidRDefault="00AE3BD6" w:rsidP="00AE3BD6">
            <w:pPr>
              <w:keepNext/>
              <w:keepLines/>
              <w:widowControl/>
              <w:spacing w:before="240" w:line="259" w:lineRule="auto"/>
              <w:jc w:val="left"/>
              <w:outlineLvl w:val="0"/>
              <w:rPr>
                <w:rFonts w:ascii="等线 Light" w:eastAsia="等线 Light" w:hAnsi="等线 Light"/>
                <w:kern w:val="0"/>
                <w:szCs w:val="21"/>
              </w:rPr>
            </w:pPr>
            <w:r w:rsidRPr="009C66B3">
              <w:rPr>
                <w:rFonts w:ascii="等线 Light" w:eastAsia="等线 Light" w:hAnsi="等线 Light" w:hint="eastAsia"/>
                <w:kern w:val="0"/>
                <w:szCs w:val="21"/>
                <w:lang w:val="zh-CN"/>
              </w:rPr>
              <w:t>参考文献</w:t>
            </w:r>
          </w:p>
          <w:p w:rsidR="00AE3BD6" w:rsidRPr="00AE3BD6" w:rsidRDefault="00AE3BD6" w:rsidP="00AE3BD6">
            <w:pPr>
              <w:ind w:left="720" w:hanging="720"/>
              <w:rPr>
                <w:rFonts w:ascii="等线" w:eastAsia="等线" w:hAnsi="等线"/>
                <w:noProof/>
                <w:kern w:val="0"/>
                <w:sz w:val="24"/>
              </w:rPr>
            </w:pPr>
            <w:r w:rsidRPr="00AE3BD6">
              <w:rPr>
                <w:rFonts w:ascii="等线" w:eastAsia="等线" w:hAnsi="等线" w:hint="eastAsia"/>
                <w:noProof/>
                <w:szCs w:val="22"/>
              </w:rPr>
              <w:t>Bernhard PastötterGleixner, Theresa Neuhauser, Karl-Heinz T.BäumlSabine. (2013). To push or not to push? Affective influences on moral judgment depend on decision frame. Cognition.</w:t>
            </w:r>
          </w:p>
          <w:p w:rsidR="00AE3BD6" w:rsidRPr="00AE3BD6" w:rsidRDefault="00AE3BD6" w:rsidP="00AE3BD6">
            <w:pPr>
              <w:ind w:left="720" w:hanging="720"/>
              <w:rPr>
                <w:rFonts w:ascii="等线" w:eastAsia="等线" w:hAnsi="等线"/>
                <w:noProof/>
                <w:szCs w:val="22"/>
              </w:rPr>
            </w:pPr>
            <w:r w:rsidRPr="00AE3BD6">
              <w:rPr>
                <w:rFonts w:ascii="等线" w:eastAsia="等线" w:hAnsi="等线" w:hint="eastAsia"/>
                <w:noProof/>
                <w:szCs w:val="22"/>
              </w:rPr>
              <w:t>FootPhilippa. (1967). The problem of abortion and the doctrine of double effect. Oxford Review.</w:t>
            </w:r>
          </w:p>
          <w:p w:rsidR="00AE3BD6" w:rsidRPr="00AE3BD6" w:rsidRDefault="00AE3BD6" w:rsidP="00AE3BD6">
            <w:pPr>
              <w:ind w:left="720" w:hanging="720"/>
              <w:rPr>
                <w:rFonts w:ascii="等线" w:eastAsia="等线" w:hAnsi="等线"/>
                <w:noProof/>
                <w:szCs w:val="22"/>
              </w:rPr>
            </w:pPr>
            <w:r w:rsidRPr="00AE3BD6">
              <w:rPr>
                <w:rFonts w:ascii="等线" w:eastAsia="等线" w:hAnsi="等线" w:hint="eastAsia"/>
                <w:noProof/>
                <w:szCs w:val="22"/>
              </w:rPr>
              <w:t>GoldNatalie, PulfordBriony, &amp; ColmanAndrew. (2014). The outlandish, the realistic, and the real: contextual manipulation and agent role effects in trolley problems. Frontiers in psychology.</w:t>
            </w:r>
          </w:p>
          <w:p w:rsidR="00AE3BD6" w:rsidRPr="00AE3BD6" w:rsidRDefault="00AE3BD6" w:rsidP="00AE3BD6">
            <w:pPr>
              <w:ind w:left="720" w:hanging="720"/>
              <w:rPr>
                <w:rFonts w:ascii="等线" w:eastAsia="等线" w:hAnsi="等线"/>
                <w:noProof/>
                <w:szCs w:val="22"/>
              </w:rPr>
            </w:pPr>
            <w:r w:rsidRPr="00AE3BD6">
              <w:rPr>
                <w:rFonts w:ascii="等线" w:eastAsia="等线" w:hAnsi="等线" w:hint="eastAsia"/>
                <w:noProof/>
                <w:szCs w:val="22"/>
              </w:rPr>
              <w:t>GreeneJoshua. (2003). From neural ‘is’ to moral ‘ought’: what are the moral implications of neuroscientific moral psychology? Nature reviews neuroscience, 页 846–850.</w:t>
            </w:r>
          </w:p>
          <w:p w:rsidR="00AE3BD6" w:rsidRPr="00AE3BD6" w:rsidRDefault="00AE3BD6" w:rsidP="00AE3BD6">
            <w:pPr>
              <w:ind w:left="720" w:hanging="720"/>
              <w:rPr>
                <w:rFonts w:ascii="等线" w:eastAsia="等线" w:hAnsi="等线"/>
                <w:noProof/>
                <w:szCs w:val="22"/>
              </w:rPr>
            </w:pPr>
            <w:r w:rsidRPr="00AE3BD6">
              <w:rPr>
                <w:rFonts w:ascii="等线" w:eastAsia="等线" w:hAnsi="等线" w:hint="eastAsia"/>
                <w:noProof/>
                <w:szCs w:val="22"/>
              </w:rPr>
              <w:t>Joshua D. GreeneA. Morelli, Kelly Lowenberg, Leigh E. Nystrom, Jonathan D. CohenSylvia. (2008). Cognitive load selectively interferes with utilitarian moral judgment. Cognition.</w:t>
            </w:r>
          </w:p>
          <w:p w:rsidR="00AE3BD6" w:rsidRPr="00AE3BD6" w:rsidRDefault="00AE3BD6" w:rsidP="00AE3BD6">
            <w:pPr>
              <w:ind w:left="720" w:hanging="720"/>
              <w:rPr>
                <w:rFonts w:ascii="等线" w:eastAsia="等线" w:hAnsi="等线"/>
                <w:noProof/>
                <w:szCs w:val="22"/>
              </w:rPr>
            </w:pPr>
            <w:r w:rsidRPr="00AE3BD6">
              <w:rPr>
                <w:rFonts w:ascii="等线" w:eastAsia="等线" w:hAnsi="等线" w:hint="eastAsia"/>
                <w:noProof/>
                <w:szCs w:val="22"/>
              </w:rPr>
              <w:t>ParsonsD.Thomas. (2015). Virtual reality for enhanced ecological validity and experimental control in the clinical, affective and social neurosciences. Frontiers in human neuroscience.</w:t>
            </w:r>
          </w:p>
          <w:p w:rsidR="00D3500A" w:rsidRPr="00AE3BD6" w:rsidRDefault="00AE3BD6" w:rsidP="00AE3BD6">
            <w:pPr>
              <w:ind w:left="720" w:hanging="720"/>
              <w:rPr>
                <w:rFonts w:ascii="等线" w:eastAsia="等线" w:hAnsi="等线"/>
                <w:noProof/>
                <w:szCs w:val="22"/>
              </w:rPr>
            </w:pPr>
            <w:r w:rsidRPr="00AE3BD6">
              <w:rPr>
                <w:rFonts w:ascii="等线" w:eastAsia="等线" w:hAnsi="等线" w:hint="eastAsia"/>
                <w:noProof/>
                <w:szCs w:val="22"/>
              </w:rPr>
              <w:t>ThomsonJarvisJudith. (1985). The Trolley Problem. Yale Law Journal.</w:t>
            </w:r>
          </w:p>
        </w:tc>
      </w:tr>
      <w:tr w:rsidR="00D3500A">
        <w:tc>
          <w:tcPr>
            <w:tcW w:w="8522" w:type="dxa"/>
            <w:gridSpan w:val="4"/>
          </w:tcPr>
          <w:p w:rsidR="00D3500A" w:rsidRDefault="00EB324C">
            <w:pPr>
              <w:spacing w:line="360" w:lineRule="auto"/>
              <w:rPr>
                <w:rFonts w:ascii="宋体" w:hAnsi="宋体"/>
                <w:sz w:val="24"/>
              </w:rPr>
            </w:pPr>
            <w:r>
              <w:rPr>
                <w:rFonts w:ascii="宋体" w:hAnsi="宋体" w:hint="eastAsia"/>
                <w:b/>
                <w:sz w:val="24"/>
              </w:rPr>
              <w:lastRenderedPageBreak/>
              <w:t>二、国内外研究现状</w:t>
            </w:r>
            <w:r>
              <w:rPr>
                <w:rFonts w:ascii="宋体" w:hAnsi="宋体" w:hint="eastAsia"/>
                <w:sz w:val="24"/>
              </w:rPr>
              <w:t>（文献综述，附参考文献，不少于</w:t>
            </w:r>
            <w:r>
              <w:rPr>
                <w:rFonts w:ascii="宋体" w:hAnsi="宋体"/>
                <w:sz w:val="24"/>
              </w:rPr>
              <w:t>1000</w:t>
            </w:r>
            <w:r>
              <w:rPr>
                <w:rFonts w:ascii="宋体" w:hAnsi="宋体" w:hint="eastAsia"/>
                <w:sz w:val="24"/>
              </w:rPr>
              <w:t>字）</w:t>
            </w:r>
          </w:p>
          <w:p w:rsidR="009C66B3" w:rsidRPr="009C66B3" w:rsidRDefault="009C66B3" w:rsidP="009C66B3">
            <w:pPr>
              <w:rPr>
                <w:rFonts w:eastAsia="等线"/>
              </w:rPr>
            </w:pPr>
            <w:r w:rsidRPr="009C66B3">
              <w:rPr>
                <w:rFonts w:eastAsia="等线" w:hint="eastAsia"/>
              </w:rPr>
              <w:t>传统的电车难题是运用纸笔方式来施测，以获取被试的选择结果。现在，有学者运用虚拟现实技术来研究人在电车难题做出选择的影响因素。虚拟现实场景相对于传统的纸笔测验而言，有几大优点。首先，虚拟现实场景下的电车难题测验可以给被试更强的情绪体验</w:t>
            </w:r>
            <w:r w:rsidRPr="009C66B3">
              <w:rPr>
                <w:rFonts w:eastAsia="等线" w:hint="eastAsia"/>
                <w:noProof/>
              </w:rPr>
              <w:t xml:space="preserve"> (Indrajeet Patil, 2014)</w:t>
            </w:r>
            <w:r w:rsidRPr="009C66B3">
              <w:rPr>
                <w:rFonts w:eastAsia="等线" w:hint="eastAsia"/>
              </w:rPr>
              <w:t>。其次，用虚拟现实技术进行电车问题研究，可以将纸笔施测中的“道德判断”转换为被试的“道德行为”，使其具有更高的生态效度，也能更好的预测被试在现实生活中遇到类似情况下的可能做出的行为</w:t>
            </w:r>
            <w:r w:rsidRPr="009C66B3">
              <w:rPr>
                <w:rFonts w:eastAsia="等线" w:hint="eastAsia"/>
                <w:noProof/>
              </w:rPr>
              <w:t xml:space="preserve"> (Kathryn B. Francis, 2016)</w:t>
            </w:r>
            <w:r w:rsidRPr="009C66B3">
              <w:rPr>
                <w:rFonts w:eastAsia="等线" w:hint="eastAsia"/>
              </w:rPr>
              <w:t>。虚拟现实技术还能够调整实验中的各项指标，研究者通过调整</w:t>
            </w:r>
            <w:r w:rsidRPr="009C66B3">
              <w:rPr>
                <w:rFonts w:eastAsia="等线" w:hint="eastAsia"/>
              </w:rPr>
              <w:t>VR</w:t>
            </w:r>
            <w:r w:rsidRPr="009C66B3">
              <w:rPr>
                <w:rFonts w:eastAsia="等线" w:hint="eastAsia"/>
              </w:rPr>
              <w:t>电车实验中会被撞死的个体的性别，面部朝向，种族等指标，研究这些指标对个体做出选择的影响，这些特殊处理也是传统的纸笔测验所无法做到的</w:t>
            </w:r>
            <w:r w:rsidRPr="009C66B3">
              <w:rPr>
                <w:rFonts w:eastAsia="等线" w:hint="eastAsia"/>
                <w:noProof/>
              </w:rPr>
              <w:t xml:space="preserve"> (Alexander Skulmowski, 2014)</w:t>
            </w:r>
            <w:r w:rsidRPr="009C66B3">
              <w:rPr>
                <w:rFonts w:eastAsia="等线" w:hint="eastAsia"/>
              </w:rPr>
              <w:t>。研究发现，当被试做出功利性决策（扳动摇杆，杀死</w:t>
            </w:r>
            <w:r w:rsidRPr="009C66B3">
              <w:rPr>
                <w:rFonts w:eastAsia="等线" w:hint="eastAsia"/>
              </w:rPr>
              <w:t>1</w:t>
            </w:r>
            <w:r w:rsidRPr="009C66B3">
              <w:rPr>
                <w:rFonts w:eastAsia="等线" w:hint="eastAsia"/>
              </w:rPr>
              <w:t>个人）时，会有更高的情感唤醒</w:t>
            </w:r>
            <w:r w:rsidRPr="009C66B3">
              <w:rPr>
                <w:rFonts w:eastAsia="等线" w:hint="eastAsia"/>
                <w:noProof/>
              </w:rPr>
              <w:t xml:space="preserve"> (C. David Navarrete, 2012)</w:t>
            </w:r>
            <w:r w:rsidRPr="009C66B3">
              <w:rPr>
                <w:rFonts w:eastAsia="等线" w:hint="eastAsia"/>
              </w:rPr>
              <w:t>。在这项研究中，研究者实时测量了被试的皮肤导电性变化以衡量其情绪唤醒，这是传统的纸笔测验无法做到的。而虽然目前的虚拟现实技术所呈现的人形目标还不够真实，无法实现电影级别的效果，但是还是可以给受测者足够的情绪刺激</w:t>
            </w:r>
            <w:r w:rsidRPr="009C66B3">
              <w:rPr>
                <w:rFonts w:eastAsia="等线" w:hint="eastAsia"/>
                <w:noProof/>
              </w:rPr>
              <w:t xml:space="preserve"> (Xueni Pan, 2011)</w:t>
            </w:r>
            <w:r w:rsidRPr="009C66B3">
              <w:rPr>
                <w:rFonts w:eastAsia="等线" w:hint="eastAsia"/>
              </w:rPr>
              <w:t>。总而言之，通过虚拟现实技术来模拟电车难题场景，更有利于加强被试真实感，避免思想实验的局限性。</w:t>
            </w:r>
          </w:p>
          <w:p w:rsidR="009C66B3" w:rsidRPr="009C66B3" w:rsidRDefault="009C66B3" w:rsidP="009C66B3">
            <w:pPr>
              <w:rPr>
                <w:rFonts w:eastAsia="等线"/>
              </w:rPr>
            </w:pPr>
            <w:proofErr w:type="spellStart"/>
            <w:r w:rsidRPr="009C66B3">
              <w:rPr>
                <w:rFonts w:eastAsia="等线"/>
              </w:rPr>
              <w:t>Bretz</w:t>
            </w:r>
            <w:proofErr w:type="spellEnd"/>
            <w:r w:rsidRPr="009C66B3">
              <w:rPr>
                <w:rFonts w:eastAsia="等线" w:hint="eastAsia"/>
              </w:rPr>
              <w:t>和</w:t>
            </w:r>
            <w:r w:rsidRPr="009C66B3">
              <w:rPr>
                <w:rFonts w:eastAsia="等线" w:hint="eastAsia"/>
              </w:rPr>
              <w:t>Sun</w:t>
            </w:r>
            <w:r w:rsidRPr="009C66B3">
              <w:rPr>
                <w:rFonts w:eastAsia="等线" w:hint="eastAsia"/>
              </w:rPr>
              <w:t>另外提出了</w:t>
            </w:r>
            <w:r w:rsidRPr="009C66B3">
              <w:rPr>
                <w:rFonts w:eastAsia="等线"/>
              </w:rPr>
              <w:t>Clarion</w:t>
            </w:r>
            <w:r w:rsidRPr="009C66B3">
              <w:rPr>
                <w:rFonts w:eastAsia="等线" w:hint="eastAsia"/>
              </w:rPr>
              <w:t>认知模型。本模型包括四个子系统，用于解释人的道德判断过程。包括</w:t>
            </w:r>
            <w:r w:rsidRPr="009C66B3">
              <w:rPr>
                <w:rFonts w:eastAsia="等线"/>
              </w:rPr>
              <w:t>1. ACS</w:t>
            </w:r>
            <w:r w:rsidRPr="009C66B3">
              <w:rPr>
                <w:rFonts w:eastAsia="等线" w:hint="eastAsia"/>
              </w:rPr>
              <w:t>（</w:t>
            </w:r>
            <w:r w:rsidRPr="009C66B3">
              <w:rPr>
                <w:rFonts w:eastAsia="等线"/>
              </w:rPr>
              <w:t>动作中心子系统</w:t>
            </w:r>
            <w:r w:rsidRPr="009C66B3">
              <w:rPr>
                <w:rFonts w:eastAsia="等线" w:hint="eastAsia"/>
              </w:rPr>
              <w:t>）：</w:t>
            </w:r>
            <w:r w:rsidRPr="009C66B3">
              <w:rPr>
                <w:rFonts w:eastAsia="等线"/>
              </w:rPr>
              <w:t>程序性知识和过</w:t>
            </w:r>
            <w:r w:rsidRPr="009C66B3">
              <w:rPr>
                <w:rFonts w:eastAsia="等线" w:hint="eastAsia"/>
              </w:rPr>
              <w:t>程；</w:t>
            </w:r>
            <w:r w:rsidRPr="009C66B3">
              <w:rPr>
                <w:rFonts w:eastAsia="等线"/>
              </w:rPr>
              <w:t>2. NACS</w:t>
            </w:r>
            <w:r w:rsidRPr="009C66B3">
              <w:rPr>
                <w:rFonts w:eastAsia="等线" w:hint="eastAsia"/>
              </w:rPr>
              <w:t>（</w:t>
            </w:r>
            <w:r w:rsidRPr="009C66B3">
              <w:rPr>
                <w:rFonts w:eastAsia="等线"/>
              </w:rPr>
              <w:t>非动作中心子系统</w:t>
            </w:r>
            <w:r w:rsidRPr="009C66B3">
              <w:rPr>
                <w:rFonts w:eastAsia="等线" w:hint="eastAsia"/>
              </w:rPr>
              <w:t>）</w:t>
            </w:r>
            <w:r w:rsidRPr="009C66B3">
              <w:rPr>
                <w:rFonts w:eastAsia="等线"/>
              </w:rPr>
              <w:t>：陈述性知识和过程的推理和记忆</w:t>
            </w:r>
            <w:r w:rsidRPr="009C66B3">
              <w:rPr>
                <w:rFonts w:eastAsia="等线" w:hint="eastAsia"/>
              </w:rPr>
              <w:t>；</w:t>
            </w:r>
            <w:r w:rsidRPr="009C66B3">
              <w:rPr>
                <w:rFonts w:eastAsia="等线"/>
              </w:rPr>
              <w:t>3. MS</w:t>
            </w:r>
            <w:r w:rsidRPr="009C66B3">
              <w:rPr>
                <w:rFonts w:eastAsia="等线" w:hint="eastAsia"/>
              </w:rPr>
              <w:t>（</w:t>
            </w:r>
            <w:r w:rsidRPr="009C66B3">
              <w:rPr>
                <w:rFonts w:eastAsia="等线"/>
              </w:rPr>
              <w:t>动机子系统</w:t>
            </w:r>
            <w:r w:rsidRPr="009C66B3">
              <w:rPr>
                <w:rFonts w:eastAsia="等线" w:hint="eastAsia"/>
              </w:rPr>
              <w:t>）</w:t>
            </w:r>
            <w:r w:rsidRPr="009C66B3">
              <w:rPr>
                <w:rFonts w:eastAsia="等线"/>
              </w:rPr>
              <w:t>：获得动力和目标</w:t>
            </w:r>
            <w:r w:rsidRPr="009C66B3">
              <w:rPr>
                <w:rFonts w:eastAsia="等线" w:hint="eastAsia"/>
              </w:rPr>
              <w:t>；</w:t>
            </w:r>
            <w:r w:rsidRPr="009C66B3">
              <w:rPr>
                <w:rFonts w:eastAsia="等线"/>
              </w:rPr>
              <w:t>4. MCS</w:t>
            </w:r>
            <w:r w:rsidRPr="009C66B3">
              <w:rPr>
                <w:rFonts w:eastAsia="等线" w:hint="eastAsia"/>
              </w:rPr>
              <w:t>（</w:t>
            </w:r>
            <w:r w:rsidRPr="009C66B3">
              <w:rPr>
                <w:rFonts w:eastAsia="等线"/>
              </w:rPr>
              <w:t>元认知子系统</w:t>
            </w:r>
            <w:r w:rsidRPr="009C66B3">
              <w:rPr>
                <w:rFonts w:eastAsia="等线" w:hint="eastAsia"/>
              </w:rPr>
              <w:t>）</w:t>
            </w:r>
            <w:r w:rsidRPr="009C66B3">
              <w:rPr>
                <w:rFonts w:eastAsia="等线"/>
              </w:rPr>
              <w:t>：调节其他子系统</w:t>
            </w:r>
            <w:r w:rsidRPr="009C66B3">
              <w:rPr>
                <w:rFonts w:eastAsia="等线" w:hint="eastAsia"/>
              </w:rPr>
              <w:t>。每个子系统包括上下两层，相互交互。上层编码显性知识并执行显式过程，下层对应隐性知识和隐性过程</w:t>
            </w:r>
            <w:r w:rsidRPr="009C66B3">
              <w:rPr>
                <w:rFonts w:eastAsia="等线" w:hint="eastAsia"/>
                <w:noProof/>
              </w:rPr>
              <w:t xml:space="preserve"> (Shane Bretz, 2018)</w:t>
            </w:r>
            <w:r w:rsidRPr="009C66B3">
              <w:rPr>
                <w:rFonts w:eastAsia="等线" w:hint="eastAsia"/>
              </w:rPr>
              <w:t>。这一模型如下图所示：</w:t>
            </w:r>
          </w:p>
          <w:p w:rsidR="009C66B3" w:rsidRPr="009C66B3" w:rsidRDefault="00527423" w:rsidP="009C66B3">
            <w:pPr>
              <w:rPr>
                <w:rFonts w:eastAsia="等线"/>
              </w:rPr>
            </w:pPr>
            <w:r w:rsidRPr="009C66B3">
              <w:rPr>
                <w:rFonts w:eastAsia="等线"/>
                <w:noProof/>
              </w:rPr>
              <w:lastRenderedPageBreak/>
              <w:drawing>
                <wp:inline distT="0" distB="0" distL="0" distR="0">
                  <wp:extent cx="5008880" cy="4152900"/>
                  <wp:effectExtent l="0" t="0" r="0" b="0"/>
                  <wp:docPr id="1" name="Picture 3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8880" cy="4152900"/>
                          </a:xfrm>
                          <a:prstGeom prst="rect">
                            <a:avLst/>
                          </a:prstGeom>
                          <a:noFill/>
                          <a:ln>
                            <a:noFill/>
                          </a:ln>
                        </pic:spPr>
                      </pic:pic>
                    </a:graphicData>
                  </a:graphic>
                </wp:inline>
              </w:drawing>
            </w:r>
          </w:p>
          <w:p w:rsidR="009C66B3" w:rsidRPr="009C66B3" w:rsidRDefault="009C66B3" w:rsidP="009C66B3">
            <w:pPr>
              <w:rPr>
                <w:rFonts w:eastAsia="等线"/>
              </w:rPr>
            </w:pPr>
            <w:r w:rsidRPr="009C66B3">
              <w:rPr>
                <w:rFonts w:eastAsia="等线" w:hint="eastAsia"/>
              </w:rPr>
              <w:t>可以发现，</w:t>
            </w:r>
            <w:r w:rsidRPr="009C66B3">
              <w:rPr>
                <w:rFonts w:eastAsia="等线" w:hint="eastAsia"/>
              </w:rPr>
              <w:t>Gr</w:t>
            </w:r>
            <w:r w:rsidRPr="009C66B3">
              <w:rPr>
                <w:rFonts w:eastAsia="等线"/>
              </w:rPr>
              <w:t>eene</w:t>
            </w:r>
            <w:r w:rsidRPr="009C66B3">
              <w:rPr>
                <w:rFonts w:eastAsia="等线" w:hint="eastAsia"/>
              </w:rPr>
              <w:t>等人的</w:t>
            </w:r>
            <w:proofErr w:type="gramStart"/>
            <w:r w:rsidRPr="009C66B3">
              <w:rPr>
                <w:rFonts w:eastAsia="等线" w:hint="eastAsia"/>
              </w:rPr>
              <w:t>道德双加工</w:t>
            </w:r>
            <w:proofErr w:type="gramEnd"/>
            <w:r w:rsidRPr="009C66B3">
              <w:rPr>
                <w:rFonts w:eastAsia="等线" w:hint="eastAsia"/>
              </w:rPr>
              <w:t>模型，对应的就是本模型中的</w:t>
            </w:r>
            <w:r w:rsidRPr="009C66B3">
              <w:rPr>
                <w:rFonts w:eastAsia="等线" w:hint="eastAsia"/>
              </w:rPr>
              <w:t>ACS</w:t>
            </w:r>
            <w:r w:rsidRPr="009C66B3">
              <w:rPr>
                <w:rFonts w:eastAsia="等线" w:hint="eastAsia"/>
              </w:rPr>
              <w:t>部分，而本模型又对其有了新的补充，包括动机，元认知等成分。而经过模拟计算，</w:t>
            </w:r>
            <w:r w:rsidRPr="009C66B3">
              <w:rPr>
                <w:rFonts w:eastAsia="等线"/>
              </w:rPr>
              <w:t>Clarion</w:t>
            </w:r>
            <w:r w:rsidRPr="009C66B3">
              <w:rPr>
                <w:rFonts w:eastAsia="等线" w:hint="eastAsia"/>
              </w:rPr>
              <w:t>模型能更好地解释被试在电车难题中的行为数据。</w:t>
            </w:r>
          </w:p>
          <w:p w:rsidR="009C66B3" w:rsidRPr="009C66B3" w:rsidRDefault="009C66B3" w:rsidP="009C66B3">
            <w:pPr>
              <w:rPr>
                <w:rFonts w:eastAsia="等线"/>
              </w:rPr>
            </w:pPr>
            <w:r w:rsidRPr="009C66B3">
              <w:rPr>
                <w:rFonts w:eastAsia="等线" w:hint="eastAsia"/>
              </w:rPr>
              <w:t>共情</w:t>
            </w:r>
            <w:r w:rsidRPr="009C66B3">
              <w:rPr>
                <w:rFonts w:eastAsia="等线" w:hint="eastAsia"/>
              </w:rPr>
              <w:t>(E</w:t>
            </w:r>
            <w:r w:rsidRPr="009C66B3">
              <w:rPr>
                <w:rFonts w:eastAsia="等线"/>
              </w:rPr>
              <w:t>mpathy)</w:t>
            </w:r>
            <w:r w:rsidRPr="009C66B3">
              <w:rPr>
                <w:rFonts w:eastAsia="等线" w:hint="eastAsia"/>
              </w:rPr>
              <w:t>是指体验他人的精神世界，如同体验自身精神世界一样。</w:t>
            </w:r>
            <w:proofErr w:type="gramStart"/>
            <w:r w:rsidRPr="009C66B3">
              <w:rPr>
                <w:rFonts w:eastAsia="等线" w:hint="eastAsia"/>
              </w:rPr>
              <w:t>共情能力高</w:t>
            </w:r>
            <w:proofErr w:type="gramEnd"/>
            <w:r w:rsidRPr="009C66B3">
              <w:rPr>
                <w:rFonts w:eastAsia="等线" w:hint="eastAsia"/>
              </w:rPr>
              <w:t>的人能够更好地体验他人的情绪和想法，理解对方的立场和感受</w:t>
            </w:r>
            <w:r w:rsidRPr="009C66B3">
              <w:rPr>
                <w:rFonts w:eastAsia="等线" w:hint="eastAsia"/>
                <w:noProof/>
              </w:rPr>
              <w:t xml:space="preserve"> (</w:t>
            </w:r>
            <w:r w:rsidRPr="009C66B3">
              <w:rPr>
                <w:rFonts w:eastAsia="等线" w:hint="eastAsia"/>
                <w:noProof/>
              </w:rPr>
              <w:t>解</w:t>
            </w:r>
            <w:r w:rsidRPr="009C66B3">
              <w:rPr>
                <w:rFonts w:eastAsia="等线" w:hint="eastAsia"/>
                <w:noProof/>
              </w:rPr>
              <w:t xml:space="preserve">, </w:t>
            </w:r>
            <w:r w:rsidRPr="009C66B3">
              <w:rPr>
                <w:rFonts w:eastAsia="等线" w:hint="eastAsia"/>
                <w:noProof/>
              </w:rPr>
              <w:t>吴</w:t>
            </w:r>
            <w:r w:rsidRPr="009C66B3">
              <w:rPr>
                <w:rFonts w:eastAsia="等线" w:hint="eastAsia"/>
                <w:noProof/>
              </w:rPr>
              <w:t xml:space="preserve">, </w:t>
            </w:r>
            <w:r w:rsidRPr="009C66B3">
              <w:rPr>
                <w:rFonts w:eastAsia="等线" w:hint="eastAsia"/>
                <w:noProof/>
              </w:rPr>
              <w:t>杨</w:t>
            </w:r>
            <w:r w:rsidRPr="009C66B3">
              <w:rPr>
                <w:rFonts w:eastAsia="等线" w:hint="eastAsia"/>
                <w:noProof/>
              </w:rPr>
              <w:t xml:space="preserve">, &amp; </w:t>
            </w:r>
            <w:r w:rsidRPr="009C66B3">
              <w:rPr>
                <w:rFonts w:eastAsia="等线" w:hint="eastAsia"/>
                <w:noProof/>
              </w:rPr>
              <w:t>何</w:t>
            </w:r>
            <w:r w:rsidRPr="009C66B3">
              <w:rPr>
                <w:rFonts w:eastAsia="等线" w:hint="eastAsia"/>
                <w:noProof/>
              </w:rPr>
              <w:t>, 2016)</w:t>
            </w:r>
            <w:r w:rsidRPr="009C66B3">
              <w:rPr>
                <w:rFonts w:eastAsia="等线" w:hint="eastAsia"/>
              </w:rPr>
              <w:t>。共</w:t>
            </w:r>
            <w:proofErr w:type="gramStart"/>
            <w:r w:rsidRPr="009C66B3">
              <w:rPr>
                <w:rFonts w:eastAsia="等线" w:hint="eastAsia"/>
              </w:rPr>
              <w:t>情能力</w:t>
            </w:r>
            <w:proofErr w:type="gramEnd"/>
            <w:r w:rsidRPr="009C66B3">
              <w:rPr>
                <w:rFonts w:eastAsia="等线" w:hint="eastAsia"/>
              </w:rPr>
              <w:t>包括两个部分，认知共情和情感共情。认知共情是辨别他人情感的能力，情感共情是个体情感的反应能力。目前，有一些针对儿童的研究，讨论共</w:t>
            </w:r>
            <w:proofErr w:type="gramStart"/>
            <w:r w:rsidRPr="009C66B3">
              <w:rPr>
                <w:rFonts w:eastAsia="等线" w:hint="eastAsia"/>
              </w:rPr>
              <w:t>情能力</w:t>
            </w:r>
            <w:proofErr w:type="gramEnd"/>
            <w:r w:rsidRPr="009C66B3">
              <w:rPr>
                <w:rFonts w:eastAsia="等线" w:hint="eastAsia"/>
              </w:rPr>
              <w:t>对儿童道德判断的影响</w:t>
            </w:r>
            <w:r w:rsidRPr="009C66B3">
              <w:rPr>
                <w:rFonts w:eastAsia="等线" w:hint="eastAsia"/>
                <w:noProof/>
              </w:rPr>
              <w:t xml:space="preserve"> (Choi &amp; Yim, 2016)</w:t>
            </w:r>
            <w:r w:rsidRPr="009C66B3">
              <w:rPr>
                <w:rFonts w:eastAsia="等线" w:hint="eastAsia"/>
              </w:rPr>
              <w:t>，</w:t>
            </w:r>
            <w:r w:rsidRPr="009C66B3">
              <w:rPr>
                <w:rFonts w:eastAsia="等线" w:hint="eastAsia"/>
                <w:noProof/>
              </w:rPr>
              <w:t xml:space="preserve"> (Courtney L. Ball, 2017)</w:t>
            </w:r>
            <w:r w:rsidRPr="009C66B3">
              <w:rPr>
                <w:rFonts w:eastAsia="等线" w:hint="eastAsia"/>
              </w:rPr>
              <w:t>，但是共</w:t>
            </w:r>
            <w:proofErr w:type="gramStart"/>
            <w:r w:rsidRPr="009C66B3">
              <w:rPr>
                <w:rFonts w:eastAsia="等线" w:hint="eastAsia"/>
              </w:rPr>
              <w:t>情能</w:t>
            </w:r>
            <w:proofErr w:type="gramEnd"/>
            <w:r w:rsidRPr="009C66B3">
              <w:rPr>
                <w:rFonts w:eastAsia="等线" w:hint="eastAsia"/>
              </w:rPr>
              <w:t>力和成年人道德判断之间的关系仍然有待讨论。</w:t>
            </w:r>
          </w:p>
          <w:p w:rsidR="009C66B3" w:rsidRPr="009C66B3" w:rsidRDefault="009C66B3" w:rsidP="009C66B3">
            <w:pPr>
              <w:rPr>
                <w:rFonts w:eastAsia="等线" w:cs="Microsoft Sans Serif"/>
                <w:color w:val="333333"/>
                <w:szCs w:val="21"/>
                <w:shd w:val="clear" w:color="auto" w:fill="FFFFFF"/>
              </w:rPr>
            </w:pPr>
            <w:r w:rsidRPr="009C66B3">
              <w:rPr>
                <w:rFonts w:eastAsia="等线" w:cs="Microsoft Sans Serif" w:hint="eastAsia"/>
                <w:color w:val="333333"/>
                <w:szCs w:val="21"/>
                <w:shd w:val="clear" w:color="auto" w:fill="FFFFFF"/>
              </w:rPr>
              <w:t>道德绝对主义</w:t>
            </w:r>
            <w:r w:rsidRPr="009C66B3">
              <w:rPr>
                <w:rFonts w:eastAsia="等线" w:cs="Microsoft Sans Serif"/>
                <w:color w:val="333333"/>
                <w:szCs w:val="21"/>
                <w:shd w:val="clear" w:color="auto" w:fill="FFFFFF"/>
              </w:rPr>
              <w:t>(moral absolutism)</w:t>
            </w:r>
            <w:r w:rsidRPr="009C66B3">
              <w:rPr>
                <w:rFonts w:eastAsia="等线" w:cs="Microsoft Sans Serif"/>
                <w:color w:val="333333"/>
                <w:szCs w:val="21"/>
                <w:shd w:val="clear" w:color="auto" w:fill="FFFFFF"/>
              </w:rPr>
              <w:t>也称道德普遍主义</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认为道德具有绝对不变的性质</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强调道德规范的普遍有效性与客观性。道德相对主义</w:t>
            </w:r>
            <w:r w:rsidRPr="009C66B3">
              <w:rPr>
                <w:rFonts w:eastAsia="等线" w:cs="Microsoft Sans Serif"/>
                <w:color w:val="333333"/>
                <w:szCs w:val="21"/>
                <w:shd w:val="clear" w:color="auto" w:fill="FFFFFF"/>
              </w:rPr>
              <w:t>(moral relativism)</w:t>
            </w:r>
            <w:r w:rsidRPr="009C66B3">
              <w:rPr>
                <w:rFonts w:eastAsia="等线" w:cs="Microsoft Sans Serif"/>
                <w:color w:val="333333"/>
                <w:szCs w:val="21"/>
                <w:shd w:val="clear" w:color="auto" w:fill="FFFFFF"/>
              </w:rPr>
              <w:t>也称伦理相对主义</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指出</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正确</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或</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错误</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是相对的</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因为道德信仰是文化历史的产物。道德相对主义的内在主体性涉及到更为宽松的道德标准</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因而对自己和他人的越轨行为都更加宽容。</w:t>
            </w:r>
            <w:r w:rsidRPr="009C66B3">
              <w:rPr>
                <w:rFonts w:eastAsia="等线" w:cs="Microsoft Sans Serif"/>
                <w:color w:val="333333"/>
                <w:szCs w:val="21"/>
                <w:shd w:val="clear" w:color="auto" w:fill="FFFFFF"/>
              </w:rPr>
              <w:t xml:space="preserve"> </w:t>
            </w:r>
          </w:p>
          <w:p w:rsidR="009C66B3" w:rsidRPr="009C66B3" w:rsidRDefault="009C66B3" w:rsidP="009C66B3">
            <w:pPr>
              <w:rPr>
                <w:rFonts w:eastAsia="等线" w:cs="Microsoft Sans Serif"/>
                <w:color w:val="333333"/>
                <w:szCs w:val="21"/>
                <w:shd w:val="clear" w:color="auto" w:fill="FFFFFF"/>
              </w:rPr>
            </w:pPr>
            <w:r w:rsidRPr="009C66B3">
              <w:rPr>
                <w:rFonts w:eastAsia="等线" w:cs="Microsoft Sans Serif" w:hint="eastAsia"/>
                <w:color w:val="333333"/>
                <w:szCs w:val="21"/>
                <w:shd w:val="clear" w:color="auto" w:fill="FFFFFF"/>
              </w:rPr>
              <w:t>已有研究表明道德相对主义会影响道德判断</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使道德判断变得更为宽松</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进而出现不道德行为</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例如欺骗行为</w:t>
            </w:r>
            <w:r w:rsidRPr="009C66B3">
              <w:rPr>
                <w:rFonts w:eastAsia="等线" w:cs="Microsoft Sans Serif" w:hint="eastAsia"/>
                <w:noProof/>
                <w:color w:val="333333"/>
                <w:szCs w:val="21"/>
                <w:shd w:val="clear" w:color="auto" w:fill="FFFFFF"/>
              </w:rPr>
              <w:t xml:space="preserve"> (Jackson G. Lu, 2017)</w:t>
            </w:r>
            <w:r w:rsidRPr="009C66B3">
              <w:rPr>
                <w:rFonts w:eastAsia="等线" w:cs="Microsoft Sans Serif"/>
                <w:color w:val="333333"/>
                <w:szCs w:val="21"/>
                <w:shd w:val="clear" w:color="auto" w:fill="FFFFFF"/>
              </w:rPr>
              <w:t>、小偷小摸</w:t>
            </w:r>
            <w:r w:rsidRPr="009C66B3">
              <w:rPr>
                <w:rFonts w:eastAsia="等线" w:cs="Microsoft Sans Serif" w:hint="eastAsia"/>
                <w:noProof/>
                <w:color w:val="333333"/>
                <w:szCs w:val="21"/>
                <w:shd w:val="clear" w:color="auto" w:fill="FFFFFF"/>
              </w:rPr>
              <w:t xml:space="preserve"> (Tage S.Raia, 2013)</w:t>
            </w:r>
            <w:r w:rsidRPr="009C66B3">
              <w:rPr>
                <w:rFonts w:eastAsia="等线" w:cs="Microsoft Sans Serif"/>
                <w:color w:val="333333"/>
                <w:szCs w:val="21"/>
                <w:shd w:val="clear" w:color="auto" w:fill="FFFFFF"/>
              </w:rPr>
              <w:t>。</w:t>
            </w:r>
            <w:r w:rsidRPr="009C66B3">
              <w:rPr>
                <w:rFonts w:eastAsia="等线" w:cs="Microsoft Sans Serif" w:hint="eastAsia"/>
                <w:color w:val="333333"/>
                <w:szCs w:val="21"/>
                <w:shd w:val="clear" w:color="auto" w:fill="FFFFFF"/>
              </w:rPr>
              <w:t>同时，在道德相对主义条件下，人更不倾向于做出道德直觉判断</w:t>
            </w:r>
            <w:r w:rsidRPr="009C66B3">
              <w:rPr>
                <w:rFonts w:eastAsia="等线" w:cs="Microsoft Sans Serif" w:hint="eastAsia"/>
                <w:noProof/>
                <w:color w:val="333333"/>
                <w:szCs w:val="21"/>
                <w:shd w:val="clear" w:color="auto" w:fill="FFFFFF"/>
              </w:rPr>
              <w:t xml:space="preserve"> (</w:t>
            </w:r>
            <w:r w:rsidRPr="009C66B3">
              <w:rPr>
                <w:rFonts w:eastAsia="等线" w:cs="Microsoft Sans Serif" w:hint="eastAsia"/>
                <w:noProof/>
                <w:color w:val="333333"/>
                <w:szCs w:val="21"/>
                <w:shd w:val="clear" w:color="auto" w:fill="FFFFFF"/>
              </w:rPr>
              <w:t>耿</w:t>
            </w:r>
            <w:r w:rsidRPr="009C66B3">
              <w:rPr>
                <w:rFonts w:eastAsia="等线" w:cs="Microsoft Sans Serif" w:hint="eastAsia"/>
                <w:noProof/>
                <w:color w:val="333333"/>
                <w:szCs w:val="21"/>
                <w:shd w:val="clear" w:color="auto" w:fill="FFFFFF"/>
              </w:rPr>
              <w:t xml:space="preserve">, </w:t>
            </w:r>
            <w:r w:rsidRPr="009C66B3">
              <w:rPr>
                <w:rFonts w:eastAsia="等线" w:cs="Microsoft Sans Serif" w:hint="eastAsia"/>
                <w:noProof/>
                <w:color w:val="333333"/>
                <w:szCs w:val="21"/>
                <w:shd w:val="clear" w:color="auto" w:fill="FFFFFF"/>
              </w:rPr>
              <w:t>以及其他人</w:t>
            </w:r>
            <w:r w:rsidRPr="009C66B3">
              <w:rPr>
                <w:rFonts w:eastAsia="等线" w:cs="Microsoft Sans Serif" w:hint="eastAsia"/>
                <w:noProof/>
                <w:color w:val="333333"/>
                <w:szCs w:val="21"/>
                <w:shd w:val="clear" w:color="auto" w:fill="FFFFFF"/>
              </w:rPr>
              <w:t>, 2019)</w:t>
            </w:r>
            <w:r w:rsidRPr="009C66B3">
              <w:rPr>
                <w:rFonts w:eastAsia="等线" w:cs="Microsoft Sans Serif" w:hint="eastAsia"/>
                <w:color w:val="333333"/>
                <w:szCs w:val="21"/>
                <w:shd w:val="clear" w:color="auto" w:fill="FFFFFF"/>
              </w:rPr>
              <w:t>。可以猜想，通过道德相对主义倾向的干预可以影响人在电车难题中的选择。</w:t>
            </w:r>
          </w:p>
          <w:p w:rsidR="009C66B3" w:rsidRPr="009C66B3" w:rsidRDefault="009C66B3" w:rsidP="009C66B3">
            <w:pPr>
              <w:rPr>
                <w:rFonts w:eastAsia="等线"/>
              </w:rPr>
            </w:pPr>
            <w:r w:rsidRPr="009C66B3">
              <w:rPr>
                <w:rFonts w:eastAsia="等线" w:hint="eastAsia"/>
              </w:rPr>
              <w:t>元认知是对认知的认知，研究者一般认为元认知由元认知知识、元认知体验和元认知调节三</w:t>
            </w:r>
          </w:p>
          <w:p w:rsidR="009C66B3" w:rsidRPr="009C66B3" w:rsidRDefault="009C66B3" w:rsidP="009C66B3">
            <w:pPr>
              <w:rPr>
                <w:rFonts w:eastAsia="等线"/>
              </w:rPr>
            </w:pPr>
            <w:r w:rsidRPr="009C66B3">
              <w:rPr>
                <w:rFonts w:eastAsia="等线" w:hint="eastAsia"/>
              </w:rPr>
              <w:t>部分构成。但国际研究大多强调“认知调节”的动态过程</w:t>
            </w:r>
            <w:r w:rsidRPr="009C66B3">
              <w:rPr>
                <w:rFonts w:eastAsia="等线"/>
              </w:rPr>
              <w:t>，</w:t>
            </w:r>
            <w:r w:rsidRPr="009C66B3">
              <w:rPr>
                <w:rFonts w:eastAsia="等线" w:hint="eastAsia"/>
              </w:rPr>
              <w:t>认为“认知调节”才是元认知的核心，</w:t>
            </w:r>
            <w:r w:rsidRPr="009C66B3">
              <w:rPr>
                <w:rFonts w:eastAsia="等线"/>
              </w:rPr>
              <w:t>在行为调节中</w:t>
            </w:r>
            <w:r w:rsidRPr="009C66B3">
              <w:rPr>
                <w:rFonts w:eastAsia="等线" w:hint="eastAsia"/>
              </w:rPr>
              <w:t>起最重要作用</w:t>
            </w:r>
            <w:r w:rsidRPr="009C66B3">
              <w:rPr>
                <w:rFonts w:eastAsia="等线" w:hint="eastAsia"/>
                <w:noProof/>
              </w:rPr>
              <w:t xml:space="preserve"> (DJ Hacker, 1998)</w:t>
            </w:r>
            <w:r w:rsidRPr="009C66B3">
              <w:rPr>
                <w:rFonts w:eastAsia="等线" w:hint="eastAsia"/>
              </w:rPr>
              <w:t>。元认知调节指认</w:t>
            </w:r>
            <w:proofErr w:type="gramStart"/>
            <w:r w:rsidRPr="009C66B3">
              <w:rPr>
                <w:rFonts w:eastAsia="等线" w:hint="eastAsia"/>
              </w:rPr>
              <w:t>知主体</w:t>
            </w:r>
            <w:proofErr w:type="gramEnd"/>
            <w:r w:rsidRPr="009C66B3">
              <w:rPr>
                <w:rFonts w:eastAsia="等线" w:hint="eastAsia"/>
              </w:rPr>
              <w:t>对认知活动进行调节的过程，包括预测、计划、策略选择、监测、修正和评价等六</w:t>
            </w:r>
            <w:r w:rsidRPr="009C66B3">
              <w:rPr>
                <w:rFonts w:eastAsia="等线"/>
              </w:rPr>
              <w:t>个彼此紧密联系的子过程</w:t>
            </w:r>
            <w:r w:rsidRPr="009C66B3">
              <w:rPr>
                <w:rFonts w:eastAsia="等线" w:hint="eastAsia"/>
                <w:noProof/>
              </w:rPr>
              <w:t xml:space="preserve"> (</w:t>
            </w:r>
            <w:r w:rsidRPr="009C66B3">
              <w:rPr>
                <w:rFonts w:eastAsia="等线" w:hint="eastAsia"/>
                <w:noProof/>
              </w:rPr>
              <w:t>黎</w:t>
            </w:r>
            <w:r w:rsidRPr="009C66B3">
              <w:rPr>
                <w:rFonts w:eastAsia="等线" w:hint="eastAsia"/>
                <w:noProof/>
              </w:rPr>
              <w:t xml:space="preserve">, </w:t>
            </w:r>
            <w:r w:rsidRPr="009C66B3">
              <w:rPr>
                <w:rFonts w:eastAsia="等线" w:hint="eastAsia"/>
                <w:noProof/>
              </w:rPr>
              <w:t>李</w:t>
            </w:r>
            <w:r w:rsidRPr="009C66B3">
              <w:rPr>
                <w:rFonts w:eastAsia="等线" w:hint="eastAsia"/>
                <w:noProof/>
              </w:rPr>
              <w:t xml:space="preserve">, &amp; </w:t>
            </w:r>
            <w:r w:rsidRPr="009C66B3">
              <w:rPr>
                <w:rFonts w:eastAsia="等线" w:hint="eastAsia"/>
                <w:noProof/>
              </w:rPr>
              <w:t>张</w:t>
            </w:r>
            <w:r w:rsidRPr="009C66B3">
              <w:rPr>
                <w:rFonts w:eastAsia="等线" w:hint="eastAsia"/>
                <w:noProof/>
              </w:rPr>
              <w:t>, 2012)</w:t>
            </w:r>
            <w:r w:rsidRPr="009C66B3">
              <w:rPr>
                <w:rFonts w:eastAsia="等线" w:hint="eastAsia"/>
              </w:rPr>
              <w:t>。而在</w:t>
            </w:r>
            <w:r w:rsidRPr="009C66B3">
              <w:rPr>
                <w:rFonts w:eastAsia="等线"/>
              </w:rPr>
              <w:t>Clarion</w:t>
            </w:r>
            <w:r w:rsidRPr="009C66B3">
              <w:rPr>
                <w:rFonts w:eastAsia="等线" w:hint="eastAsia"/>
              </w:rPr>
              <w:t>认知模型当中，元认知子系统是控制另外三个子系统，进行道德判断的重要组成部分，因此元认知能力人的日常学习生活和道德判断中都有重要的意义。</w:t>
            </w:r>
          </w:p>
          <w:p w:rsidR="009C66B3" w:rsidRPr="00096EB5" w:rsidRDefault="009C66B3" w:rsidP="009C66B3">
            <w:pPr>
              <w:pStyle w:val="1"/>
              <w:rPr>
                <w:color w:val="auto"/>
                <w:sz w:val="21"/>
                <w:szCs w:val="21"/>
              </w:rPr>
            </w:pPr>
            <w:r w:rsidRPr="00096EB5">
              <w:rPr>
                <w:rFonts w:hint="eastAsia"/>
                <w:color w:val="auto"/>
                <w:sz w:val="21"/>
                <w:szCs w:val="21"/>
                <w:lang w:val="zh-CN"/>
              </w:rPr>
              <w:lastRenderedPageBreak/>
              <w:t>参考文献</w:t>
            </w:r>
          </w:p>
          <w:p w:rsidR="009C66B3" w:rsidRDefault="009C66B3" w:rsidP="009C66B3">
            <w:pPr>
              <w:pStyle w:val="a8"/>
              <w:ind w:left="720" w:hanging="720"/>
              <w:rPr>
                <w:noProof/>
                <w:kern w:val="0"/>
                <w:sz w:val="24"/>
                <w:szCs w:val="24"/>
              </w:rPr>
            </w:pPr>
            <w:r>
              <w:rPr>
                <w:rFonts w:hint="eastAsia"/>
                <w:noProof/>
              </w:rPr>
              <w:t>Alexander SkulmowskiBunge, Kai Kaspar, Gordon PipaAndreas. (2014年12月16日). Forced-choice decision-making in modified trolley dilemma situations: a virtual reality and eye tracking study. Frontiers in behavioral neuroscience.</w:t>
            </w:r>
          </w:p>
          <w:p w:rsidR="009C66B3" w:rsidRDefault="009C66B3" w:rsidP="009C66B3">
            <w:pPr>
              <w:pStyle w:val="a8"/>
              <w:ind w:left="720" w:hanging="720"/>
              <w:rPr>
                <w:noProof/>
              </w:rPr>
            </w:pPr>
            <w:r>
              <w:rPr>
                <w:rFonts w:hint="eastAsia"/>
                <w:noProof/>
              </w:rPr>
              <w:t>Bernhard PastötterGleixner, Theresa Neuhauser, Karl-Heinz T.BäumlSabine. (2013). To push or not to push? Affective influences on moral judgment depend on decision frame. Cognition.</w:t>
            </w:r>
          </w:p>
          <w:p w:rsidR="009C66B3" w:rsidRDefault="009C66B3" w:rsidP="009C66B3">
            <w:pPr>
              <w:pStyle w:val="a8"/>
              <w:ind w:left="720" w:hanging="720"/>
              <w:rPr>
                <w:noProof/>
              </w:rPr>
            </w:pPr>
            <w:r>
              <w:rPr>
                <w:rFonts w:hint="eastAsia"/>
                <w:noProof/>
              </w:rPr>
              <w:t>C. David NavarreteM. McDonald, Michael L. Mott, Benjamin AsherMelissa. (2012). Virtual Morality: Emotion and Action in a Simulated Three-Dimensional “Trolley Problem”. Emotion.</w:t>
            </w:r>
          </w:p>
          <w:p w:rsidR="009C66B3" w:rsidRDefault="009C66B3" w:rsidP="009C66B3">
            <w:pPr>
              <w:pStyle w:val="a8"/>
              <w:ind w:left="720" w:hanging="720"/>
              <w:rPr>
                <w:noProof/>
              </w:rPr>
            </w:pPr>
            <w:r>
              <w:rPr>
                <w:rFonts w:hint="eastAsia"/>
                <w:noProof/>
              </w:rPr>
              <w:t>ChoiMi-sook, &amp; YimYun-ja. (2016). The Effect of the Moral Imagination Activity on Young Children's Moral Judgment and Empathy. Journal of Future Early Childhood Education.</w:t>
            </w:r>
          </w:p>
          <w:p w:rsidR="009C66B3" w:rsidRDefault="009C66B3" w:rsidP="009C66B3">
            <w:pPr>
              <w:pStyle w:val="a8"/>
              <w:ind w:left="720" w:hanging="720"/>
              <w:rPr>
                <w:noProof/>
              </w:rPr>
            </w:pPr>
            <w:r>
              <w:rPr>
                <w:rFonts w:hint="eastAsia"/>
                <w:noProof/>
              </w:rPr>
              <w:t>Courtney L. BallG. Smetana, Melissa L. Sturge‐AppleJudith. (2017). Following My Head and My Heart: Integrating Preschoolers' Empathy, Theory of Mind, and Moral Judgments. CHILD DEVELOPMENT.</w:t>
            </w:r>
          </w:p>
          <w:p w:rsidR="009C66B3" w:rsidRDefault="009C66B3" w:rsidP="009C66B3">
            <w:pPr>
              <w:pStyle w:val="a8"/>
              <w:ind w:left="720" w:hanging="720"/>
              <w:rPr>
                <w:noProof/>
              </w:rPr>
            </w:pPr>
            <w:r>
              <w:rPr>
                <w:rFonts w:hint="eastAsia"/>
                <w:noProof/>
              </w:rPr>
              <w:t>DJ HackerDunlosky, AC GraesserJ. (1998). Metacognition in educational theory and practice.</w:t>
            </w:r>
          </w:p>
          <w:p w:rsidR="009C66B3" w:rsidRDefault="009C66B3" w:rsidP="009C66B3">
            <w:pPr>
              <w:pStyle w:val="a8"/>
              <w:ind w:left="720" w:hanging="720"/>
              <w:rPr>
                <w:noProof/>
              </w:rPr>
            </w:pPr>
            <w:r>
              <w:rPr>
                <w:rFonts w:hint="eastAsia"/>
                <w:noProof/>
              </w:rPr>
              <w:t>FootPhilippa. (1967). The problem of abortion and the doctrine of double effect. Oxford Review.</w:t>
            </w:r>
          </w:p>
          <w:p w:rsidR="009C66B3" w:rsidRDefault="009C66B3" w:rsidP="009C66B3">
            <w:pPr>
              <w:pStyle w:val="a8"/>
              <w:ind w:left="720" w:hanging="720"/>
              <w:rPr>
                <w:noProof/>
              </w:rPr>
            </w:pPr>
            <w:r>
              <w:rPr>
                <w:rFonts w:hint="eastAsia"/>
                <w:noProof/>
              </w:rPr>
              <w:t>GoldNatalie, PulfordBriony, &amp; ColmanAndrew. (2014). The outlandish, the realistic, and the real: contextual manipulation and agent role effects in trolley problems. Frontiers in psychology.</w:t>
            </w:r>
          </w:p>
          <w:p w:rsidR="009C66B3" w:rsidRDefault="009C66B3" w:rsidP="009C66B3">
            <w:pPr>
              <w:pStyle w:val="a8"/>
              <w:ind w:left="720" w:hanging="720"/>
              <w:rPr>
                <w:noProof/>
              </w:rPr>
            </w:pPr>
            <w:r>
              <w:rPr>
                <w:rFonts w:hint="eastAsia"/>
                <w:noProof/>
              </w:rPr>
              <w:t>GreeneD.Joshua. (2003). From neural ‘is’ to moral ‘ought’: what are the moral implications of neuroscientific moral psychology? Nature reviews neuroscience, 页 846–850.</w:t>
            </w:r>
          </w:p>
          <w:p w:rsidR="009C66B3" w:rsidRDefault="009C66B3" w:rsidP="009C66B3">
            <w:pPr>
              <w:pStyle w:val="a8"/>
              <w:ind w:left="720" w:hanging="720"/>
              <w:rPr>
                <w:noProof/>
              </w:rPr>
            </w:pPr>
            <w:r>
              <w:rPr>
                <w:rFonts w:hint="eastAsia"/>
                <w:noProof/>
              </w:rPr>
              <w:t>Indrajeet PatilCogoni, Nicola Zangrando, Luca Chittaro, Giorgia SilaniCarlotta. (2014). Affective basis of judgment-behavior discrepancy in virtual experiences of moral dilemmas. Social Neuroscience, 页 94-107.</w:t>
            </w:r>
          </w:p>
          <w:p w:rsidR="009C66B3" w:rsidRDefault="009C66B3" w:rsidP="009C66B3">
            <w:pPr>
              <w:pStyle w:val="a8"/>
              <w:ind w:left="720" w:hanging="720"/>
              <w:rPr>
                <w:noProof/>
              </w:rPr>
            </w:pPr>
            <w:r>
              <w:rPr>
                <w:rFonts w:hint="eastAsia"/>
                <w:noProof/>
              </w:rPr>
              <w:t>Jackson G. LuQuoidbach, Francesca Gino, Alek Chakroff, William W. Maddux, Adam D. GalinskyJordi. (2017). The dark side of going abroad: How broad foreign experiences increase immoral behavior. Journal of Personality and Social Psychology.</w:t>
            </w:r>
          </w:p>
          <w:p w:rsidR="009C66B3" w:rsidRDefault="009C66B3" w:rsidP="009C66B3">
            <w:pPr>
              <w:pStyle w:val="a8"/>
              <w:ind w:left="720" w:hanging="720"/>
              <w:rPr>
                <w:noProof/>
              </w:rPr>
            </w:pPr>
            <w:r>
              <w:rPr>
                <w:rFonts w:hint="eastAsia"/>
                <w:noProof/>
              </w:rPr>
              <w:t>Joshua D. GreeneA. Morelli, Kelly Lowenberg, Leigh E. Nystrom, Jonathan D. CohenSylvia. (2008). Cognitive load selectively interferes with utilitarian moral judgment. Cognition.</w:t>
            </w:r>
          </w:p>
          <w:p w:rsidR="009C66B3" w:rsidRDefault="009C66B3" w:rsidP="009C66B3">
            <w:pPr>
              <w:pStyle w:val="a8"/>
              <w:ind w:left="720" w:hanging="720"/>
              <w:rPr>
                <w:noProof/>
              </w:rPr>
            </w:pPr>
            <w:r>
              <w:rPr>
                <w:rFonts w:hint="eastAsia"/>
                <w:noProof/>
              </w:rPr>
              <w:t>Kathryn B. FrancisHoward, Ian S. Howard, Michaela Gummerum,Charles. (2016). Virtual Morality: Transitioning from Moral Judgment to Moral Action? PloS one.</w:t>
            </w:r>
          </w:p>
          <w:p w:rsidR="009C66B3" w:rsidRDefault="009C66B3" w:rsidP="009C66B3">
            <w:pPr>
              <w:pStyle w:val="a8"/>
              <w:ind w:left="720" w:hanging="720"/>
              <w:rPr>
                <w:noProof/>
              </w:rPr>
            </w:pPr>
            <w:r>
              <w:rPr>
                <w:rFonts w:hint="eastAsia"/>
                <w:noProof/>
              </w:rPr>
              <w:t>ParsonsD.Thomas. (2015). Virtual reality for enhanced ecological validity and experimental control in the clinical, affective and social neurosciences. Frontiers in human neuroscience.</w:t>
            </w:r>
          </w:p>
          <w:p w:rsidR="009C66B3" w:rsidRDefault="009C66B3" w:rsidP="009C66B3">
            <w:pPr>
              <w:pStyle w:val="a8"/>
              <w:ind w:left="720" w:hanging="720"/>
              <w:rPr>
                <w:noProof/>
              </w:rPr>
            </w:pPr>
            <w:r>
              <w:rPr>
                <w:rFonts w:hint="eastAsia"/>
                <w:noProof/>
              </w:rPr>
              <w:t>Shane BretzSunRon. (2018). Two Models of Moral Judgment. Cognitive Science.</w:t>
            </w:r>
          </w:p>
          <w:p w:rsidR="009C66B3" w:rsidRDefault="009C66B3" w:rsidP="009C66B3">
            <w:pPr>
              <w:pStyle w:val="a8"/>
              <w:ind w:left="720" w:hanging="720"/>
              <w:rPr>
                <w:noProof/>
              </w:rPr>
            </w:pPr>
            <w:r>
              <w:rPr>
                <w:rFonts w:hint="eastAsia"/>
                <w:noProof/>
              </w:rPr>
              <w:t>Tage S.RaiaJ.HolyoakbKeith. (2013). Exposure to moral relativism compromises moral behavior. Journal of Experimental Social Psychology.</w:t>
            </w:r>
          </w:p>
          <w:p w:rsidR="009C66B3" w:rsidRDefault="009C66B3" w:rsidP="009C66B3">
            <w:pPr>
              <w:pStyle w:val="a8"/>
              <w:ind w:left="720" w:hanging="720"/>
              <w:rPr>
                <w:noProof/>
              </w:rPr>
            </w:pPr>
            <w:r>
              <w:rPr>
                <w:rFonts w:hint="eastAsia"/>
                <w:noProof/>
              </w:rPr>
              <w:t>ThomsonJarvisJudith. (1985). The Trolley Problem. Yale Law Journal.</w:t>
            </w:r>
          </w:p>
          <w:p w:rsidR="009C66B3" w:rsidRDefault="009C66B3" w:rsidP="009C66B3">
            <w:pPr>
              <w:pStyle w:val="a8"/>
              <w:ind w:left="720" w:hanging="720"/>
              <w:rPr>
                <w:noProof/>
              </w:rPr>
            </w:pPr>
            <w:r>
              <w:rPr>
                <w:rFonts w:hint="eastAsia"/>
                <w:noProof/>
              </w:rPr>
              <w:t>Xueni PanSlaterMel. (2011). Confronting a moral dilemma in virtual reality: a pilot study. Proceedings of BCS-HCI '11 Proceedings of the 25th BCS Conference on Human-</w:t>
            </w:r>
            <w:r>
              <w:rPr>
                <w:rFonts w:hint="eastAsia"/>
                <w:noProof/>
              </w:rPr>
              <w:lastRenderedPageBreak/>
              <w:t>Computer Interaction.</w:t>
            </w:r>
          </w:p>
          <w:p w:rsidR="009C66B3" w:rsidRDefault="009C66B3" w:rsidP="009C66B3">
            <w:pPr>
              <w:pStyle w:val="a8"/>
              <w:ind w:left="720" w:hanging="720"/>
              <w:rPr>
                <w:noProof/>
              </w:rPr>
            </w:pPr>
            <w:r>
              <w:rPr>
                <w:rFonts w:hint="eastAsia"/>
                <w:noProof/>
              </w:rPr>
              <w:t>耿晓伟, 房津如, 韩彦芳, 李中权, 赵蜜, &amp; 杨烨. (2019). 道德相对主义和厌恶情绪对道德直觉判断的影响. 心理学报, 页 517-526.</w:t>
            </w:r>
          </w:p>
          <w:p w:rsidR="009C66B3" w:rsidRDefault="009C66B3" w:rsidP="009C66B3">
            <w:pPr>
              <w:pStyle w:val="a8"/>
              <w:ind w:left="720" w:hanging="720"/>
              <w:rPr>
                <w:noProof/>
              </w:rPr>
            </w:pPr>
            <w:r>
              <w:rPr>
                <w:rFonts w:hint="eastAsia"/>
                <w:noProof/>
              </w:rPr>
              <w:t>解方舟, 吴姗姗, 杨平, &amp; 何成. (2016). 共情能力的作用及其培养. 中国健康心理学杂志.</w:t>
            </w:r>
          </w:p>
          <w:p w:rsidR="00D3500A" w:rsidRPr="009C66B3" w:rsidRDefault="009C66B3" w:rsidP="009C66B3">
            <w:pPr>
              <w:pStyle w:val="a8"/>
              <w:ind w:left="720" w:hanging="720"/>
              <w:rPr>
                <w:noProof/>
              </w:rPr>
            </w:pPr>
            <w:r>
              <w:rPr>
                <w:rFonts w:hint="eastAsia"/>
                <w:noProof/>
              </w:rPr>
              <w:t>黎坚, 李一茗, &amp; 张厚粲. (2012). 离线元认知调节的结构探索与验证. 心理科学.</w:t>
            </w:r>
          </w:p>
        </w:tc>
      </w:tr>
      <w:tr w:rsidR="00D3500A">
        <w:trPr>
          <w:trHeight w:val="132"/>
        </w:trPr>
        <w:tc>
          <w:tcPr>
            <w:tcW w:w="8522" w:type="dxa"/>
            <w:gridSpan w:val="4"/>
          </w:tcPr>
          <w:p w:rsidR="00D3500A" w:rsidRDefault="00EB324C">
            <w:pPr>
              <w:spacing w:line="360" w:lineRule="auto"/>
              <w:rPr>
                <w:rFonts w:ascii="宋体" w:hAnsi="宋体"/>
                <w:b/>
                <w:sz w:val="24"/>
              </w:rPr>
            </w:pPr>
            <w:r>
              <w:rPr>
                <w:rFonts w:ascii="宋体" w:hAnsi="宋体" w:hint="eastAsia"/>
                <w:b/>
                <w:sz w:val="24"/>
              </w:rPr>
              <w:lastRenderedPageBreak/>
              <w:t>三、主要研究或解决的问题和</w:t>
            </w:r>
            <w:proofErr w:type="gramStart"/>
            <w:r>
              <w:rPr>
                <w:rFonts w:ascii="宋体" w:hAnsi="宋体" w:hint="eastAsia"/>
                <w:b/>
                <w:sz w:val="24"/>
              </w:rPr>
              <w:t>拟采用</w:t>
            </w:r>
            <w:proofErr w:type="gramEnd"/>
            <w:r>
              <w:rPr>
                <w:rFonts w:ascii="宋体" w:hAnsi="宋体" w:hint="eastAsia"/>
                <w:b/>
                <w:sz w:val="24"/>
              </w:rPr>
              <w:t>的方法</w:t>
            </w:r>
          </w:p>
          <w:p w:rsidR="009C66B3" w:rsidRDefault="009C66B3">
            <w:pPr>
              <w:spacing w:line="360" w:lineRule="auto"/>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在虚拟现实环境下，通过模拟电车难题的场景，测量被试的共</w:t>
            </w:r>
            <w:proofErr w:type="gramStart"/>
            <w:r>
              <w:rPr>
                <w:rFonts w:ascii="宋体" w:hAnsi="宋体" w:hint="eastAsia"/>
                <w:szCs w:val="21"/>
              </w:rPr>
              <w:t>情能力</w:t>
            </w:r>
            <w:proofErr w:type="gramEnd"/>
            <w:r>
              <w:rPr>
                <w:rFonts w:ascii="宋体" w:hAnsi="宋体" w:hint="eastAsia"/>
                <w:szCs w:val="21"/>
              </w:rPr>
              <w:t>和其做出功利性或道义性选择之间的关系。</w:t>
            </w:r>
          </w:p>
          <w:p w:rsidR="00D3500A" w:rsidRDefault="009C66B3">
            <w:pPr>
              <w:spacing w:line="360" w:lineRule="auto"/>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通过对被试的道德相对主义倾向进行调节，探究道德相对主义倾向强弱与被试虚拟现实环境下电车难题做出的选项之间的关系。</w:t>
            </w:r>
          </w:p>
          <w:p w:rsidR="00D3500A" w:rsidRDefault="009C66B3">
            <w:pPr>
              <w:spacing w:line="360" w:lineRule="auto"/>
              <w:rPr>
                <w:rFonts w:ascii="宋体" w:hAnsi="宋体"/>
                <w:szCs w:val="21"/>
              </w:rPr>
            </w:pPr>
            <w:r>
              <w:rPr>
                <w:rFonts w:ascii="宋体" w:hAnsi="宋体" w:hint="eastAsia"/>
                <w:szCs w:val="21"/>
              </w:rPr>
              <w:t>3.</w:t>
            </w:r>
            <w:r>
              <w:rPr>
                <w:rFonts w:ascii="宋体" w:hAnsi="宋体"/>
                <w:szCs w:val="21"/>
              </w:rPr>
              <w:t xml:space="preserve"> </w:t>
            </w:r>
            <w:r w:rsidR="00527423">
              <w:rPr>
                <w:rFonts w:ascii="宋体" w:hAnsi="宋体" w:hint="eastAsia"/>
                <w:szCs w:val="21"/>
              </w:rPr>
              <w:t>探究Greene模型和</w:t>
            </w:r>
            <w:r w:rsidR="00527423" w:rsidRPr="009C66B3">
              <w:rPr>
                <w:rFonts w:eastAsia="等线"/>
              </w:rPr>
              <w:t>Clarion</w:t>
            </w:r>
            <w:r w:rsidR="00527423" w:rsidRPr="009C66B3">
              <w:rPr>
                <w:rFonts w:eastAsia="等线" w:hint="eastAsia"/>
              </w:rPr>
              <w:t>认知模型</w:t>
            </w:r>
            <w:r w:rsidR="00527423">
              <w:rPr>
                <w:rFonts w:eastAsia="等线" w:hint="eastAsia"/>
              </w:rPr>
              <w:t>之间的关系，对</w:t>
            </w:r>
            <w:r w:rsidR="00527423" w:rsidRPr="009C66B3">
              <w:rPr>
                <w:rFonts w:eastAsia="等线"/>
              </w:rPr>
              <w:t>Clarion</w:t>
            </w:r>
            <w:r w:rsidR="00527423" w:rsidRPr="009C66B3">
              <w:rPr>
                <w:rFonts w:eastAsia="等线" w:hint="eastAsia"/>
              </w:rPr>
              <w:t>认知模型</w:t>
            </w:r>
            <w:r w:rsidR="00527423">
              <w:rPr>
                <w:rFonts w:eastAsia="等线" w:hint="eastAsia"/>
              </w:rPr>
              <w:t>的重要组成部分：元认知在道德判断中是否有影响进行探究。</w:t>
            </w:r>
          </w:p>
          <w:p w:rsidR="00D3500A" w:rsidRDefault="00D3500A">
            <w:pPr>
              <w:spacing w:line="360" w:lineRule="auto"/>
              <w:rPr>
                <w:rFonts w:ascii="宋体" w:hAnsi="宋体"/>
                <w:sz w:val="24"/>
              </w:rPr>
            </w:pPr>
          </w:p>
        </w:tc>
      </w:tr>
      <w:tr w:rsidR="00D3500A">
        <w:tc>
          <w:tcPr>
            <w:tcW w:w="8522" w:type="dxa"/>
            <w:gridSpan w:val="4"/>
          </w:tcPr>
          <w:p w:rsidR="00D3500A" w:rsidRDefault="00EB324C">
            <w:pPr>
              <w:spacing w:line="360" w:lineRule="auto"/>
              <w:rPr>
                <w:rFonts w:ascii="宋体" w:hAnsi="宋体"/>
                <w:sz w:val="24"/>
              </w:rPr>
            </w:pPr>
            <w:r>
              <w:rPr>
                <w:rFonts w:ascii="宋体" w:hAnsi="宋体" w:hint="eastAsia"/>
                <w:b/>
                <w:sz w:val="24"/>
              </w:rPr>
              <w:t>四、工作进度计划</w:t>
            </w:r>
            <w:r>
              <w:rPr>
                <w:rFonts w:ascii="宋体" w:hAnsi="宋体" w:hint="eastAsia"/>
                <w:sz w:val="24"/>
              </w:rPr>
              <w:t>（每两周为一个单位）</w:t>
            </w:r>
          </w:p>
          <w:p w:rsidR="00D3500A" w:rsidRDefault="00527423">
            <w:pPr>
              <w:spacing w:line="360" w:lineRule="auto"/>
              <w:rPr>
                <w:rFonts w:ascii="宋体" w:hAnsi="宋体"/>
                <w:szCs w:val="21"/>
              </w:rPr>
            </w:pPr>
            <w:r>
              <w:rPr>
                <w:rFonts w:ascii="宋体" w:hAnsi="宋体" w:hint="eastAsia"/>
                <w:szCs w:val="21"/>
              </w:rPr>
              <w:t>3</w:t>
            </w:r>
            <w:r>
              <w:rPr>
                <w:rFonts w:ascii="宋体" w:hAnsi="宋体"/>
                <w:szCs w:val="21"/>
              </w:rPr>
              <w:t>.11-</w:t>
            </w:r>
            <w:r>
              <w:rPr>
                <w:rFonts w:ascii="宋体" w:hAnsi="宋体" w:hint="eastAsia"/>
                <w:szCs w:val="21"/>
              </w:rPr>
              <w:t>3.24</w:t>
            </w:r>
            <w:r>
              <w:rPr>
                <w:rFonts w:ascii="宋体" w:hAnsi="宋体"/>
                <w:szCs w:val="21"/>
              </w:rPr>
              <w:t xml:space="preserve"> </w:t>
            </w:r>
            <w:r>
              <w:rPr>
                <w:rFonts w:ascii="宋体" w:hAnsi="宋体" w:hint="eastAsia"/>
                <w:szCs w:val="21"/>
              </w:rPr>
              <w:t>实验设计与施行实验</w:t>
            </w:r>
          </w:p>
          <w:p w:rsidR="00D3500A" w:rsidRDefault="00527423">
            <w:pPr>
              <w:spacing w:line="360" w:lineRule="auto"/>
              <w:rPr>
                <w:rFonts w:ascii="宋体" w:hAnsi="宋体"/>
                <w:szCs w:val="21"/>
              </w:rPr>
            </w:pPr>
            <w:r>
              <w:rPr>
                <w:rFonts w:ascii="宋体" w:hAnsi="宋体" w:hint="eastAsia"/>
                <w:szCs w:val="21"/>
              </w:rPr>
              <w:t>3.25-4.7实验设计与施行实验</w:t>
            </w:r>
          </w:p>
          <w:p w:rsidR="00D3500A" w:rsidRDefault="00527423">
            <w:pPr>
              <w:spacing w:line="360" w:lineRule="auto"/>
              <w:rPr>
                <w:rFonts w:ascii="宋体" w:hAnsi="宋体"/>
                <w:szCs w:val="21"/>
              </w:rPr>
            </w:pPr>
            <w:r>
              <w:rPr>
                <w:rFonts w:ascii="宋体" w:hAnsi="宋体" w:hint="eastAsia"/>
                <w:szCs w:val="21"/>
              </w:rPr>
              <w:t>4.8-4.21</w:t>
            </w:r>
            <w:r>
              <w:rPr>
                <w:rFonts w:ascii="宋体" w:hAnsi="宋体"/>
                <w:szCs w:val="21"/>
              </w:rPr>
              <w:t xml:space="preserve"> </w:t>
            </w:r>
            <w:r>
              <w:rPr>
                <w:rFonts w:ascii="宋体" w:hAnsi="宋体" w:hint="eastAsia"/>
                <w:szCs w:val="21"/>
              </w:rPr>
              <w:t>分析数据与论文撰写</w:t>
            </w:r>
          </w:p>
          <w:p w:rsidR="00527423" w:rsidRDefault="00527423" w:rsidP="00527423">
            <w:pPr>
              <w:spacing w:line="360" w:lineRule="auto"/>
              <w:rPr>
                <w:rFonts w:ascii="宋体" w:hAnsi="宋体"/>
                <w:szCs w:val="21"/>
              </w:rPr>
            </w:pPr>
            <w:r>
              <w:rPr>
                <w:rFonts w:ascii="宋体" w:hAnsi="宋体" w:hint="eastAsia"/>
                <w:szCs w:val="21"/>
              </w:rPr>
              <w:t>4.22-5.5分析数据与论文撰写</w:t>
            </w:r>
          </w:p>
          <w:p w:rsidR="00D3500A" w:rsidRDefault="00D3500A">
            <w:pPr>
              <w:spacing w:line="360" w:lineRule="auto"/>
              <w:rPr>
                <w:rFonts w:ascii="宋体" w:hAnsi="宋体"/>
                <w:sz w:val="24"/>
              </w:rPr>
            </w:pPr>
          </w:p>
          <w:p w:rsidR="0011500E" w:rsidRDefault="0011500E">
            <w:pPr>
              <w:spacing w:line="360" w:lineRule="auto"/>
              <w:rPr>
                <w:rFonts w:ascii="宋体" w:hAnsi="宋体"/>
                <w:sz w:val="24"/>
              </w:rPr>
            </w:pPr>
          </w:p>
          <w:p w:rsidR="00527423" w:rsidRDefault="00527423">
            <w:pPr>
              <w:spacing w:line="360" w:lineRule="auto"/>
              <w:rPr>
                <w:rFonts w:ascii="宋体" w:hAnsi="宋体"/>
                <w:sz w:val="24"/>
              </w:rPr>
            </w:pPr>
          </w:p>
        </w:tc>
      </w:tr>
      <w:tr w:rsidR="00D3500A">
        <w:tc>
          <w:tcPr>
            <w:tcW w:w="8522" w:type="dxa"/>
            <w:gridSpan w:val="4"/>
          </w:tcPr>
          <w:p w:rsidR="00D3500A" w:rsidRDefault="00EB324C">
            <w:pPr>
              <w:spacing w:line="360" w:lineRule="auto"/>
              <w:rPr>
                <w:rFonts w:ascii="宋体" w:hAnsi="宋体"/>
                <w:b/>
                <w:sz w:val="24"/>
              </w:rPr>
            </w:pPr>
            <w:r>
              <w:rPr>
                <w:rFonts w:ascii="宋体" w:hAnsi="宋体" w:hint="eastAsia"/>
                <w:b/>
                <w:sz w:val="24"/>
              </w:rPr>
              <w:t>指导教师意见</w:t>
            </w:r>
            <w:r>
              <w:rPr>
                <w:rFonts w:ascii="宋体" w:hAnsi="宋体" w:hint="eastAsia"/>
                <w:sz w:val="24"/>
              </w:rPr>
              <w:t>（不少于50个字）</w:t>
            </w:r>
          </w:p>
          <w:p w:rsidR="00D3500A" w:rsidRDefault="00D3500A">
            <w:pPr>
              <w:spacing w:line="360" w:lineRule="auto"/>
              <w:rPr>
                <w:rFonts w:ascii="宋体" w:hAnsi="宋体"/>
                <w:szCs w:val="21"/>
              </w:rPr>
            </w:pPr>
          </w:p>
          <w:p w:rsidR="00D3500A" w:rsidRDefault="00D3500A">
            <w:pPr>
              <w:spacing w:line="360" w:lineRule="auto"/>
              <w:rPr>
                <w:rFonts w:ascii="宋体" w:hAnsi="宋体"/>
                <w:szCs w:val="21"/>
              </w:rPr>
            </w:pPr>
          </w:p>
          <w:p w:rsidR="00D3500A" w:rsidRDefault="00D3500A">
            <w:pPr>
              <w:spacing w:line="360" w:lineRule="auto"/>
              <w:rPr>
                <w:rFonts w:ascii="宋体" w:hAnsi="宋体"/>
                <w:szCs w:val="21"/>
              </w:rPr>
            </w:pPr>
          </w:p>
          <w:p w:rsidR="00D3500A" w:rsidRDefault="00D3500A">
            <w:pPr>
              <w:spacing w:line="360" w:lineRule="auto"/>
              <w:rPr>
                <w:rFonts w:ascii="宋体" w:hAnsi="宋体"/>
                <w:szCs w:val="21"/>
              </w:rPr>
            </w:pPr>
          </w:p>
          <w:p w:rsidR="00D3500A" w:rsidRDefault="00D3500A">
            <w:pPr>
              <w:spacing w:line="360" w:lineRule="auto"/>
              <w:rPr>
                <w:rFonts w:ascii="宋体" w:hAnsi="宋体"/>
                <w:szCs w:val="21"/>
              </w:rPr>
            </w:pPr>
          </w:p>
          <w:p w:rsidR="00D3500A" w:rsidRDefault="00D3500A">
            <w:pPr>
              <w:spacing w:line="360" w:lineRule="auto"/>
              <w:rPr>
                <w:rFonts w:ascii="宋体" w:hAnsi="宋体"/>
                <w:szCs w:val="21"/>
              </w:rPr>
            </w:pPr>
          </w:p>
          <w:p w:rsidR="00D3500A" w:rsidRDefault="00EB324C">
            <w:pPr>
              <w:wordWrap w:val="0"/>
              <w:spacing w:line="360" w:lineRule="auto"/>
              <w:ind w:firstLineChars="700" w:firstLine="1687"/>
              <w:jc w:val="right"/>
              <w:rPr>
                <w:rFonts w:ascii="宋体" w:hAnsi="宋体"/>
                <w:b/>
                <w:sz w:val="24"/>
              </w:rPr>
            </w:pPr>
            <w:r>
              <w:rPr>
                <w:rFonts w:ascii="宋体" w:hAnsi="宋体" w:hint="eastAsia"/>
                <w:b/>
                <w:sz w:val="24"/>
              </w:rPr>
              <w:t xml:space="preserve">签名：                      </w:t>
            </w:r>
          </w:p>
          <w:p w:rsidR="00D3500A" w:rsidRDefault="00EB324C">
            <w:pPr>
              <w:spacing w:line="360" w:lineRule="auto"/>
              <w:ind w:firstLineChars="700" w:firstLine="1687"/>
              <w:jc w:val="right"/>
              <w:rPr>
                <w:rFonts w:ascii="宋体" w:hAnsi="宋体"/>
                <w:b/>
                <w:sz w:val="24"/>
              </w:rPr>
            </w:pPr>
            <w:r>
              <w:rPr>
                <w:rFonts w:ascii="宋体" w:hAnsi="宋体" w:hint="eastAsia"/>
                <w:b/>
                <w:sz w:val="24"/>
              </w:rPr>
              <w:t xml:space="preserve"> </w:t>
            </w:r>
          </w:p>
          <w:p w:rsidR="00D3500A" w:rsidRDefault="00EB324C">
            <w:pPr>
              <w:wordWrap w:val="0"/>
              <w:spacing w:line="360" w:lineRule="auto"/>
              <w:jc w:val="right"/>
              <w:rPr>
                <w:rFonts w:ascii="宋体" w:hAnsi="宋体"/>
                <w:szCs w:val="21"/>
              </w:rPr>
            </w:pPr>
            <w:r>
              <w:rPr>
                <w:rFonts w:ascii="宋体" w:hAnsi="宋体" w:hint="eastAsia"/>
                <w:b/>
                <w:sz w:val="24"/>
              </w:rPr>
              <w:t>年      月        日</w:t>
            </w:r>
          </w:p>
        </w:tc>
      </w:tr>
      <w:tr w:rsidR="00D3500A">
        <w:tc>
          <w:tcPr>
            <w:tcW w:w="8522" w:type="dxa"/>
            <w:gridSpan w:val="4"/>
          </w:tcPr>
          <w:p w:rsidR="00D3500A" w:rsidRDefault="00EB324C">
            <w:pPr>
              <w:spacing w:line="360" w:lineRule="auto"/>
              <w:rPr>
                <w:rFonts w:ascii="宋体" w:hAnsi="宋体"/>
                <w:b/>
                <w:sz w:val="24"/>
              </w:rPr>
            </w:pPr>
            <w:r>
              <w:rPr>
                <w:rFonts w:ascii="宋体" w:hAnsi="宋体" w:hint="eastAsia"/>
                <w:b/>
                <w:sz w:val="24"/>
              </w:rPr>
              <w:lastRenderedPageBreak/>
              <w:t>院系意见：</w:t>
            </w:r>
          </w:p>
          <w:p w:rsidR="00D3500A" w:rsidRDefault="00D3500A">
            <w:pPr>
              <w:spacing w:line="360" w:lineRule="auto"/>
              <w:rPr>
                <w:rFonts w:ascii="宋体" w:hAnsi="宋体"/>
                <w:b/>
                <w:sz w:val="24"/>
              </w:rPr>
            </w:pPr>
          </w:p>
          <w:p w:rsidR="00D3500A" w:rsidRDefault="00D3500A">
            <w:pPr>
              <w:spacing w:line="360" w:lineRule="auto"/>
              <w:rPr>
                <w:rFonts w:ascii="宋体" w:hAnsi="宋体"/>
                <w:sz w:val="24"/>
              </w:rPr>
            </w:pPr>
          </w:p>
          <w:p w:rsidR="00D3500A" w:rsidRDefault="00D3500A">
            <w:pPr>
              <w:wordWrap w:val="0"/>
              <w:spacing w:line="360" w:lineRule="auto"/>
              <w:ind w:firstLineChars="700" w:firstLine="1687"/>
              <w:jc w:val="right"/>
              <w:rPr>
                <w:rFonts w:ascii="宋体" w:hAnsi="宋体"/>
                <w:b/>
                <w:sz w:val="24"/>
              </w:rPr>
            </w:pPr>
          </w:p>
          <w:p w:rsidR="00D3500A" w:rsidRDefault="00EB324C">
            <w:pPr>
              <w:spacing w:line="360" w:lineRule="auto"/>
              <w:ind w:right="964" w:firstLineChars="1600" w:firstLine="3855"/>
              <w:rPr>
                <w:rFonts w:ascii="宋体" w:hAnsi="宋体"/>
                <w:b/>
                <w:sz w:val="24"/>
              </w:rPr>
            </w:pPr>
            <w:r>
              <w:rPr>
                <w:rFonts w:ascii="宋体" w:hAnsi="宋体" w:hint="eastAsia"/>
                <w:b/>
                <w:sz w:val="24"/>
              </w:rPr>
              <w:t xml:space="preserve">院系负责人签名：                  </w:t>
            </w:r>
          </w:p>
          <w:p w:rsidR="00D3500A" w:rsidRDefault="00EB324C">
            <w:pPr>
              <w:spacing w:line="360" w:lineRule="auto"/>
              <w:ind w:firstLineChars="700" w:firstLine="1687"/>
              <w:jc w:val="right"/>
              <w:rPr>
                <w:rFonts w:ascii="宋体" w:hAnsi="宋体"/>
                <w:b/>
                <w:sz w:val="24"/>
              </w:rPr>
            </w:pPr>
            <w:r>
              <w:rPr>
                <w:rFonts w:ascii="宋体" w:hAnsi="宋体" w:hint="eastAsia"/>
                <w:b/>
                <w:sz w:val="24"/>
              </w:rPr>
              <w:t xml:space="preserve"> </w:t>
            </w:r>
          </w:p>
          <w:p w:rsidR="00D3500A" w:rsidRDefault="00EB324C">
            <w:pPr>
              <w:spacing w:line="360" w:lineRule="auto"/>
              <w:ind w:firstLineChars="1000" w:firstLine="2409"/>
              <w:jc w:val="right"/>
              <w:rPr>
                <w:rFonts w:ascii="宋体" w:hAnsi="宋体"/>
                <w:sz w:val="24"/>
              </w:rPr>
            </w:pPr>
            <w:r>
              <w:rPr>
                <w:rFonts w:ascii="宋体" w:hAnsi="宋体" w:hint="eastAsia"/>
                <w:b/>
                <w:sz w:val="24"/>
              </w:rPr>
              <w:t>年      月        日</w:t>
            </w:r>
          </w:p>
        </w:tc>
      </w:tr>
    </w:tbl>
    <w:p w:rsidR="00EB324C" w:rsidRDefault="00EB324C">
      <w:r>
        <w:rPr>
          <w:rFonts w:hint="eastAsia"/>
        </w:rPr>
        <w:t>注：表格</w:t>
      </w:r>
      <w:proofErr w:type="gramStart"/>
      <w:r>
        <w:rPr>
          <w:rFonts w:hint="eastAsia"/>
        </w:rPr>
        <w:t>栏高不够可</w:t>
      </w:r>
      <w:proofErr w:type="gramEnd"/>
      <w:r>
        <w:rPr>
          <w:rFonts w:hint="eastAsia"/>
        </w:rPr>
        <w:t>自行增加。此表在学生做完开题报告后，上交所在院系留存。待毕业论文完成后按《南京大学本科生毕业论文收集、整理、存档实施细则》进行装订、存档，由院系负责保存。</w:t>
      </w:r>
    </w:p>
    <w:sectPr w:rsidR="00EB324C">
      <w:footerReference w:type="even" r:id="rId8"/>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95B" w:rsidRDefault="0058495B">
      <w:r>
        <w:separator/>
      </w:r>
    </w:p>
  </w:endnote>
  <w:endnote w:type="continuationSeparator" w:id="0">
    <w:p w:rsidR="0058495B" w:rsidRDefault="0058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00A" w:rsidRDefault="00EB324C">
    <w:pPr>
      <w:pStyle w:val="a6"/>
      <w:framePr w:wrap="around" w:vAnchor="text" w:hAnchor="margin" w:xAlign="center" w:y="1"/>
      <w:rPr>
        <w:rStyle w:val="a3"/>
      </w:rPr>
    </w:pPr>
    <w:r>
      <w:fldChar w:fldCharType="begin"/>
    </w:r>
    <w:r>
      <w:rPr>
        <w:rStyle w:val="a3"/>
      </w:rPr>
      <w:instrText xml:space="preserve">PAGE  </w:instrText>
    </w:r>
    <w:r>
      <w:fldChar w:fldCharType="end"/>
    </w:r>
  </w:p>
  <w:p w:rsidR="00D3500A" w:rsidRDefault="00D350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00A" w:rsidRDefault="00EB324C">
    <w:pPr>
      <w:pStyle w:val="a6"/>
      <w:framePr w:wrap="around" w:vAnchor="text" w:hAnchor="margin" w:xAlign="center" w:y="1"/>
      <w:rPr>
        <w:rStyle w:val="a3"/>
      </w:rPr>
    </w:pPr>
    <w:r>
      <w:fldChar w:fldCharType="begin"/>
    </w:r>
    <w:r>
      <w:rPr>
        <w:rStyle w:val="a3"/>
      </w:rPr>
      <w:instrText xml:space="preserve">PAGE  </w:instrText>
    </w:r>
    <w:r>
      <w:fldChar w:fldCharType="separate"/>
    </w:r>
    <w:r>
      <w:rPr>
        <w:rStyle w:val="a3"/>
      </w:rPr>
      <w:t>- 3 -</w:t>
    </w:r>
    <w:r>
      <w:fldChar w:fldCharType="end"/>
    </w:r>
  </w:p>
  <w:p w:rsidR="00D3500A" w:rsidRDefault="00D350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95B" w:rsidRDefault="0058495B">
      <w:r>
        <w:separator/>
      </w:r>
    </w:p>
  </w:footnote>
  <w:footnote w:type="continuationSeparator" w:id="0">
    <w:p w:rsidR="0058495B" w:rsidRDefault="00584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8"/>
    <w:rsid w:val="0011500E"/>
    <w:rsid w:val="00132080"/>
    <w:rsid w:val="00137E61"/>
    <w:rsid w:val="00193608"/>
    <w:rsid w:val="001A72D2"/>
    <w:rsid w:val="001D1681"/>
    <w:rsid w:val="001E5AFC"/>
    <w:rsid w:val="001F35C3"/>
    <w:rsid w:val="00217DD0"/>
    <w:rsid w:val="002450E8"/>
    <w:rsid w:val="00297038"/>
    <w:rsid w:val="002D58E4"/>
    <w:rsid w:val="0031599E"/>
    <w:rsid w:val="003D65BB"/>
    <w:rsid w:val="004730C6"/>
    <w:rsid w:val="00521C63"/>
    <w:rsid w:val="00527423"/>
    <w:rsid w:val="0058495B"/>
    <w:rsid w:val="007F39CA"/>
    <w:rsid w:val="0082766F"/>
    <w:rsid w:val="00842B4B"/>
    <w:rsid w:val="00884E3C"/>
    <w:rsid w:val="00950072"/>
    <w:rsid w:val="009C66B3"/>
    <w:rsid w:val="00A67946"/>
    <w:rsid w:val="00A86AAA"/>
    <w:rsid w:val="00AE3BD6"/>
    <w:rsid w:val="00BF1C84"/>
    <w:rsid w:val="00BF6BD0"/>
    <w:rsid w:val="00C02616"/>
    <w:rsid w:val="00C3399B"/>
    <w:rsid w:val="00CF0FEF"/>
    <w:rsid w:val="00D25D26"/>
    <w:rsid w:val="00D3500A"/>
    <w:rsid w:val="00D811B2"/>
    <w:rsid w:val="00DD674D"/>
    <w:rsid w:val="00E92BE9"/>
    <w:rsid w:val="00EA7A2E"/>
    <w:rsid w:val="00EB1112"/>
    <w:rsid w:val="00EB324C"/>
    <w:rsid w:val="00F16386"/>
    <w:rsid w:val="00F72D20"/>
    <w:rsid w:val="00F85FC0"/>
    <w:rsid w:val="00F92287"/>
    <w:rsid w:val="00F94B48"/>
    <w:rsid w:val="18697C5B"/>
    <w:rsid w:val="2B836FFA"/>
    <w:rsid w:val="46CF2A7F"/>
    <w:rsid w:val="4DD12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0BC63"/>
  <w15:chartTrackingRefBased/>
  <w15:docId w15:val="{19925E5C-071C-40FF-A3C1-CA340CD4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E3BD6"/>
    <w:pPr>
      <w:keepNext/>
      <w:keepLines/>
      <w:widowControl/>
      <w:spacing w:before="240" w:line="259" w:lineRule="auto"/>
      <w:jc w:val="left"/>
      <w:outlineLvl w:val="0"/>
    </w:pPr>
    <w:rPr>
      <w:rFonts w:ascii="等线 Light" w:eastAsia="等线 Light" w:hAnsi="等线 Light"/>
      <w:color w:val="2F5496"/>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AE3BD6"/>
    <w:rPr>
      <w:rFonts w:ascii="等线 Light" w:eastAsia="等线 Light" w:hAnsi="等线 Light"/>
      <w:color w:val="2F5496"/>
      <w:sz w:val="32"/>
      <w:szCs w:val="32"/>
    </w:rPr>
  </w:style>
  <w:style w:type="paragraph" w:styleId="a8">
    <w:name w:val="Bibliography"/>
    <w:basedOn w:val="a"/>
    <w:next w:val="a"/>
    <w:uiPriority w:val="37"/>
    <w:unhideWhenUsed/>
    <w:rsid w:val="009C66B3"/>
    <w:rPr>
      <w:rFonts w:ascii="等线" w:eastAsia="等线" w:hAnsi="等线"/>
      <w:szCs w:val="22"/>
    </w:rPr>
  </w:style>
  <w:style w:type="paragraph" w:styleId="a9">
    <w:name w:val="Balloon Text"/>
    <w:basedOn w:val="a"/>
    <w:link w:val="aa"/>
    <w:rsid w:val="0011500E"/>
    <w:rPr>
      <w:sz w:val="18"/>
      <w:szCs w:val="18"/>
    </w:rPr>
  </w:style>
  <w:style w:type="character" w:customStyle="1" w:styleId="aa">
    <w:name w:val="批注框文本 字符"/>
    <w:basedOn w:val="a0"/>
    <w:link w:val="a9"/>
    <w:rsid w:val="001150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A5CBE-2CA1-4A23-BBBE-0DB8BD8D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 czq</dc:title>
  <dc:subject/>
  <dc:creator>user;蔡兆钦</dc:creator>
  <cp:keywords/>
  <dc:description/>
  <cp:lastModifiedBy>蔡 兆钦</cp:lastModifiedBy>
  <cp:revision>4</cp:revision>
  <dcterms:created xsi:type="dcterms:W3CDTF">2019-03-09T11:04:00Z</dcterms:created>
  <dcterms:modified xsi:type="dcterms:W3CDTF">2019-03-10T06:09:00Z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2052-11.1.0.8013</vt:lpwstr>
  </property>
</Properties>
</file>