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7A70" w:rsidRDefault="00316F15">
      <w:pPr>
        <w:tabs>
          <w:tab w:val="right" w:pos="9961"/>
        </w:tabs>
        <w:spacing w:after="0" w:line="265" w:lineRule="auto"/>
        <w:ind w:left="-15" w:right="-14" w:firstLine="0"/>
        <w:jc w:val="left"/>
      </w:pPr>
      <w:r>
        <w:rPr>
          <w:sz w:val="12"/>
        </w:rPr>
        <w:t>Journal of Personality and Social Psychology</w:t>
      </w:r>
      <w:r>
        <w:rPr>
          <w:sz w:val="12"/>
        </w:rPr>
        <w:tab/>
        <w:t>Copyright 2007 by the American Psychological Association</w:t>
      </w:r>
    </w:p>
    <w:p w:rsidR="00157A70" w:rsidRDefault="00316F15">
      <w:pPr>
        <w:tabs>
          <w:tab w:val="center" w:pos="7622"/>
          <w:tab w:val="right" w:pos="9961"/>
        </w:tabs>
        <w:spacing w:after="630" w:line="265" w:lineRule="auto"/>
        <w:ind w:left="-15" w:right="-14" w:firstLine="0"/>
        <w:jc w:val="left"/>
      </w:pPr>
      <w:r>
        <w:rPr>
          <w:sz w:val="12"/>
        </w:rPr>
        <w:t>2007, Vol. 92, No. 5, 938–956</w:t>
      </w:r>
      <w:r>
        <w:rPr>
          <w:sz w:val="12"/>
        </w:rPr>
        <w:tab/>
        <w:t>0022-3514/07/$12.00</w:t>
      </w:r>
      <w:r>
        <w:rPr>
          <w:sz w:val="12"/>
        </w:rPr>
        <w:tab/>
        <w:t>DOI: 10.1037/0022-3514.92.5.938</w:t>
      </w:r>
    </w:p>
    <w:p w:rsidR="00157A70" w:rsidRDefault="00316F15">
      <w:pPr>
        <w:spacing w:after="46" w:line="259" w:lineRule="auto"/>
        <w:ind w:firstLine="0"/>
        <w:jc w:val="center"/>
      </w:pPr>
      <w:r>
        <w:rPr>
          <w:sz w:val="32"/>
        </w:rPr>
        <w:t>Individual Differences in Adult Decision-Making Competence</w:t>
      </w:r>
    </w:p>
    <w:tbl>
      <w:tblPr>
        <w:tblStyle w:val="TableGrid"/>
        <w:tblW w:w="7057" w:type="dxa"/>
        <w:tblInd w:w="1343" w:type="dxa"/>
        <w:tblLook w:val="04A0" w:firstRow="1" w:lastRow="0" w:firstColumn="1" w:lastColumn="0" w:noHBand="0" w:noVBand="1"/>
      </w:tblPr>
      <w:tblGrid>
        <w:gridCol w:w="5377"/>
        <w:gridCol w:w="1680"/>
      </w:tblGrid>
      <w:tr w:rsidR="00157A70">
        <w:trPr>
          <w:trHeight w:val="383"/>
        </w:trPr>
        <w:tc>
          <w:tcPr>
            <w:tcW w:w="5377" w:type="dxa"/>
            <w:tcBorders>
              <w:top w:val="nil"/>
              <w:left w:val="nil"/>
              <w:bottom w:val="nil"/>
              <w:right w:val="nil"/>
            </w:tcBorders>
          </w:tcPr>
          <w:p w:rsidR="00157A70" w:rsidRDefault="00316F15">
            <w:pPr>
              <w:spacing w:after="0" w:line="259" w:lineRule="auto"/>
              <w:ind w:right="0" w:firstLine="0"/>
              <w:jc w:val="left"/>
            </w:pPr>
            <w:proofErr w:type="spellStart"/>
            <w:r>
              <w:rPr>
                <w:sz w:val="22"/>
              </w:rPr>
              <w:t>Wa¨ndi</w:t>
            </w:r>
            <w:proofErr w:type="spellEnd"/>
            <w:r>
              <w:rPr>
                <w:sz w:val="22"/>
              </w:rPr>
              <w:t xml:space="preserve"> </w:t>
            </w:r>
            <w:proofErr w:type="spellStart"/>
            <w:r>
              <w:rPr>
                <w:sz w:val="22"/>
              </w:rPr>
              <w:t>Bruine</w:t>
            </w:r>
            <w:proofErr w:type="spellEnd"/>
            <w:r>
              <w:rPr>
                <w:sz w:val="22"/>
              </w:rPr>
              <w:t xml:space="preserve"> de Bruin</w:t>
            </w:r>
          </w:p>
          <w:p w:rsidR="00157A70" w:rsidRDefault="00316F15">
            <w:pPr>
              <w:spacing w:after="0" w:line="259" w:lineRule="auto"/>
              <w:ind w:left="32" w:right="0" w:firstLine="0"/>
              <w:jc w:val="left"/>
            </w:pPr>
            <w:r>
              <w:t>Carnegie Mellon University</w:t>
            </w:r>
          </w:p>
        </w:tc>
        <w:tc>
          <w:tcPr>
            <w:tcW w:w="1680" w:type="dxa"/>
            <w:tcBorders>
              <w:top w:val="nil"/>
              <w:left w:val="nil"/>
              <w:bottom w:val="nil"/>
              <w:right w:val="nil"/>
            </w:tcBorders>
          </w:tcPr>
          <w:p w:rsidR="00157A70" w:rsidRDefault="00316F15">
            <w:pPr>
              <w:spacing w:after="0" w:line="259" w:lineRule="auto"/>
              <w:ind w:right="0" w:firstLine="0"/>
            </w:pPr>
            <w:r>
              <w:rPr>
                <w:sz w:val="22"/>
              </w:rPr>
              <w:t>Andrew M. Parker</w:t>
            </w:r>
          </w:p>
          <w:p w:rsidR="00157A70" w:rsidRDefault="00316F15">
            <w:pPr>
              <w:spacing w:after="0" w:line="259" w:lineRule="auto"/>
              <w:ind w:left="120" w:right="0" w:firstLine="0"/>
              <w:jc w:val="left"/>
            </w:pPr>
            <w:r>
              <w:t>RAND Corporation</w:t>
            </w:r>
          </w:p>
        </w:tc>
      </w:tr>
    </w:tbl>
    <w:p w:rsidR="00157A70" w:rsidRDefault="00316F15">
      <w:pPr>
        <w:spacing w:after="0" w:line="259" w:lineRule="auto"/>
        <w:ind w:firstLine="0"/>
        <w:jc w:val="center"/>
      </w:pPr>
      <w:r>
        <w:rPr>
          <w:sz w:val="22"/>
        </w:rPr>
        <w:t xml:space="preserve">Baruch </w:t>
      </w:r>
      <w:proofErr w:type="spellStart"/>
      <w:r>
        <w:rPr>
          <w:sz w:val="22"/>
        </w:rPr>
        <w:t>Fischhoff</w:t>
      </w:r>
      <w:proofErr w:type="spellEnd"/>
    </w:p>
    <w:p w:rsidR="00157A70" w:rsidRDefault="00316F15">
      <w:pPr>
        <w:spacing w:after="250" w:line="265" w:lineRule="auto"/>
        <w:ind w:left="10" w:hanging="10"/>
        <w:jc w:val="center"/>
      </w:pPr>
      <w:r>
        <w:t>Carnegie Mellon University</w:t>
      </w:r>
    </w:p>
    <w:p w:rsidR="00157A70" w:rsidRDefault="00316F15">
      <w:pPr>
        <w:spacing w:after="206" w:line="278" w:lineRule="auto"/>
        <w:ind w:left="1620" w:right="1621" w:firstLine="0"/>
      </w:pPr>
      <w:r>
        <w:rPr>
          <w:sz w:val="16"/>
        </w:rPr>
        <w:t>The authors evaluated the reliability and validity of a set of 7 behavioral decision-making tasks, measuring different aspects of the decision-making process. The tasks were administered to individuals from diverse populations. Participants showed relatively consistent performance within and across the 7 tasks, which were then aggregated into an Adult Decision-Making Competence (A-DMC) index that showed good reliability. The validity of the 7 tasks and of overall A-DMC emerges in significant relationships with measures of socioeconomic status, cognitive ability, and decision-making styles. Participants who performed better on the A-DMC were less likely to report negative life events indicative of poor decision making, as measured by the Decision Outcomes Inventory. Significant predictive validity remains when controlling for demographic measures, measures of cognitive ability, and constructive decision-making styles. Thus, A-DMC appears to be a distinct construct relevant to adults’ real-world decisions.</w:t>
      </w:r>
    </w:p>
    <w:p w:rsidR="00157A70" w:rsidRDefault="00316F15">
      <w:pPr>
        <w:spacing w:line="278" w:lineRule="auto"/>
        <w:ind w:left="1620" w:right="0" w:firstLine="0"/>
      </w:pPr>
      <w:r>
        <w:rPr>
          <w:i/>
          <w:sz w:val="16"/>
        </w:rPr>
        <w:t xml:space="preserve">Keywords: </w:t>
      </w:r>
      <w:r>
        <w:rPr>
          <w:sz w:val="16"/>
        </w:rPr>
        <w:t>individual differences, decision making, judgment, competence, external validity</w:t>
      </w:r>
    </w:p>
    <w:p w:rsidR="00157A70" w:rsidRDefault="00157A70">
      <w:pPr>
        <w:sectPr w:rsidR="00157A70">
          <w:headerReference w:type="even" r:id="rId6"/>
          <w:headerReference w:type="default" r:id="rId7"/>
          <w:headerReference w:type="first" r:id="rId8"/>
          <w:pgSz w:w="11880" w:h="15840"/>
          <w:pgMar w:top="1038" w:right="945" w:bottom="1399" w:left="974" w:header="720" w:footer="720" w:gutter="0"/>
          <w:pgNumType w:start="938"/>
          <w:cols w:space="720"/>
          <w:titlePg/>
        </w:sectPr>
      </w:pPr>
    </w:p>
    <w:p w:rsidR="00157A70" w:rsidRDefault="00316F15">
      <w:pPr>
        <w:ind w:left="-15" w:right="0"/>
      </w:pPr>
      <w:r>
        <w:t>People face varied decisions every day. Behavioral decision researchers study how these decisions are made, traditionally focusing on deviations from normative standards. Because most of these decision errors have been found in seemingly unrealistic hypothetical decisions without real-world consequences, some recent research has questioned the external validity of this work (</w:t>
      </w:r>
      <w:proofErr w:type="spellStart"/>
      <w:r>
        <w:t>Gigerenzer</w:t>
      </w:r>
      <w:proofErr w:type="spellEnd"/>
      <w:r>
        <w:t xml:space="preserve">, Todd, &amp; the ABC Group, 2000; Klein, 1999) and sought more realistic accounts of how people master the skills needed for effective decision making (Baron, 2000; Dawes &amp; Hastie, 2001; Kahneman, </w:t>
      </w:r>
      <w:proofErr w:type="spellStart"/>
      <w:r>
        <w:t>Slovic</w:t>
      </w:r>
      <w:proofErr w:type="spellEnd"/>
      <w:r>
        <w:t>, &amp; Tversky, 1982; Reyna, 2004; Yates, 1990).</w:t>
      </w:r>
    </w:p>
    <w:p w:rsidR="00157A70" w:rsidRDefault="00316F15">
      <w:pPr>
        <w:spacing w:after="389"/>
        <w:ind w:left="-15" w:right="0"/>
      </w:pPr>
      <w:r>
        <w:t>Typically, decision-making processes have been studied in isolation in order to understand each in detail. The price paid for that depth is limited understanding of how individual decision-making skills are related to (a) other decision-making skills, (b) demographic characteristics such as socioeconomic status (SES) and age, (c) other cognitive abilities and decision-making styles, and (d) real-world outcomes. More recently, the understanding of individual decision-making skills has progressed to the point at</w:t>
      </w:r>
    </w:p>
    <w:tbl>
      <w:tblPr>
        <w:tblStyle w:val="TableGrid"/>
        <w:tblW w:w="4801" w:type="dxa"/>
        <w:tblInd w:w="0" w:type="dxa"/>
        <w:tblLook w:val="04A0" w:firstRow="1" w:lastRow="0" w:firstColumn="1" w:lastColumn="0" w:noHBand="0" w:noVBand="1"/>
      </w:tblPr>
      <w:tblGrid>
        <w:gridCol w:w="4801"/>
      </w:tblGrid>
      <w:tr w:rsidR="00157A70">
        <w:trPr>
          <w:trHeight w:val="2460"/>
        </w:trPr>
        <w:tc>
          <w:tcPr>
            <w:tcW w:w="4801" w:type="dxa"/>
            <w:tcBorders>
              <w:top w:val="nil"/>
              <w:left w:val="nil"/>
              <w:bottom w:val="nil"/>
              <w:right w:val="nil"/>
            </w:tcBorders>
            <w:vAlign w:val="bottom"/>
          </w:tcPr>
          <w:p w:rsidR="00157A70" w:rsidRDefault="00316F15">
            <w:pPr>
              <w:spacing w:after="113" w:line="259" w:lineRule="auto"/>
              <w:ind w:right="0" w:firstLine="0"/>
              <w:jc w:val="left"/>
            </w:pPr>
            <w:r>
              <w:rPr>
                <w:rFonts w:ascii="Calibri" w:eastAsia="Calibri" w:hAnsi="Calibri" w:cs="Calibri"/>
                <w:noProof/>
                <w:color w:val="000000"/>
                <w:sz w:val="22"/>
              </w:rPr>
              <mc:AlternateContent>
                <mc:Choice Requires="wpg">
                  <w:drawing>
                    <wp:inline distT="0" distB="0" distL="0" distR="0">
                      <wp:extent cx="3048000" cy="6350"/>
                      <wp:effectExtent l="0" t="0" r="0" b="0"/>
                      <wp:docPr id="44096" name="Group 44096"/>
                      <wp:cNvGraphicFramePr/>
                      <a:graphic xmlns:a="http://schemas.openxmlformats.org/drawingml/2006/main">
                        <a:graphicData uri="http://schemas.microsoft.com/office/word/2010/wordprocessingGroup">
                          <wpg:wgp>
                            <wpg:cNvGrpSpPr/>
                            <wpg:grpSpPr>
                              <a:xfrm>
                                <a:off x="0" y="0"/>
                                <a:ext cx="3048000" cy="6350"/>
                                <a:chOff x="0" y="0"/>
                                <a:chExt cx="3048000" cy="6350"/>
                              </a:xfrm>
                            </wpg:grpSpPr>
                            <wps:wsp>
                              <wps:cNvPr id="76" name="Shape 76"/>
                              <wps:cNvSpPr/>
                              <wps:spPr>
                                <a:xfrm>
                                  <a:off x="0" y="0"/>
                                  <a:ext cx="3048000" cy="0"/>
                                </a:xfrm>
                                <a:custGeom>
                                  <a:avLst/>
                                  <a:gdLst/>
                                  <a:ahLst/>
                                  <a:cxnLst/>
                                  <a:rect l="0" t="0" r="0" b="0"/>
                                  <a:pathLst>
                                    <a:path w="3048000">
                                      <a:moveTo>
                                        <a:pt x="0" y="0"/>
                                      </a:moveTo>
                                      <a:lnTo>
                                        <a:pt x="30480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4096" style="width:240pt;height:0.5pt;mso-position-horizontal-relative:char;mso-position-vertical-relative:line" coordsize="30480,63">
                      <v:shape id="Shape 76" style="position:absolute;width:30480;height:0;left:0;top:0;" coordsize="3048000,0" path="m0,0l3048000,0">
                        <v:stroke weight="0.5pt" endcap="flat" joinstyle="miter" miterlimit="10" on="true" color="#181717"/>
                        <v:fill on="false" color="#000000" opacity="0"/>
                      </v:shape>
                    </v:group>
                  </w:pict>
                </mc:Fallback>
              </mc:AlternateContent>
            </w:r>
          </w:p>
          <w:p w:rsidR="00157A70" w:rsidRDefault="00316F15">
            <w:pPr>
              <w:spacing w:after="0" w:line="259" w:lineRule="auto"/>
              <w:ind w:right="0" w:firstLine="180"/>
            </w:pPr>
            <w:proofErr w:type="spellStart"/>
            <w:r>
              <w:rPr>
                <w:sz w:val="16"/>
              </w:rPr>
              <w:t>Wa¨ndi</w:t>
            </w:r>
            <w:proofErr w:type="spellEnd"/>
            <w:r>
              <w:rPr>
                <w:sz w:val="16"/>
              </w:rPr>
              <w:t xml:space="preserve"> </w:t>
            </w:r>
            <w:proofErr w:type="spellStart"/>
            <w:r>
              <w:rPr>
                <w:sz w:val="16"/>
              </w:rPr>
              <w:t>Bruine</w:t>
            </w:r>
            <w:proofErr w:type="spellEnd"/>
            <w:r>
              <w:rPr>
                <w:sz w:val="16"/>
              </w:rPr>
              <w:t xml:space="preserve"> de Bruin and Baruch </w:t>
            </w:r>
            <w:proofErr w:type="spellStart"/>
            <w:r>
              <w:rPr>
                <w:sz w:val="16"/>
              </w:rPr>
              <w:t>Fischhoff</w:t>
            </w:r>
            <w:proofErr w:type="spellEnd"/>
            <w:r>
              <w:rPr>
                <w:sz w:val="16"/>
              </w:rPr>
              <w:t>, Department of Social and Decision Sciences, Carnegie Mellon University; Andrew M. Parker, RAND Corporation, Pittsburgh, Pennsylvania.</w:t>
            </w:r>
          </w:p>
          <w:p w:rsidR="00157A70" w:rsidRDefault="00316F15">
            <w:pPr>
              <w:spacing w:after="0" w:line="259" w:lineRule="auto"/>
              <w:ind w:right="0" w:firstLine="180"/>
            </w:pPr>
            <w:r>
              <w:rPr>
                <w:sz w:val="16"/>
              </w:rPr>
              <w:t xml:space="preserve">This research was funded by National Science Foundation Grant SES0213782. We thank Michael </w:t>
            </w:r>
            <w:proofErr w:type="spellStart"/>
            <w:r>
              <w:rPr>
                <w:sz w:val="16"/>
              </w:rPr>
              <w:t>DeKay</w:t>
            </w:r>
            <w:proofErr w:type="spellEnd"/>
            <w:r>
              <w:rPr>
                <w:sz w:val="16"/>
              </w:rPr>
              <w:t xml:space="preserve">, Julie Downs, and Eric Stone for their comments as well as </w:t>
            </w:r>
            <w:proofErr w:type="spellStart"/>
            <w:r>
              <w:rPr>
                <w:sz w:val="16"/>
              </w:rPr>
              <w:t>Jo´n´ına</w:t>
            </w:r>
            <w:proofErr w:type="spellEnd"/>
            <w:r>
              <w:rPr>
                <w:sz w:val="16"/>
              </w:rPr>
              <w:t xml:space="preserve"> </w:t>
            </w:r>
            <w:proofErr w:type="spellStart"/>
            <w:r>
              <w:rPr>
                <w:sz w:val="16"/>
              </w:rPr>
              <w:t>Bjarnado´ttir</w:t>
            </w:r>
            <w:proofErr w:type="spellEnd"/>
            <w:r>
              <w:rPr>
                <w:sz w:val="16"/>
              </w:rPr>
              <w:t xml:space="preserve">, Jacob Chen, </w:t>
            </w:r>
            <w:proofErr w:type="spellStart"/>
            <w:r>
              <w:rPr>
                <w:sz w:val="16"/>
              </w:rPr>
              <w:t>YoonSun</w:t>
            </w:r>
            <w:proofErr w:type="spellEnd"/>
            <w:r>
              <w:rPr>
                <w:sz w:val="16"/>
              </w:rPr>
              <w:t xml:space="preserve"> Choi, Rebecca Cornelius, Mandy Holbrook, Mark </w:t>
            </w:r>
            <w:proofErr w:type="spellStart"/>
            <w:r>
              <w:rPr>
                <w:sz w:val="16"/>
              </w:rPr>
              <w:t>Huneke</w:t>
            </w:r>
            <w:proofErr w:type="spellEnd"/>
            <w:r>
              <w:rPr>
                <w:sz w:val="16"/>
              </w:rPr>
              <w:t xml:space="preserve">, Kathleen </w:t>
            </w:r>
            <w:proofErr w:type="spellStart"/>
            <w:r>
              <w:rPr>
                <w:sz w:val="16"/>
              </w:rPr>
              <w:t>Pinturak</w:t>
            </w:r>
            <w:proofErr w:type="spellEnd"/>
            <w:r>
              <w:rPr>
                <w:sz w:val="16"/>
              </w:rPr>
              <w:t>, and Alanna Williams for their assistance.</w:t>
            </w:r>
          </w:p>
          <w:p w:rsidR="00157A70" w:rsidRDefault="00316F15">
            <w:pPr>
              <w:spacing w:after="0" w:line="259" w:lineRule="auto"/>
              <w:ind w:right="0" w:firstLine="180"/>
              <w:jc w:val="left"/>
            </w:pPr>
            <w:r>
              <w:rPr>
                <w:sz w:val="16"/>
              </w:rPr>
              <w:t xml:space="preserve">Correspondence concerning this article should be addressed to </w:t>
            </w:r>
            <w:proofErr w:type="spellStart"/>
            <w:r>
              <w:rPr>
                <w:sz w:val="16"/>
              </w:rPr>
              <w:t>Wa¨ndi</w:t>
            </w:r>
            <w:proofErr w:type="spellEnd"/>
            <w:r>
              <w:rPr>
                <w:sz w:val="16"/>
              </w:rPr>
              <w:t xml:space="preserve"> </w:t>
            </w:r>
            <w:proofErr w:type="spellStart"/>
            <w:r>
              <w:rPr>
                <w:sz w:val="16"/>
              </w:rPr>
              <w:t>Bruine</w:t>
            </w:r>
            <w:proofErr w:type="spellEnd"/>
            <w:r>
              <w:rPr>
                <w:sz w:val="16"/>
              </w:rPr>
              <w:t xml:space="preserve"> de Bruin, Department of Social and Decision Sciences, Carnegie Mellon University, 5000 Forbes Avenue, Pittsburgh, PA 15213. E-mail:</w:t>
            </w:r>
          </w:p>
          <w:p w:rsidR="00157A70" w:rsidRDefault="00316F15">
            <w:pPr>
              <w:spacing w:after="0" w:line="259" w:lineRule="auto"/>
              <w:ind w:right="0" w:firstLine="0"/>
              <w:jc w:val="left"/>
            </w:pPr>
            <w:r>
              <w:rPr>
                <w:sz w:val="16"/>
              </w:rPr>
              <w:t>wandi@cmu.edu</w:t>
            </w:r>
          </w:p>
        </w:tc>
      </w:tr>
    </w:tbl>
    <w:p w:rsidR="00157A70" w:rsidRDefault="00316F15">
      <w:pPr>
        <w:spacing w:after="294"/>
        <w:ind w:left="-15" w:right="0" w:firstLine="0"/>
      </w:pPr>
      <w:r>
        <w:t xml:space="preserve">which investigators have begun to address their </w:t>
      </w:r>
      <w:proofErr w:type="gramStart"/>
      <w:r>
        <w:t>interrelationships.</w:t>
      </w:r>
      <w:proofErr w:type="gramEnd"/>
      <w:r>
        <w:t xml:space="preserve"> Next, we briefly summarize relevant research on these topics.</w:t>
      </w:r>
    </w:p>
    <w:p w:rsidR="00157A70" w:rsidRDefault="00316F15">
      <w:pPr>
        <w:pStyle w:val="1"/>
      </w:pPr>
      <w:bookmarkStart w:id="0" w:name="_GoBack"/>
      <w:bookmarkEnd w:id="0"/>
      <w:r>
        <w:t>Relationship Among Decision-Making Skills</w:t>
      </w:r>
    </w:p>
    <w:p w:rsidR="00157A70" w:rsidRDefault="00316F15">
      <w:pPr>
        <w:ind w:left="-15" w:right="0"/>
      </w:pPr>
      <w:r>
        <w:t xml:space="preserve">Several studies have examined the internal consistency of performance on different decision-making tasks. For example, reliable individual differences have been found in the tendencies to avoid framing errors (Levin, </w:t>
      </w:r>
      <w:proofErr w:type="spellStart"/>
      <w:r>
        <w:t>Gaeth</w:t>
      </w:r>
      <w:proofErr w:type="spellEnd"/>
      <w:r>
        <w:t xml:space="preserve">, Schreiber, &amp; </w:t>
      </w:r>
      <w:proofErr w:type="spellStart"/>
      <w:r>
        <w:t>Lauriola</w:t>
      </w:r>
      <w:proofErr w:type="spellEnd"/>
      <w:r>
        <w:t>, 2002), abandon sunk costs (Stanovich, 1999), apply decision rules (</w:t>
      </w:r>
      <w:proofErr w:type="spellStart"/>
      <w:r>
        <w:t>Bro¨der</w:t>
      </w:r>
      <w:proofErr w:type="spellEnd"/>
      <w:r>
        <w:t>, 2000), and express appropriate levels of confidence (</w:t>
      </w:r>
      <w:proofErr w:type="spellStart"/>
      <w:r>
        <w:t>Blais</w:t>
      </w:r>
      <w:proofErr w:type="spellEnd"/>
      <w:r>
        <w:t xml:space="preserve">, Thompson, &amp; Baranski, 2005; Bornstein &amp; </w:t>
      </w:r>
      <w:proofErr w:type="spellStart"/>
      <w:r>
        <w:t>Zickafoose</w:t>
      </w:r>
      <w:proofErr w:type="spellEnd"/>
      <w:r>
        <w:t xml:space="preserve">, 1999; </w:t>
      </w:r>
      <w:proofErr w:type="spellStart"/>
      <w:r>
        <w:t>Klayman</w:t>
      </w:r>
      <w:proofErr w:type="spellEnd"/>
      <w:r>
        <w:t xml:space="preserve">, Soll, </w:t>
      </w:r>
      <w:proofErr w:type="spellStart"/>
      <w:r>
        <w:t>Gonza´lez</w:t>
      </w:r>
      <w:proofErr w:type="spellEnd"/>
      <w:r>
        <w:t xml:space="preserve">-Vallejo, &amp; </w:t>
      </w:r>
      <w:proofErr w:type="spellStart"/>
      <w:r>
        <w:t>Barlas</w:t>
      </w:r>
      <w:proofErr w:type="spellEnd"/>
      <w:r>
        <w:t>, 1999; Stankov &amp; Crawford, 1996, 1997; West &amp; Stanovich, 1997; Wolfe &amp; Grosch, 1990). Few studies have examined correlations between multiple decision-making tasks. One important exception is Stanovich and West (1998, 2000), who report significant positive correlations between performance on tasks measuring, for example, hindsight bias, logical reasoning, and statistical reasoning. On the basis of these results, they argue that departures from normative standards reflect more than just random performance errors, but rather consistent shortcomings across decision-making skills.</w:t>
      </w:r>
    </w:p>
    <w:tbl>
      <w:tblPr>
        <w:tblStyle w:val="TableGrid"/>
        <w:tblpPr w:vertAnchor="text" w:horzAnchor="margin" w:tblpY="2574"/>
        <w:tblOverlap w:val="never"/>
        <w:tblW w:w="9962" w:type="dxa"/>
        <w:tblInd w:w="0" w:type="dxa"/>
        <w:tblCellMar>
          <w:left w:w="4860" w:type="dxa"/>
          <w:right w:w="4862" w:type="dxa"/>
        </w:tblCellMar>
        <w:tblLook w:val="04A0" w:firstRow="1" w:lastRow="0" w:firstColumn="1" w:lastColumn="0" w:noHBand="0" w:noVBand="1"/>
      </w:tblPr>
      <w:tblGrid>
        <w:gridCol w:w="9962"/>
      </w:tblGrid>
      <w:tr w:rsidR="00157A70">
        <w:trPr>
          <w:trHeight w:val="147"/>
        </w:trPr>
        <w:tc>
          <w:tcPr>
            <w:tcW w:w="240" w:type="dxa"/>
            <w:tcBorders>
              <w:top w:val="nil"/>
              <w:left w:val="nil"/>
              <w:bottom w:val="nil"/>
              <w:right w:val="nil"/>
            </w:tcBorders>
          </w:tcPr>
          <w:p w:rsidR="00157A70" w:rsidRDefault="00316F15">
            <w:pPr>
              <w:spacing w:after="0" w:line="259" w:lineRule="auto"/>
              <w:ind w:right="0" w:firstLine="0"/>
            </w:pPr>
            <w:r>
              <w:rPr>
                <w:sz w:val="16"/>
              </w:rPr>
              <w:t>938</w:t>
            </w:r>
          </w:p>
        </w:tc>
      </w:tr>
    </w:tbl>
    <w:p w:rsidR="00157A70" w:rsidRDefault="00316F15">
      <w:pPr>
        <w:spacing w:after="336"/>
        <w:ind w:left="-15" w:right="0"/>
      </w:pPr>
      <w:r>
        <w:lastRenderedPageBreak/>
        <w:t xml:space="preserve">Parker and </w:t>
      </w:r>
      <w:proofErr w:type="spellStart"/>
      <w:r>
        <w:t>Fischhoff</w:t>
      </w:r>
      <w:proofErr w:type="spellEnd"/>
      <w:r>
        <w:t xml:space="preserve"> (2005) introduced a battery of seven tasks chosen to represent skills needed by normatively competent decision makers: Resistance to Framing, Recognizing Social Norms, Under/overconfidence, Applying Decision Rules, Consistency in Risk Perception, Path Independence, and Resistance to Sunk Costs. This set of measures, referred to here as Youth </w:t>
      </w:r>
      <w:proofErr w:type="spellStart"/>
      <w:r>
        <w:t>DecisionMaking</w:t>
      </w:r>
      <w:proofErr w:type="spellEnd"/>
      <w:r>
        <w:t xml:space="preserve"> Competence (Y-DMC; Parker &amp; </w:t>
      </w:r>
      <w:proofErr w:type="spellStart"/>
      <w:r>
        <w:t>Fischhoff</w:t>
      </w:r>
      <w:proofErr w:type="spellEnd"/>
      <w:r>
        <w:t xml:space="preserve">, 2005) and described more fully below, presents content suited to young people and was validated with 18- and 19-year-olds. Performance showed modest positive correlations among the seven tasks, with a single-factor solution accounting for 25% of the variance. This positive manifold suggests either a basic underlying </w:t>
      </w:r>
      <w:proofErr w:type="spellStart"/>
      <w:r>
        <w:t>decisionmaking</w:t>
      </w:r>
      <w:proofErr w:type="spellEnd"/>
      <w:r>
        <w:t xml:space="preserve"> ability that is measured with some degree of error or a multidimensional core of mutually supportive decision-making skills. For example, the ability to resist framing effects may allow the more systematic use of decision rules; having appropriate confidence may facilitate the development of consistent risk perceptions.</w:t>
      </w:r>
      <w:r>
        <w:rPr>
          <w:vertAlign w:val="superscript"/>
        </w:rPr>
        <w:footnoteReference w:id="1"/>
      </w:r>
    </w:p>
    <w:p w:rsidR="00157A70" w:rsidRDefault="00316F15">
      <w:pPr>
        <w:pStyle w:val="1"/>
      </w:pPr>
      <w:r>
        <w:t xml:space="preserve">Relationship </w:t>
      </w:r>
      <w:proofErr w:type="gramStart"/>
      <w:r>
        <w:t>With</w:t>
      </w:r>
      <w:proofErr w:type="gramEnd"/>
      <w:r>
        <w:t xml:space="preserve"> Demographic Characteristics</w:t>
      </w:r>
    </w:p>
    <w:p w:rsidR="00157A70" w:rsidRDefault="00316F15">
      <w:pPr>
        <w:ind w:left="-15" w:right="0"/>
      </w:pPr>
      <w:r>
        <w:t>Disadvantaged SES, referring to limited material resources and education (</w:t>
      </w:r>
      <w:proofErr w:type="spellStart"/>
      <w:r>
        <w:t>Ensminger</w:t>
      </w:r>
      <w:proofErr w:type="spellEnd"/>
      <w:r>
        <w:t xml:space="preserve"> &amp; Fothergill, 2003), increases exposure to uncontrollable and controllable negative life events (Brady &amp; Matthews, 2002), with poor decisions playing a plausible, but undetermined, role. People with lower income are more likely to make errors in economic reasoning, such as honoring sunk cost (</w:t>
      </w:r>
      <w:proofErr w:type="spellStart"/>
      <w:r>
        <w:t>Larrick</w:t>
      </w:r>
      <w:proofErr w:type="spellEnd"/>
      <w:r>
        <w:t xml:space="preserve">, Nisbett, &amp; Morgan, 1993). Parker and </w:t>
      </w:r>
      <w:proofErr w:type="spellStart"/>
      <w:r>
        <w:t>Fischhoff’s</w:t>
      </w:r>
      <w:proofErr w:type="spellEnd"/>
      <w:r>
        <w:t xml:space="preserve"> (2005) low-SES teens showed significantly worse performance on four tasks: Consistency in Risk Perception, Recognizing Social Norms, Applying Decision Rules, and Under/overconfidence.</w:t>
      </w:r>
    </w:p>
    <w:p w:rsidR="00157A70" w:rsidRDefault="00316F15">
      <w:pPr>
        <w:spacing w:after="287"/>
        <w:ind w:left="-15" w:right="0"/>
      </w:pPr>
      <w:r>
        <w:t xml:space="preserve">Research has also revealed age differences in adults’ ability to make consistent judgments across contexts, with older adults performing less well than younger ones (Finucane, Mertz, </w:t>
      </w:r>
      <w:proofErr w:type="spellStart"/>
      <w:r>
        <w:t>Slovic</w:t>
      </w:r>
      <w:proofErr w:type="spellEnd"/>
      <w:r>
        <w:t xml:space="preserve">, &amp; Schmidt, 2005; Finucane et al., 2002). Furthermore, older adults may be more likely than younger ones to be overconfident (Crawford &amp; Stankov, 1996; Job, 1990) and use simple </w:t>
      </w:r>
      <w:proofErr w:type="spellStart"/>
      <w:r>
        <w:t>noncompensatory</w:t>
      </w:r>
      <w:proofErr w:type="spellEnd"/>
      <w:r>
        <w:t xml:space="preserve"> choice strategies (Johnson, 1990).</w:t>
      </w:r>
    </w:p>
    <w:p w:rsidR="00157A70" w:rsidRDefault="00316F15">
      <w:pPr>
        <w:pStyle w:val="1"/>
        <w:ind w:right="0"/>
      </w:pPr>
      <w:r>
        <w:t xml:space="preserve">Relationship </w:t>
      </w:r>
      <w:proofErr w:type="gramStart"/>
      <w:r>
        <w:t>With</w:t>
      </w:r>
      <w:proofErr w:type="gramEnd"/>
      <w:r>
        <w:t xml:space="preserve"> Other Measures of Cognitive Ability and Style</w:t>
      </w:r>
    </w:p>
    <w:p w:rsidR="00157A70" w:rsidRDefault="00316F15">
      <w:pPr>
        <w:ind w:left="-15" w:right="0"/>
      </w:pPr>
      <w:r>
        <w:t>Studies have found positive correlations between scores on tests of cognitive ability and resistance to decision-making biases, including overconfidence (Stanovich &amp; West, 2000; Wolfe &amp; Grosch, 1990), hindsight bias (Stanovich &amp; West, 2000), inefficient use of decision rules (</w:t>
      </w:r>
      <w:proofErr w:type="spellStart"/>
      <w:r>
        <w:t>Bro¨der</w:t>
      </w:r>
      <w:proofErr w:type="spellEnd"/>
      <w:r>
        <w:t>, 2003), statistical reasoning errors (Jepson, Krantz, &amp; Nisbett, 1983; Stanovich &amp; West, 1998), violation of “cost–benefit rules” such as ignoring sunk costs (</w:t>
      </w:r>
      <w:proofErr w:type="spellStart"/>
      <w:r>
        <w:t>Larrick</w:t>
      </w:r>
      <w:proofErr w:type="spellEnd"/>
      <w:r>
        <w:t xml:space="preserve"> et al., 1993), and the conjunction fallacy and framing errors (Stanovich &amp; West, 1998). Recent research has also found </w:t>
      </w:r>
      <w:r>
        <w:t>connections between higher numeracy and resistance to framing errors (Peters et al., 2006). In addition, the cognitive style of “need for cognition,” capturing the tendency to think hard about problems (Cacioppo &amp; Petty, 1982), has been associated with having fewer framing errors (Smith &amp; Levin, 1996), suggesting that it may facilitate discovering the deep structure shared by different decision problems. However, these beneficial effects of need for cognition have not been found in other studies looking at framing (</w:t>
      </w:r>
      <w:proofErr w:type="spellStart"/>
      <w:r>
        <w:t>LeBoeuf</w:t>
      </w:r>
      <w:proofErr w:type="spellEnd"/>
      <w:r>
        <w:t xml:space="preserve"> &amp; </w:t>
      </w:r>
      <w:proofErr w:type="spellStart"/>
      <w:r>
        <w:t>Shafir</w:t>
      </w:r>
      <w:proofErr w:type="spellEnd"/>
      <w:r>
        <w:t>, 2003; Levin et al., 2002) and confidence assessment (Jonsson &amp; Allwood, 2003; Wolfe &amp; Grosch, 1990). McElroy and Seta (2003) found fewer framing errors among people with a more analytical/systematic processing style, suggesting that more systematic thinkers could better see through irrelevant differences between normatively equivalent problem framings.</w:t>
      </w:r>
    </w:p>
    <w:p w:rsidR="00157A70" w:rsidRDefault="00316F15">
      <w:pPr>
        <w:ind w:left="-15" w:right="0"/>
      </w:pPr>
      <w:r>
        <w:t xml:space="preserve">Correlations have been found between the ability to resist framing errors and such personality traits as low neuroticism, high agreeableness, and conscientiousness (Soane &amp; </w:t>
      </w:r>
      <w:proofErr w:type="spellStart"/>
      <w:r>
        <w:t>Chmiel</w:t>
      </w:r>
      <w:proofErr w:type="spellEnd"/>
      <w:r>
        <w:t>, 2005) as well as low impulsiveness and anxiety (</w:t>
      </w:r>
      <w:proofErr w:type="spellStart"/>
      <w:r>
        <w:t>Lauriola</w:t>
      </w:r>
      <w:proofErr w:type="spellEnd"/>
      <w:r>
        <w:t xml:space="preserve">, Russo, </w:t>
      </w:r>
      <w:proofErr w:type="spellStart"/>
      <w:r>
        <w:t>Lucidi</w:t>
      </w:r>
      <w:proofErr w:type="spellEnd"/>
      <w:r>
        <w:t xml:space="preserve">, </w:t>
      </w:r>
      <w:proofErr w:type="spellStart"/>
      <w:r>
        <w:t>Violani</w:t>
      </w:r>
      <w:proofErr w:type="spellEnd"/>
      <w:r>
        <w:t>, &amp; Levin, 2005). Overconfidence has showed mixed correlations with personality traits (Stankov &amp; Crawford, 1996).</w:t>
      </w:r>
    </w:p>
    <w:p w:rsidR="00157A70" w:rsidRDefault="00316F15">
      <w:pPr>
        <w:spacing w:after="254"/>
        <w:ind w:left="-15" w:right="0"/>
      </w:pPr>
      <w:r>
        <w:t xml:space="preserve">Parker and </w:t>
      </w:r>
      <w:proofErr w:type="spellStart"/>
      <w:r>
        <w:t>Fischhoff</w:t>
      </w:r>
      <w:proofErr w:type="spellEnd"/>
      <w:r>
        <w:t xml:space="preserve"> (2005) reported that performance on most Y-DMC component tasks, as well as their composite score, correlated positively with two measures of general cognitive ability and with measures of two constructive cognitive styles: endorsement of behavioral coping strategies (e.g., “When I realize I have made a mistake, I usually take immediate action to correct it”) and self-monitoring (e.g., “There are many things that I would only tell to a few of my friends”). Decision-making competence correlated negatively with polarized thinking, the tendency to think in black-and-white terms (e.g., “I tend to classify people as either for me or against me”). These correlations generally remained statistically significant after controlling for scores on the two tests of cognitive ability.</w:t>
      </w:r>
    </w:p>
    <w:p w:rsidR="00157A70" w:rsidRDefault="00316F15">
      <w:pPr>
        <w:pStyle w:val="1"/>
      </w:pPr>
      <w:r>
        <w:t xml:space="preserve">Correlations </w:t>
      </w:r>
      <w:proofErr w:type="gramStart"/>
      <w:r>
        <w:t>With</w:t>
      </w:r>
      <w:proofErr w:type="gramEnd"/>
      <w:r>
        <w:t xml:space="preserve"> External Events</w:t>
      </w:r>
    </w:p>
    <w:p w:rsidR="00157A70" w:rsidRDefault="00316F15">
      <w:pPr>
        <w:ind w:left="-15" w:right="0"/>
      </w:pPr>
      <w:r>
        <w:t xml:space="preserve">The internal validity of laboratory decision-making tasks has generally been inferred from participants’ sensitivity to changes in task conditions (e.g., monetary incentives, learning opportunities)—based on investigators’ hypotheses regarding what changes should matter. Tests of external validity have been rare. In one indirect test, </w:t>
      </w:r>
      <w:proofErr w:type="spellStart"/>
      <w:r>
        <w:t>Larrick</w:t>
      </w:r>
      <w:proofErr w:type="spellEnd"/>
      <w:r>
        <w:t xml:space="preserve"> et al. (1993) found correlations between disciplinary background (economics, biology, humanities) and scores on tests of cost–benefit thinking. A stronger test of external validity revealed lower scores on a test of adherence to cost–benefit rules among high school students with multiple school suspensions, compared with their peers (Stanovich, Grunewald, &amp; West, 2003).</w:t>
      </w:r>
    </w:p>
    <w:p w:rsidR="00157A70" w:rsidRDefault="00316F15">
      <w:pPr>
        <w:spacing w:after="254"/>
        <w:ind w:left="-15" w:right="0"/>
      </w:pPr>
      <w:r>
        <w:t xml:space="preserve">Parker and </w:t>
      </w:r>
      <w:proofErr w:type="spellStart"/>
      <w:r>
        <w:t>Fischhoff’s</w:t>
      </w:r>
      <w:proofErr w:type="spellEnd"/>
      <w:r>
        <w:t xml:space="preserve"> (2005) young adult sample is unique in having been recruited at ages 10–12 for a longitudinal study conducted by the Center for Education and Drug Abuse Research (CEDAR). Its members are assessed in terms of multiple measures </w:t>
      </w:r>
      <w:r>
        <w:lastRenderedPageBreak/>
        <w:t>of real-world experience, including putative antecedents and consequents of decision-making competence. Youths with higher scores on the Y-DMC test battery showed fewer risk behaviors (at various points in the longitudinal study) and came from more intact social environments. These relationships remain statistically significant after controlling for cognitive ability, suggesting that Y-DMC represents a distinct construct relevant to adolescents’ real-world experiences.</w:t>
      </w:r>
    </w:p>
    <w:p w:rsidR="00157A70" w:rsidRDefault="00316F15">
      <w:pPr>
        <w:pStyle w:val="1"/>
        <w:spacing w:after="90" w:line="259" w:lineRule="auto"/>
        <w:ind w:left="151" w:right="0" w:firstLine="0"/>
        <w:jc w:val="left"/>
      </w:pPr>
      <w:r>
        <w:t>Defining the Domain of Decision-Making Competence</w:t>
      </w:r>
    </w:p>
    <w:p w:rsidR="00157A70" w:rsidRDefault="00316F15">
      <w:pPr>
        <w:ind w:left="-15" w:right="0"/>
      </w:pPr>
      <w:r>
        <w:t xml:space="preserve">Normative models of decision making typically identify four fundamental skills: Belief assessment involves judging the likelihood of outcomes, value assessment involves evaluating outcomes, integration involves combining beliefs and values in </w:t>
      </w:r>
      <w:proofErr w:type="spellStart"/>
      <w:r>
        <w:t>mak</w:t>
      </w:r>
      <w:proofErr w:type="spellEnd"/>
      <w:r>
        <w:t>-</w:t>
      </w:r>
    </w:p>
    <w:tbl>
      <w:tblPr>
        <w:tblStyle w:val="TableGrid"/>
        <w:tblpPr w:vertAnchor="text" w:horzAnchor="margin"/>
        <w:tblOverlap w:val="never"/>
        <w:tblW w:w="9962" w:type="dxa"/>
        <w:tblInd w:w="0" w:type="dxa"/>
        <w:tblCellMar>
          <w:right w:w="2" w:type="dxa"/>
        </w:tblCellMar>
        <w:tblLook w:val="04A0" w:firstRow="1" w:lastRow="0" w:firstColumn="1" w:lastColumn="0" w:noHBand="0" w:noVBand="1"/>
      </w:tblPr>
      <w:tblGrid>
        <w:gridCol w:w="9962"/>
      </w:tblGrid>
      <w:tr w:rsidR="00157A70">
        <w:trPr>
          <w:trHeight w:val="383"/>
        </w:trPr>
        <w:tc>
          <w:tcPr>
            <w:tcW w:w="2219" w:type="dxa"/>
            <w:tcBorders>
              <w:top w:val="nil"/>
              <w:left w:val="nil"/>
              <w:bottom w:val="nil"/>
              <w:right w:val="nil"/>
            </w:tcBorders>
          </w:tcPr>
          <w:p w:rsidR="00157A70" w:rsidRDefault="00316F15">
            <w:pPr>
              <w:spacing w:after="0" w:line="259" w:lineRule="auto"/>
              <w:ind w:right="0" w:firstLine="0"/>
              <w:jc w:val="left"/>
            </w:pPr>
            <w:r>
              <w:t>Table 1</w:t>
            </w:r>
          </w:p>
          <w:p w:rsidR="00157A70" w:rsidRDefault="00316F15">
            <w:pPr>
              <w:spacing w:after="0" w:line="259" w:lineRule="auto"/>
              <w:ind w:right="0" w:firstLine="0"/>
            </w:pPr>
            <w:r>
              <w:rPr>
                <w:i/>
              </w:rPr>
              <w:t>A-DMC Component Measures</w:t>
            </w:r>
          </w:p>
          <w:tbl>
            <w:tblPr>
              <w:tblStyle w:val="TableGrid"/>
              <w:tblW w:w="9960" w:type="dxa"/>
              <w:tblInd w:w="0" w:type="dxa"/>
              <w:tblCellMar>
                <w:top w:w="15" w:type="dxa"/>
                <w:bottom w:w="7" w:type="dxa"/>
                <w:right w:w="20" w:type="dxa"/>
              </w:tblCellMar>
              <w:tblLook w:val="04A0" w:firstRow="1" w:lastRow="0" w:firstColumn="1" w:lastColumn="0" w:noHBand="0" w:noVBand="1"/>
            </w:tblPr>
            <w:tblGrid>
              <w:gridCol w:w="2385"/>
              <w:gridCol w:w="1488"/>
              <w:gridCol w:w="1124"/>
              <w:gridCol w:w="3921"/>
              <w:gridCol w:w="1042"/>
            </w:tblGrid>
            <w:tr w:rsidR="00157A70">
              <w:trPr>
                <w:trHeight w:val="545"/>
              </w:trPr>
              <w:tc>
                <w:tcPr>
                  <w:tcW w:w="2385" w:type="dxa"/>
                  <w:tcBorders>
                    <w:top w:val="single" w:sz="8" w:space="0" w:color="181717"/>
                    <w:left w:val="nil"/>
                    <w:bottom w:val="single" w:sz="4" w:space="0" w:color="181717"/>
                    <w:right w:val="nil"/>
                  </w:tcBorders>
                  <w:vAlign w:val="bottom"/>
                </w:tcPr>
                <w:p w:rsidR="00157A70" w:rsidRDefault="00316F15" w:rsidP="00E25B31">
                  <w:pPr>
                    <w:framePr w:wrap="around" w:vAnchor="text" w:hAnchor="margin"/>
                    <w:spacing w:after="0" w:line="259" w:lineRule="auto"/>
                    <w:ind w:left="383" w:right="0" w:firstLine="0"/>
                    <w:suppressOverlap/>
                    <w:jc w:val="left"/>
                  </w:pPr>
                  <w:r>
                    <w:rPr>
                      <w:sz w:val="16"/>
                    </w:rPr>
                    <w:t>A-DMC component</w:t>
                  </w:r>
                </w:p>
              </w:tc>
              <w:tc>
                <w:tcPr>
                  <w:tcW w:w="1488" w:type="dxa"/>
                  <w:tcBorders>
                    <w:top w:val="single" w:sz="8" w:space="0" w:color="181717"/>
                    <w:left w:val="nil"/>
                    <w:bottom w:val="single" w:sz="4" w:space="0" w:color="181717"/>
                    <w:right w:val="nil"/>
                  </w:tcBorders>
                </w:tcPr>
                <w:p w:rsidR="00157A70" w:rsidRDefault="00316F15" w:rsidP="00E25B31">
                  <w:pPr>
                    <w:framePr w:wrap="around" w:vAnchor="text" w:hAnchor="margin"/>
                    <w:spacing w:after="0" w:line="259" w:lineRule="auto"/>
                    <w:ind w:left="179" w:right="0" w:hanging="169"/>
                    <w:suppressOverlap/>
                    <w:jc w:val="left"/>
                  </w:pPr>
                  <w:r>
                    <w:rPr>
                      <w:sz w:val="16"/>
                    </w:rPr>
                    <w:t xml:space="preserve">General </w:t>
                  </w:r>
                  <w:proofErr w:type="spellStart"/>
                  <w:r>
                    <w:rPr>
                      <w:sz w:val="16"/>
                    </w:rPr>
                    <w:t>decisionmaking</w:t>
                  </w:r>
                  <w:proofErr w:type="spellEnd"/>
                  <w:r>
                    <w:rPr>
                      <w:sz w:val="16"/>
                    </w:rPr>
                    <w:t xml:space="preserve"> skill</w:t>
                  </w:r>
                </w:p>
              </w:tc>
              <w:tc>
                <w:tcPr>
                  <w:tcW w:w="1124" w:type="dxa"/>
                  <w:tcBorders>
                    <w:top w:val="single" w:sz="8" w:space="0" w:color="181717"/>
                    <w:left w:val="nil"/>
                    <w:bottom w:val="single" w:sz="4" w:space="0" w:color="181717"/>
                    <w:right w:val="nil"/>
                  </w:tcBorders>
                  <w:vAlign w:val="bottom"/>
                </w:tcPr>
                <w:p w:rsidR="00157A70" w:rsidRDefault="00316F15" w:rsidP="00E25B31">
                  <w:pPr>
                    <w:framePr w:wrap="around" w:vAnchor="text" w:hAnchor="margin"/>
                    <w:spacing w:after="0" w:line="259" w:lineRule="auto"/>
                    <w:ind w:left="112" w:right="0" w:firstLine="0"/>
                    <w:suppressOverlap/>
                    <w:jc w:val="left"/>
                  </w:pPr>
                  <w:r>
                    <w:rPr>
                      <w:sz w:val="16"/>
                    </w:rPr>
                    <w:t>Criterion</w:t>
                  </w:r>
                </w:p>
              </w:tc>
              <w:tc>
                <w:tcPr>
                  <w:tcW w:w="3921" w:type="dxa"/>
                  <w:tcBorders>
                    <w:top w:val="single" w:sz="8" w:space="0" w:color="181717"/>
                    <w:left w:val="nil"/>
                    <w:bottom w:val="single" w:sz="4" w:space="0" w:color="181717"/>
                    <w:right w:val="nil"/>
                  </w:tcBorders>
                  <w:vAlign w:val="bottom"/>
                </w:tcPr>
                <w:p w:rsidR="00157A70" w:rsidRDefault="00316F15" w:rsidP="00E25B31">
                  <w:pPr>
                    <w:framePr w:wrap="around" w:vAnchor="text" w:hAnchor="margin"/>
                    <w:spacing w:after="0" w:line="259" w:lineRule="auto"/>
                    <w:ind w:right="301" w:firstLine="0"/>
                    <w:suppressOverlap/>
                    <w:jc w:val="center"/>
                  </w:pPr>
                  <w:r>
                    <w:rPr>
                      <w:sz w:val="16"/>
                    </w:rPr>
                    <w:t>Score</w:t>
                  </w:r>
                </w:p>
              </w:tc>
              <w:tc>
                <w:tcPr>
                  <w:tcW w:w="1042" w:type="dxa"/>
                  <w:tcBorders>
                    <w:top w:val="single" w:sz="8" w:space="0" w:color="181717"/>
                    <w:left w:val="nil"/>
                    <w:bottom w:val="single" w:sz="4" w:space="0" w:color="181717"/>
                    <w:right w:val="nil"/>
                  </w:tcBorders>
                  <w:vAlign w:val="bottom"/>
                </w:tcPr>
                <w:p w:rsidR="00157A70" w:rsidRDefault="00316F15" w:rsidP="00E25B31">
                  <w:pPr>
                    <w:framePr w:wrap="around" w:vAnchor="text" w:hAnchor="margin"/>
                    <w:spacing w:after="0" w:line="259" w:lineRule="auto"/>
                    <w:ind w:left="28" w:right="0" w:firstLine="0"/>
                    <w:suppressOverlap/>
                  </w:pPr>
                  <w:r>
                    <w:rPr>
                      <w:sz w:val="16"/>
                    </w:rPr>
                    <w:t>Response scale</w:t>
                  </w:r>
                </w:p>
              </w:tc>
            </w:tr>
            <w:tr w:rsidR="00157A70">
              <w:trPr>
                <w:trHeight w:val="486"/>
              </w:trPr>
              <w:tc>
                <w:tcPr>
                  <w:tcW w:w="2385" w:type="dxa"/>
                  <w:tcBorders>
                    <w:top w:val="single" w:sz="4" w:space="0" w:color="181717"/>
                    <w:left w:val="nil"/>
                    <w:bottom w:val="nil"/>
                    <w:right w:val="nil"/>
                  </w:tcBorders>
                  <w:vAlign w:val="center"/>
                </w:tcPr>
                <w:p w:rsidR="00157A70" w:rsidRDefault="00316F15" w:rsidP="00E25B31">
                  <w:pPr>
                    <w:framePr w:wrap="around" w:vAnchor="text" w:hAnchor="margin"/>
                    <w:spacing w:after="0" w:line="259" w:lineRule="auto"/>
                    <w:ind w:right="0" w:firstLine="0"/>
                    <w:suppressOverlap/>
                    <w:jc w:val="left"/>
                  </w:pPr>
                  <w:r>
                    <w:rPr>
                      <w:sz w:val="16"/>
                    </w:rPr>
                    <w:t>Resistance to Framing</w:t>
                  </w:r>
                </w:p>
              </w:tc>
              <w:tc>
                <w:tcPr>
                  <w:tcW w:w="1488" w:type="dxa"/>
                  <w:tcBorders>
                    <w:top w:val="single" w:sz="4" w:space="0" w:color="181717"/>
                    <w:left w:val="nil"/>
                    <w:bottom w:val="nil"/>
                    <w:right w:val="nil"/>
                  </w:tcBorders>
                  <w:vAlign w:val="bottom"/>
                </w:tcPr>
                <w:p w:rsidR="00157A70" w:rsidRDefault="00316F15" w:rsidP="00E25B31">
                  <w:pPr>
                    <w:framePr w:wrap="around" w:vAnchor="text" w:hAnchor="margin"/>
                    <w:spacing w:after="0" w:line="259" w:lineRule="auto"/>
                    <w:ind w:right="0" w:firstLine="0"/>
                    <w:suppressOverlap/>
                    <w:jc w:val="left"/>
                  </w:pPr>
                  <w:r>
                    <w:rPr>
                      <w:sz w:val="16"/>
                    </w:rPr>
                    <w:t>Value assessment</w:t>
                  </w:r>
                </w:p>
                <w:p w:rsidR="00157A70" w:rsidRDefault="00316F15" w:rsidP="00E25B31">
                  <w:pPr>
                    <w:framePr w:wrap="around" w:vAnchor="text" w:hAnchor="margin"/>
                    <w:spacing w:after="0" w:line="259" w:lineRule="auto"/>
                    <w:ind w:right="0" w:firstLine="0"/>
                    <w:suppressOverlap/>
                    <w:jc w:val="left"/>
                  </w:pPr>
                  <w:r>
                    <w:rPr>
                      <w:sz w:val="16"/>
                    </w:rPr>
                    <w:t>Integration</w:t>
                  </w:r>
                </w:p>
              </w:tc>
              <w:tc>
                <w:tcPr>
                  <w:tcW w:w="1124" w:type="dxa"/>
                  <w:tcBorders>
                    <w:top w:val="single" w:sz="4" w:space="0" w:color="181717"/>
                    <w:left w:val="nil"/>
                    <w:bottom w:val="nil"/>
                    <w:right w:val="nil"/>
                  </w:tcBorders>
                  <w:vAlign w:val="center"/>
                </w:tcPr>
                <w:p w:rsidR="00157A70" w:rsidRDefault="00316F15" w:rsidP="00E25B31">
                  <w:pPr>
                    <w:framePr w:wrap="around" w:vAnchor="text" w:hAnchor="margin"/>
                    <w:spacing w:after="0" w:line="259" w:lineRule="auto"/>
                    <w:ind w:right="0" w:firstLine="0"/>
                    <w:suppressOverlap/>
                    <w:jc w:val="left"/>
                  </w:pPr>
                  <w:r>
                    <w:rPr>
                      <w:sz w:val="16"/>
                    </w:rPr>
                    <w:t>Consistency</w:t>
                  </w:r>
                </w:p>
              </w:tc>
              <w:tc>
                <w:tcPr>
                  <w:tcW w:w="3921" w:type="dxa"/>
                  <w:tcBorders>
                    <w:top w:val="single" w:sz="4" w:space="0" w:color="181717"/>
                    <w:left w:val="nil"/>
                    <w:bottom w:val="nil"/>
                    <w:right w:val="nil"/>
                  </w:tcBorders>
                  <w:vAlign w:val="center"/>
                </w:tcPr>
                <w:p w:rsidR="00157A70" w:rsidRDefault="00316F15" w:rsidP="00E25B31">
                  <w:pPr>
                    <w:framePr w:wrap="around" w:vAnchor="text" w:hAnchor="margin"/>
                    <w:spacing w:after="0" w:line="259" w:lineRule="auto"/>
                    <w:ind w:right="0" w:firstLine="0"/>
                    <w:suppressOverlap/>
                    <w:jc w:val="left"/>
                  </w:pPr>
                  <w:r>
                    <w:rPr>
                      <w:sz w:val="16"/>
                    </w:rPr>
                    <w:t>Absolute difference between ratings of related frames</w:t>
                  </w:r>
                </w:p>
              </w:tc>
              <w:tc>
                <w:tcPr>
                  <w:tcW w:w="1042" w:type="dxa"/>
                  <w:tcBorders>
                    <w:top w:val="single" w:sz="4" w:space="0" w:color="181717"/>
                    <w:left w:val="nil"/>
                    <w:bottom w:val="nil"/>
                    <w:right w:val="nil"/>
                  </w:tcBorders>
                  <w:vAlign w:val="center"/>
                </w:tcPr>
                <w:p w:rsidR="00157A70" w:rsidRDefault="00316F15" w:rsidP="00E25B31">
                  <w:pPr>
                    <w:framePr w:wrap="around" w:vAnchor="text" w:hAnchor="margin"/>
                    <w:spacing w:after="0" w:line="259" w:lineRule="auto"/>
                    <w:ind w:right="0" w:firstLine="0"/>
                    <w:suppressOverlap/>
                    <w:jc w:val="left"/>
                  </w:pPr>
                  <w:r>
                    <w:rPr>
                      <w:sz w:val="16"/>
                    </w:rPr>
                    <w:t>1–6 rating</w:t>
                  </w:r>
                </w:p>
              </w:tc>
            </w:tr>
            <w:tr w:rsidR="00157A70">
              <w:trPr>
                <w:trHeight w:val="180"/>
              </w:trPr>
              <w:tc>
                <w:tcPr>
                  <w:tcW w:w="2385"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Recognizing Social Norms</w:t>
                  </w:r>
                </w:p>
              </w:tc>
              <w:tc>
                <w:tcPr>
                  <w:tcW w:w="1488"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Belief assessment</w:t>
                  </w:r>
                </w:p>
              </w:tc>
              <w:tc>
                <w:tcPr>
                  <w:tcW w:w="1124"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Accuracy</w:t>
                  </w:r>
                </w:p>
              </w:tc>
              <w:tc>
                <w:tcPr>
                  <w:tcW w:w="3921"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Rank correlation between judged proportion and</w:t>
                  </w:r>
                </w:p>
              </w:tc>
              <w:tc>
                <w:tcPr>
                  <w:tcW w:w="1042"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(a) 0%–100%</w:t>
                  </w:r>
                </w:p>
              </w:tc>
            </w:tr>
            <w:tr w:rsidR="00157A70">
              <w:trPr>
                <w:trHeight w:val="171"/>
              </w:trPr>
              <w:tc>
                <w:tcPr>
                  <w:tcW w:w="2385" w:type="dxa"/>
                  <w:tcBorders>
                    <w:top w:val="nil"/>
                    <w:left w:val="nil"/>
                    <w:bottom w:val="nil"/>
                    <w:right w:val="nil"/>
                  </w:tcBorders>
                </w:tcPr>
                <w:p w:rsidR="00157A70" w:rsidRDefault="00157A70" w:rsidP="00E25B31">
                  <w:pPr>
                    <w:framePr w:wrap="around" w:vAnchor="text" w:hAnchor="margin"/>
                    <w:spacing w:after="160" w:line="259" w:lineRule="auto"/>
                    <w:ind w:right="0" w:firstLine="0"/>
                    <w:suppressOverlap/>
                    <w:jc w:val="left"/>
                  </w:pPr>
                </w:p>
              </w:tc>
              <w:tc>
                <w:tcPr>
                  <w:tcW w:w="1488"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Value assessment</w:t>
                  </w:r>
                </w:p>
              </w:tc>
              <w:tc>
                <w:tcPr>
                  <w:tcW w:w="1124" w:type="dxa"/>
                  <w:tcBorders>
                    <w:top w:val="nil"/>
                    <w:left w:val="nil"/>
                    <w:bottom w:val="nil"/>
                    <w:right w:val="nil"/>
                  </w:tcBorders>
                </w:tcPr>
                <w:p w:rsidR="00157A70" w:rsidRDefault="00157A70" w:rsidP="00E25B31">
                  <w:pPr>
                    <w:framePr w:wrap="around" w:vAnchor="text" w:hAnchor="margin"/>
                    <w:spacing w:after="160" w:line="259" w:lineRule="auto"/>
                    <w:ind w:right="0" w:firstLine="0"/>
                    <w:suppressOverlap/>
                    <w:jc w:val="left"/>
                  </w:pPr>
                </w:p>
              </w:tc>
              <w:tc>
                <w:tcPr>
                  <w:tcW w:w="3921" w:type="dxa"/>
                  <w:tcBorders>
                    <w:top w:val="nil"/>
                    <w:left w:val="nil"/>
                    <w:bottom w:val="nil"/>
                    <w:right w:val="nil"/>
                  </w:tcBorders>
                </w:tcPr>
                <w:p w:rsidR="00157A70" w:rsidRDefault="00316F15" w:rsidP="00E25B31">
                  <w:pPr>
                    <w:framePr w:wrap="around" w:vAnchor="text" w:hAnchor="margin"/>
                    <w:spacing w:after="0" w:line="259" w:lineRule="auto"/>
                    <w:ind w:left="160" w:right="0" w:firstLine="0"/>
                    <w:suppressOverlap/>
                    <w:jc w:val="left"/>
                  </w:pPr>
                  <w:r>
                    <w:rPr>
                      <w:sz w:val="16"/>
                    </w:rPr>
                    <w:t>actual proportion</w:t>
                  </w:r>
                </w:p>
              </w:tc>
              <w:tc>
                <w:tcPr>
                  <w:tcW w:w="1042"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(b) yes/no</w:t>
                  </w:r>
                </w:p>
              </w:tc>
            </w:tr>
            <w:tr w:rsidR="00157A70">
              <w:trPr>
                <w:trHeight w:val="191"/>
              </w:trPr>
              <w:tc>
                <w:tcPr>
                  <w:tcW w:w="2385"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Under/overconfidence</w:t>
                  </w:r>
                </w:p>
              </w:tc>
              <w:tc>
                <w:tcPr>
                  <w:tcW w:w="1488"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Belief assessment</w:t>
                  </w:r>
                </w:p>
              </w:tc>
              <w:tc>
                <w:tcPr>
                  <w:tcW w:w="1124"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Accuracy</w:t>
                  </w:r>
                </w:p>
              </w:tc>
              <w:tc>
                <w:tcPr>
                  <w:tcW w:w="3921"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proofErr w:type="gramStart"/>
                  <w:r>
                    <w:rPr>
                      <w:sz w:val="16"/>
                    </w:rPr>
                    <w:t xml:space="preserve">1 </w:t>
                  </w:r>
                  <w:r>
                    <w:rPr>
                      <w:rFonts w:ascii="Calibri" w:eastAsia="Calibri" w:hAnsi="Calibri" w:cs="Calibri"/>
                      <w:sz w:val="16"/>
                    </w:rPr>
                    <w:t xml:space="preserve"> </w:t>
                  </w:r>
                  <w:r>
                    <w:rPr>
                      <w:sz w:val="16"/>
                    </w:rPr>
                    <w:t>absolute</w:t>
                  </w:r>
                  <w:proofErr w:type="gramEnd"/>
                  <w:r>
                    <w:rPr>
                      <w:sz w:val="16"/>
                    </w:rPr>
                    <w:t xml:space="preserve"> difference between mean confidence and</w:t>
                  </w:r>
                </w:p>
              </w:tc>
              <w:tc>
                <w:tcPr>
                  <w:tcW w:w="1042"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(a) true/false</w:t>
                  </w:r>
                </w:p>
              </w:tc>
            </w:tr>
            <w:tr w:rsidR="00157A70">
              <w:trPr>
                <w:trHeight w:val="178"/>
              </w:trPr>
              <w:tc>
                <w:tcPr>
                  <w:tcW w:w="2385" w:type="dxa"/>
                  <w:tcBorders>
                    <w:top w:val="nil"/>
                    <w:left w:val="nil"/>
                    <w:bottom w:val="nil"/>
                    <w:right w:val="nil"/>
                  </w:tcBorders>
                </w:tcPr>
                <w:p w:rsidR="00157A70" w:rsidRDefault="00157A70" w:rsidP="00E25B31">
                  <w:pPr>
                    <w:framePr w:wrap="around" w:vAnchor="text" w:hAnchor="margin"/>
                    <w:spacing w:after="160" w:line="259" w:lineRule="auto"/>
                    <w:ind w:right="0" w:firstLine="0"/>
                    <w:suppressOverlap/>
                    <w:jc w:val="left"/>
                  </w:pPr>
                </w:p>
              </w:tc>
              <w:tc>
                <w:tcPr>
                  <w:tcW w:w="1488"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Metacognition</w:t>
                  </w:r>
                </w:p>
              </w:tc>
              <w:tc>
                <w:tcPr>
                  <w:tcW w:w="1124" w:type="dxa"/>
                  <w:tcBorders>
                    <w:top w:val="nil"/>
                    <w:left w:val="nil"/>
                    <w:bottom w:val="nil"/>
                    <w:right w:val="nil"/>
                  </w:tcBorders>
                </w:tcPr>
                <w:p w:rsidR="00157A70" w:rsidRDefault="00157A70" w:rsidP="00E25B31">
                  <w:pPr>
                    <w:framePr w:wrap="around" w:vAnchor="text" w:hAnchor="margin"/>
                    <w:spacing w:after="160" w:line="259" w:lineRule="auto"/>
                    <w:ind w:right="0" w:firstLine="0"/>
                    <w:suppressOverlap/>
                    <w:jc w:val="left"/>
                  </w:pPr>
                </w:p>
              </w:tc>
              <w:tc>
                <w:tcPr>
                  <w:tcW w:w="3921" w:type="dxa"/>
                  <w:tcBorders>
                    <w:top w:val="nil"/>
                    <w:left w:val="nil"/>
                    <w:bottom w:val="nil"/>
                    <w:right w:val="nil"/>
                  </w:tcBorders>
                </w:tcPr>
                <w:p w:rsidR="00157A70" w:rsidRDefault="00316F15" w:rsidP="00E25B31">
                  <w:pPr>
                    <w:framePr w:wrap="around" w:vAnchor="text" w:hAnchor="margin"/>
                    <w:spacing w:after="0" w:line="259" w:lineRule="auto"/>
                    <w:ind w:left="160" w:right="0" w:firstLine="0"/>
                    <w:suppressOverlap/>
                    <w:jc w:val="left"/>
                  </w:pPr>
                  <w:r>
                    <w:rPr>
                      <w:sz w:val="16"/>
                    </w:rPr>
                    <w:t>percentage correct</w:t>
                  </w:r>
                </w:p>
              </w:tc>
              <w:tc>
                <w:tcPr>
                  <w:tcW w:w="1042"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pPr>
                  <w:r>
                    <w:rPr>
                      <w:sz w:val="16"/>
                    </w:rPr>
                    <w:t>(b) 50%–100%</w:t>
                  </w:r>
                </w:p>
              </w:tc>
            </w:tr>
            <w:tr w:rsidR="00157A70">
              <w:trPr>
                <w:trHeight w:val="180"/>
              </w:trPr>
              <w:tc>
                <w:tcPr>
                  <w:tcW w:w="2385"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Applying Decision Rules</w:t>
                  </w:r>
                </w:p>
              </w:tc>
              <w:tc>
                <w:tcPr>
                  <w:tcW w:w="1488"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Integration</w:t>
                  </w:r>
                </w:p>
              </w:tc>
              <w:tc>
                <w:tcPr>
                  <w:tcW w:w="1124"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Accuracy</w:t>
                  </w:r>
                </w:p>
              </w:tc>
              <w:tc>
                <w:tcPr>
                  <w:tcW w:w="3921"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Percentage of correct answers</w:t>
                  </w:r>
                </w:p>
              </w:tc>
              <w:tc>
                <w:tcPr>
                  <w:tcW w:w="1042"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pPr>
                  <w:r>
                    <w:rPr>
                      <w:sz w:val="16"/>
                    </w:rPr>
                    <w:t>Multiple choice</w:t>
                  </w:r>
                </w:p>
              </w:tc>
            </w:tr>
            <w:tr w:rsidR="00157A70">
              <w:trPr>
                <w:trHeight w:val="180"/>
              </w:trPr>
              <w:tc>
                <w:tcPr>
                  <w:tcW w:w="2385"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Consistency in Risk Perception</w:t>
                  </w:r>
                </w:p>
              </w:tc>
              <w:tc>
                <w:tcPr>
                  <w:tcW w:w="1488"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Belief assessment</w:t>
                  </w:r>
                </w:p>
              </w:tc>
              <w:tc>
                <w:tcPr>
                  <w:tcW w:w="1124"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Consistency</w:t>
                  </w:r>
                </w:p>
              </w:tc>
              <w:tc>
                <w:tcPr>
                  <w:tcW w:w="3921"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Percentage of consistent risk judgments</w:t>
                  </w:r>
                </w:p>
              </w:tc>
              <w:tc>
                <w:tcPr>
                  <w:tcW w:w="1042"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0%–100%</w:t>
                  </w:r>
                </w:p>
              </w:tc>
            </w:tr>
            <w:tr w:rsidR="00157A70">
              <w:trPr>
                <w:trHeight w:val="180"/>
              </w:trPr>
              <w:tc>
                <w:tcPr>
                  <w:tcW w:w="2385"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Resistance to Sunk Costs</w:t>
                  </w:r>
                </w:p>
              </w:tc>
              <w:tc>
                <w:tcPr>
                  <w:tcW w:w="1488"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Value assessment</w:t>
                  </w:r>
                </w:p>
              </w:tc>
              <w:tc>
                <w:tcPr>
                  <w:tcW w:w="1124"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Accuracy</w:t>
                  </w:r>
                </w:p>
              </w:tc>
              <w:tc>
                <w:tcPr>
                  <w:tcW w:w="3921"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Average rating across items</w:t>
                  </w:r>
                </w:p>
              </w:tc>
              <w:tc>
                <w:tcPr>
                  <w:tcW w:w="1042"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1–6 rating</w:t>
                  </w:r>
                </w:p>
              </w:tc>
            </w:tr>
            <w:tr w:rsidR="00157A70">
              <w:trPr>
                <w:trHeight w:val="404"/>
              </w:trPr>
              <w:tc>
                <w:tcPr>
                  <w:tcW w:w="2385" w:type="dxa"/>
                  <w:tcBorders>
                    <w:top w:val="nil"/>
                    <w:left w:val="nil"/>
                    <w:bottom w:val="single" w:sz="4" w:space="0" w:color="181717"/>
                    <w:right w:val="nil"/>
                  </w:tcBorders>
                </w:tcPr>
                <w:p w:rsidR="00157A70" w:rsidRDefault="00316F15" w:rsidP="00E25B31">
                  <w:pPr>
                    <w:framePr w:wrap="around" w:vAnchor="text" w:hAnchor="margin"/>
                    <w:spacing w:after="0" w:line="259" w:lineRule="auto"/>
                    <w:ind w:right="0" w:firstLine="0"/>
                    <w:suppressOverlap/>
                    <w:jc w:val="left"/>
                  </w:pPr>
                  <w:r>
                    <w:rPr>
                      <w:sz w:val="16"/>
                    </w:rPr>
                    <w:t>Path Independence</w:t>
                  </w:r>
                </w:p>
              </w:tc>
              <w:tc>
                <w:tcPr>
                  <w:tcW w:w="1488" w:type="dxa"/>
                  <w:tcBorders>
                    <w:top w:val="nil"/>
                    <w:left w:val="nil"/>
                    <w:bottom w:val="single" w:sz="4" w:space="0" w:color="181717"/>
                    <w:right w:val="nil"/>
                  </w:tcBorders>
                </w:tcPr>
                <w:p w:rsidR="00157A70" w:rsidRDefault="00316F15" w:rsidP="00E25B31">
                  <w:pPr>
                    <w:framePr w:wrap="around" w:vAnchor="text" w:hAnchor="margin"/>
                    <w:spacing w:after="0" w:line="259" w:lineRule="auto"/>
                    <w:ind w:right="0" w:firstLine="0"/>
                    <w:suppressOverlap/>
                    <w:jc w:val="left"/>
                  </w:pPr>
                  <w:r>
                    <w:rPr>
                      <w:sz w:val="16"/>
                    </w:rPr>
                    <w:t>Value assessment</w:t>
                  </w:r>
                </w:p>
                <w:p w:rsidR="00157A70" w:rsidRDefault="00316F15" w:rsidP="00E25B31">
                  <w:pPr>
                    <w:framePr w:wrap="around" w:vAnchor="text" w:hAnchor="margin"/>
                    <w:spacing w:after="0" w:line="259" w:lineRule="auto"/>
                    <w:ind w:right="0" w:firstLine="0"/>
                    <w:suppressOverlap/>
                    <w:jc w:val="left"/>
                  </w:pPr>
                  <w:r>
                    <w:rPr>
                      <w:sz w:val="16"/>
                    </w:rPr>
                    <w:t>Integration</w:t>
                  </w:r>
                </w:p>
              </w:tc>
              <w:tc>
                <w:tcPr>
                  <w:tcW w:w="1124" w:type="dxa"/>
                  <w:tcBorders>
                    <w:top w:val="nil"/>
                    <w:left w:val="nil"/>
                    <w:bottom w:val="single" w:sz="4" w:space="0" w:color="181717"/>
                    <w:right w:val="nil"/>
                  </w:tcBorders>
                </w:tcPr>
                <w:p w:rsidR="00157A70" w:rsidRDefault="00316F15" w:rsidP="00E25B31">
                  <w:pPr>
                    <w:framePr w:wrap="around" w:vAnchor="text" w:hAnchor="margin"/>
                    <w:spacing w:after="0" w:line="259" w:lineRule="auto"/>
                    <w:ind w:right="0" w:firstLine="0"/>
                    <w:suppressOverlap/>
                    <w:jc w:val="left"/>
                  </w:pPr>
                  <w:r>
                    <w:rPr>
                      <w:sz w:val="16"/>
                    </w:rPr>
                    <w:t>Consistency</w:t>
                  </w:r>
                </w:p>
              </w:tc>
              <w:tc>
                <w:tcPr>
                  <w:tcW w:w="3921" w:type="dxa"/>
                  <w:tcBorders>
                    <w:top w:val="nil"/>
                    <w:left w:val="nil"/>
                    <w:bottom w:val="single" w:sz="4" w:space="0" w:color="181717"/>
                    <w:right w:val="nil"/>
                  </w:tcBorders>
                </w:tcPr>
                <w:p w:rsidR="00157A70" w:rsidRDefault="00316F15" w:rsidP="00E25B31">
                  <w:pPr>
                    <w:framePr w:wrap="around" w:vAnchor="text" w:hAnchor="margin"/>
                    <w:spacing w:after="0" w:line="259" w:lineRule="auto"/>
                    <w:ind w:right="0" w:firstLine="0"/>
                    <w:suppressOverlap/>
                    <w:jc w:val="left"/>
                  </w:pPr>
                  <w:r>
                    <w:rPr>
                      <w:sz w:val="16"/>
                    </w:rPr>
                    <w:t>Percentage of consistent choice pairs</w:t>
                  </w:r>
                </w:p>
              </w:tc>
              <w:tc>
                <w:tcPr>
                  <w:tcW w:w="1042" w:type="dxa"/>
                  <w:tcBorders>
                    <w:top w:val="nil"/>
                    <w:left w:val="nil"/>
                    <w:bottom w:val="single" w:sz="4" w:space="0" w:color="181717"/>
                    <w:right w:val="nil"/>
                  </w:tcBorders>
                </w:tcPr>
                <w:p w:rsidR="00157A70" w:rsidRDefault="00316F15" w:rsidP="00E25B31">
                  <w:pPr>
                    <w:framePr w:wrap="around" w:vAnchor="text" w:hAnchor="margin"/>
                    <w:spacing w:after="0" w:line="259" w:lineRule="auto"/>
                    <w:ind w:right="0" w:firstLine="0"/>
                    <w:suppressOverlap/>
                  </w:pPr>
                  <w:r>
                    <w:rPr>
                      <w:sz w:val="16"/>
                    </w:rPr>
                    <w:t>Multiple choice</w:t>
                  </w:r>
                </w:p>
              </w:tc>
            </w:tr>
          </w:tbl>
          <w:p w:rsidR="00157A70" w:rsidRDefault="00157A70">
            <w:pPr>
              <w:spacing w:after="160" w:line="259" w:lineRule="auto"/>
              <w:ind w:right="0" w:firstLine="0"/>
              <w:jc w:val="left"/>
            </w:pPr>
          </w:p>
        </w:tc>
      </w:tr>
    </w:tbl>
    <w:p w:rsidR="00157A70" w:rsidRDefault="00316F15">
      <w:pPr>
        <w:tabs>
          <w:tab w:val="center" w:pos="2104"/>
        </w:tabs>
        <w:spacing w:after="510" w:line="278" w:lineRule="auto"/>
        <w:ind w:left="-15" w:right="0" w:firstLine="0"/>
        <w:jc w:val="left"/>
      </w:pPr>
      <w:r>
        <w:rPr>
          <w:i/>
          <w:sz w:val="16"/>
        </w:rPr>
        <w:t>Note.</w:t>
      </w:r>
      <w:r>
        <w:rPr>
          <w:i/>
          <w:sz w:val="16"/>
        </w:rPr>
        <w:tab/>
      </w:r>
      <w:r>
        <w:rPr>
          <w:sz w:val="16"/>
        </w:rPr>
        <w:t>A-</w:t>
      </w:r>
      <w:proofErr w:type="gramStart"/>
      <w:r>
        <w:rPr>
          <w:sz w:val="16"/>
        </w:rPr>
        <w:t xml:space="preserve">DMC </w:t>
      </w:r>
      <w:r>
        <w:rPr>
          <w:rFonts w:ascii="Calibri" w:eastAsia="Calibri" w:hAnsi="Calibri" w:cs="Calibri"/>
          <w:sz w:val="16"/>
        </w:rPr>
        <w:t xml:space="preserve"> </w:t>
      </w:r>
      <w:r>
        <w:rPr>
          <w:sz w:val="16"/>
        </w:rPr>
        <w:t>Adult</w:t>
      </w:r>
      <w:proofErr w:type="gramEnd"/>
      <w:r>
        <w:rPr>
          <w:sz w:val="16"/>
        </w:rPr>
        <w:t xml:space="preserve"> Decision-Making Competence.</w:t>
      </w:r>
    </w:p>
    <w:p w:rsidR="00157A70" w:rsidRDefault="00316F15">
      <w:pPr>
        <w:ind w:left="-15" w:right="0" w:firstLine="0"/>
      </w:pPr>
      <w:proofErr w:type="spellStart"/>
      <w:r>
        <w:t>ing</w:t>
      </w:r>
      <w:proofErr w:type="spellEnd"/>
      <w:r>
        <w:t xml:space="preserve"> decisions, and metacognition means knowing the extent of one’s abilities (W. Edwards, 1954; Finucane &amp; Lees, 2005; Parker &amp; </w:t>
      </w:r>
      <w:proofErr w:type="spellStart"/>
      <w:r>
        <w:t>Fischhoff</w:t>
      </w:r>
      <w:proofErr w:type="spellEnd"/>
      <w:r>
        <w:t xml:space="preserve">, 2005; </w:t>
      </w:r>
      <w:proofErr w:type="spellStart"/>
      <w:r>
        <w:t>Raiffa</w:t>
      </w:r>
      <w:proofErr w:type="spellEnd"/>
      <w:r>
        <w:t>, 1968).</w:t>
      </w:r>
      <w:r>
        <w:rPr>
          <w:vertAlign w:val="superscript"/>
        </w:rPr>
        <w:footnoteReference w:id="2"/>
      </w:r>
      <w:r>
        <w:rPr>
          <w:vertAlign w:val="superscript"/>
        </w:rPr>
        <w:t xml:space="preserve"> </w:t>
      </w:r>
      <w:r>
        <w:t xml:space="preserve">Thus, these models judge the quality of a decision by its process rather than by its outcome, although it is assumed that a person who uses better decision processes will be more likely to experience good decision outcomes (e.g., W. Edwards, 1984; Keren &amp; </w:t>
      </w:r>
      <w:proofErr w:type="spellStart"/>
      <w:r>
        <w:t>Bruine</w:t>
      </w:r>
      <w:proofErr w:type="spellEnd"/>
      <w:r>
        <w:t xml:space="preserve"> de Bruin, 2003).</w:t>
      </w:r>
    </w:p>
    <w:p w:rsidR="00157A70" w:rsidRDefault="00316F15">
      <w:pPr>
        <w:spacing w:after="253"/>
        <w:ind w:left="-15" w:right="0"/>
      </w:pPr>
      <w:r>
        <w:t xml:space="preserve">Parker and </w:t>
      </w:r>
      <w:proofErr w:type="spellStart"/>
      <w:r>
        <w:t>Fischhoff</w:t>
      </w:r>
      <w:proofErr w:type="spellEnd"/>
      <w:r>
        <w:t xml:space="preserve"> (2005) selected their seven tasks to fit the theoretical categorization of normative decision-making skills. Here, we use versions of these tasks adapted for adults and for increased reliability. Table 1 characterizes each task in terms of the general decision-making skill that it taps. It also shows whether performance is evaluated in terms of </w:t>
      </w:r>
      <w:r>
        <w:rPr>
          <w:i/>
        </w:rPr>
        <w:t>accuracy</w:t>
      </w:r>
      <w:r>
        <w:t xml:space="preserve">, relative to an external criterion (e.g., Applying Decision Rules, Recognizing Social Norms), or </w:t>
      </w:r>
      <w:r>
        <w:rPr>
          <w:i/>
        </w:rPr>
        <w:t xml:space="preserve">consistency </w:t>
      </w:r>
      <w:r>
        <w:t xml:space="preserve">with related judgments or choices (e.g., resisting framing effects across varying problem descriptions, estimating higher risks as the time period increases). The tasks use different combinations of response mode and criteria (explained in </w:t>
      </w:r>
      <w:r>
        <w:t>the Method section below.) If tasks measure related constructs, then scores on the different components should be correlated despite these measurement variations.</w:t>
      </w:r>
    </w:p>
    <w:p w:rsidR="00157A70" w:rsidRDefault="00316F15">
      <w:pPr>
        <w:pStyle w:val="1"/>
      </w:pPr>
      <w:r>
        <w:t>Addressing Potential Limitations of the Y-DMC</w:t>
      </w:r>
    </w:p>
    <w:p w:rsidR="00157A70" w:rsidRDefault="00316F15">
      <w:pPr>
        <w:ind w:left="-15" w:right="0"/>
      </w:pPr>
      <w:r>
        <w:t xml:space="preserve">Parker and </w:t>
      </w:r>
      <w:proofErr w:type="spellStart"/>
      <w:r>
        <w:t>Fischhoff’s</w:t>
      </w:r>
      <w:proofErr w:type="spellEnd"/>
      <w:r>
        <w:t xml:space="preserve"> (2005) results suggest that scores on conventional behavioral decision research tasks are meaningfully related to each other, to other cognitive abilities and styles, and to plausible real-world antecedents and consequents of decision making. However, the research had several limitations that the present article aims to address. First, the available CEDAR sample of 110, which Parker and </w:t>
      </w:r>
      <w:proofErr w:type="spellStart"/>
      <w:r>
        <w:t>Fischhoff</w:t>
      </w:r>
      <w:proofErr w:type="spellEnd"/>
      <w:r>
        <w:t xml:space="preserve"> (2005) exhausted, is too small to meet the conventions for developing individual-differences measures, even though Parker, </w:t>
      </w:r>
      <w:proofErr w:type="spellStart"/>
      <w:r>
        <w:t>Fischhoff</w:t>
      </w:r>
      <w:proofErr w:type="spellEnd"/>
      <w:r>
        <w:t xml:space="preserve">, and </w:t>
      </w:r>
      <w:proofErr w:type="spellStart"/>
      <w:r>
        <w:t>Bruine</w:t>
      </w:r>
      <w:proofErr w:type="spellEnd"/>
      <w:r>
        <w:t xml:space="preserve"> de Bruin (2004) found a similar pattern of results using a confirmation sample of later respondents from the same longitudinal study. Here, we report on a much larger sample.</w:t>
      </w:r>
    </w:p>
    <w:p w:rsidR="00157A70" w:rsidRDefault="00316F15">
      <w:pPr>
        <w:ind w:left="-15" w:right="0"/>
      </w:pPr>
      <w:r>
        <w:t xml:space="preserve">Second, some components of Parker and </w:t>
      </w:r>
      <w:proofErr w:type="spellStart"/>
      <w:r>
        <w:t>Fischhoff’s</w:t>
      </w:r>
      <w:proofErr w:type="spellEnd"/>
      <w:r>
        <w:t xml:space="preserve"> (2005) measure showed only moderate internal consistency. Cronbach’s (1951) alpha was especially low for Resistance to Framing, Consistency in Risk Perception, and Resistance to Sunk Costs. Each of these tasks had relatively few items (5, 2, and 5, respectively) and used a binary choice response mode, rather than a rating scale, further restricting the range of scores. Consistency in Risk Perception and Applying Decision Rules proved to be very easy, with the limited variation in performance limiting the size of correlations. Here, we develop the battery more systematically, using larger item sets and rating scale response modes, while seeking better measures of each component skill.</w:t>
      </w:r>
    </w:p>
    <w:p w:rsidR="00157A70" w:rsidRDefault="00316F15">
      <w:pPr>
        <w:ind w:left="-15" w:right="0"/>
      </w:pPr>
      <w:r>
        <w:t xml:space="preserve">Third, in order to take advantage of the unique longitudinal sample, with its extensively documented lives, the content of Parker and </w:t>
      </w:r>
      <w:proofErr w:type="spellStart"/>
      <w:r>
        <w:t>Fischhoff’s</w:t>
      </w:r>
      <w:proofErr w:type="spellEnd"/>
      <w:r>
        <w:t xml:space="preserve"> (2005) Y-DMC measure is tailored to adolescents. Many of its items are less appropriate for adults. For example, the Y-DMC includes items on sexual behavior and alcohol use but none on employment and family finances. Here, we present a battery of </w:t>
      </w:r>
      <w:r>
        <w:lastRenderedPageBreak/>
        <w:t>tasks developed for adults, measuring adult decision-making competence (the A-DMC).</w:t>
      </w:r>
    </w:p>
    <w:p w:rsidR="00157A70" w:rsidRDefault="00316F15">
      <w:pPr>
        <w:spacing w:after="382"/>
        <w:ind w:left="-15" w:right="0"/>
      </w:pPr>
      <w:r>
        <w:t xml:space="preserve">Fourth, some of CEDAR’s behavioral covariates play very different roles in the lives of young people and adults (e.g., delinquency, drug and alcohol use, sexual behavior). Relating adults’ </w:t>
      </w:r>
      <w:proofErr w:type="spellStart"/>
      <w:r>
        <w:t>decisionmaking</w:t>
      </w:r>
      <w:proofErr w:type="spellEnd"/>
      <w:r>
        <w:t xml:space="preserve"> skills to real-world experiences requires more relevant measures of adults’ decision-making outcomes. Here, we present a Decision Outcomes Inventory (DOI), which assesses experiences with life events influenced by adults’ decisions. As noted above, although good decision-making processes can lead to poor outcomes, that should happen less often than with poor decision-making processes (e.g., W. Edwards, 1984; Keren &amp; </w:t>
      </w:r>
      <w:proofErr w:type="spellStart"/>
      <w:r>
        <w:t>Bruine</w:t>
      </w:r>
      <w:proofErr w:type="spellEnd"/>
      <w:r>
        <w:t xml:space="preserve"> de Bruin, 2003).</w:t>
      </w:r>
    </w:p>
    <w:p w:rsidR="00157A70" w:rsidRDefault="00316F15">
      <w:pPr>
        <w:pStyle w:val="1"/>
        <w:spacing w:after="164"/>
        <w:ind w:right="2"/>
      </w:pPr>
      <w:r>
        <w:t>Aims</w:t>
      </w:r>
    </w:p>
    <w:p w:rsidR="00157A70" w:rsidRDefault="00316F15">
      <w:pPr>
        <w:spacing w:after="182"/>
        <w:ind w:left="-15" w:right="0"/>
      </w:pPr>
      <w:r>
        <w:t xml:space="preserve">Our study has three aims, following suggestions made in previous research (Finucane &amp; Lees, 2005; Parker &amp; </w:t>
      </w:r>
      <w:proofErr w:type="spellStart"/>
      <w:r>
        <w:t>Fischhoff</w:t>
      </w:r>
      <w:proofErr w:type="spellEnd"/>
      <w:r>
        <w:t>, 2005):</w:t>
      </w:r>
    </w:p>
    <w:p w:rsidR="00157A70" w:rsidRDefault="00316F15">
      <w:pPr>
        <w:ind w:left="360" w:right="0" w:firstLine="0"/>
      </w:pPr>
      <w:r>
        <w:t>Aim 1: Assess the reliability of A-DMC’s component measures, in terms of (a) internal consistency, (b) test–retest reliability, and (c) correlations with each other.</w:t>
      </w:r>
    </w:p>
    <w:p w:rsidR="00157A70" w:rsidRDefault="00316F15">
      <w:pPr>
        <w:spacing w:after="172"/>
        <w:ind w:left="360" w:right="0" w:firstLine="0"/>
      </w:pPr>
      <w:r>
        <w:t>Aim 2: Assess the nomological validity</w:t>
      </w:r>
      <w:r>
        <w:rPr>
          <w:vertAlign w:val="superscript"/>
        </w:rPr>
        <w:footnoteReference w:id="3"/>
      </w:r>
      <w:r>
        <w:rPr>
          <w:vertAlign w:val="superscript"/>
        </w:rPr>
        <w:t xml:space="preserve"> </w:t>
      </w:r>
      <w:r>
        <w:t>of the A-DMC, that is, the degree to which it correlates as expected with other relevant constructs, including (a) SES, (b) age, and measures of (c) cognitive ability and (d) decision-making styles.</w:t>
      </w:r>
    </w:p>
    <w:p w:rsidR="00157A70" w:rsidRDefault="00316F15">
      <w:pPr>
        <w:spacing w:after="260"/>
        <w:ind w:left="360" w:right="0" w:firstLine="0"/>
      </w:pPr>
      <w:r>
        <w:t>Aim 3: Assess the predictive validity of the A-DMC, as expressed in correlations with experienced real-world decision outcomes, as measured by the DOI.</w:t>
      </w:r>
    </w:p>
    <w:p w:rsidR="00157A70" w:rsidRDefault="00316F15">
      <w:pPr>
        <w:pStyle w:val="1"/>
        <w:ind w:right="2"/>
      </w:pPr>
      <w:r>
        <w:t>Method</w:t>
      </w:r>
    </w:p>
    <w:p w:rsidR="00157A70" w:rsidRDefault="00316F15">
      <w:pPr>
        <w:pStyle w:val="2"/>
        <w:ind w:left="-5"/>
      </w:pPr>
      <w:r>
        <w:t>Participants</w:t>
      </w:r>
    </w:p>
    <w:p w:rsidR="00157A70" w:rsidRDefault="00316F15">
      <w:pPr>
        <w:spacing w:after="33"/>
        <w:ind w:left="-15" w:right="0"/>
      </w:pPr>
      <w:r>
        <w:t>Three hundred sixty people were recruited through varied social service organizations (46.1%) and other community groups (53.9%) in the greater Pittsburgh metropolitan area. They were aged 18–88 (</w:t>
      </w:r>
      <w:proofErr w:type="gramStart"/>
      <w:r>
        <w:rPr>
          <w:i/>
        </w:rPr>
        <w:t xml:space="preserve">M </w:t>
      </w:r>
      <w:r>
        <w:rPr>
          <w:rFonts w:ascii="Calibri" w:eastAsia="Calibri" w:hAnsi="Calibri" w:cs="Calibri"/>
        </w:rPr>
        <w:t xml:space="preserve"> </w:t>
      </w:r>
      <w:r>
        <w:t>47.7</w:t>
      </w:r>
      <w:proofErr w:type="gramEnd"/>
      <w:r>
        <w:t xml:space="preserve">, </w:t>
      </w:r>
      <w:r>
        <w:rPr>
          <w:i/>
        </w:rPr>
        <w:t xml:space="preserve">SD </w:t>
      </w:r>
      <w:r>
        <w:rPr>
          <w:rFonts w:ascii="Calibri" w:eastAsia="Calibri" w:hAnsi="Calibri" w:cs="Calibri"/>
        </w:rPr>
        <w:t xml:space="preserve"> </w:t>
      </w:r>
      <w:r>
        <w:t>17.0). Among those responding to demographic questions, 73.8% were women, 65.5% self-identified as White and the remainder as African American (28.2%) or other racial minorities (6.3%). Of those who reported education they had completed, 2.8% reported no degree, 44.6% a high school degree, 13.0% an associate’s degree, 29.1% a bachelor’s degree, 9.5% a master’s degree, and 0.9% a doctorate degree.</w:t>
      </w:r>
      <w:r>
        <w:rPr>
          <w:vertAlign w:val="superscript"/>
        </w:rPr>
        <w:footnoteReference w:id="4"/>
      </w:r>
    </w:p>
    <w:p w:rsidR="00157A70" w:rsidRDefault="00316F15">
      <w:pPr>
        <w:spacing w:after="251"/>
        <w:ind w:left="-15" w:right="0"/>
      </w:pPr>
      <w:r>
        <w:t xml:space="preserve">When asked to participate in a follow-up mail survey, 151 (41.9%) volunteered. Because of an administrative error, the test battery was mailed to just 138. It was returned by 106, for a 76.8% response </w:t>
      </w:r>
      <w:r>
        <w:t>rate, on average 17.6 days after the initial survey session (</w:t>
      </w:r>
      <w:proofErr w:type="gramStart"/>
      <w:r>
        <w:rPr>
          <w:i/>
        </w:rPr>
        <w:t xml:space="preserve">SD </w:t>
      </w:r>
      <w:r>
        <w:rPr>
          <w:rFonts w:ascii="Calibri" w:eastAsia="Calibri" w:hAnsi="Calibri" w:cs="Calibri"/>
        </w:rPr>
        <w:t xml:space="preserve"> </w:t>
      </w:r>
      <w:r>
        <w:t>5.06</w:t>
      </w:r>
      <w:proofErr w:type="gramEnd"/>
      <w:r>
        <w:t>). The retest included 29.4% of the original sample. Participants recruited through social service organizations were more likely to complete a retest survey than those recruited at other sites (39.2% vs. 21.1%), (1</w:t>
      </w:r>
      <w:proofErr w:type="gramStart"/>
      <w:r>
        <w:t xml:space="preserve">) </w:t>
      </w:r>
      <w:r>
        <w:rPr>
          <w:rFonts w:ascii="Calibri" w:eastAsia="Calibri" w:hAnsi="Calibri" w:cs="Calibri"/>
        </w:rPr>
        <w:t xml:space="preserve"> </w:t>
      </w:r>
      <w:r>
        <w:t>13.99</w:t>
      </w:r>
      <w:proofErr w:type="gramEnd"/>
      <w:r>
        <w:t xml:space="preserve">, </w:t>
      </w:r>
      <w:r>
        <w:rPr>
          <w:i/>
        </w:rPr>
        <w:t xml:space="preserve">p </w:t>
      </w:r>
      <w:r>
        <w:rPr>
          <w:rFonts w:ascii="Calibri" w:eastAsia="Calibri" w:hAnsi="Calibri" w:cs="Calibri"/>
        </w:rPr>
        <w:t xml:space="preserve"> </w:t>
      </w:r>
      <w:r>
        <w:t xml:space="preserve">.001. The retest sample did not differ from the remaining sample in terms of age, </w:t>
      </w:r>
      <w:proofErr w:type="gramStart"/>
      <w:r>
        <w:rPr>
          <w:i/>
        </w:rPr>
        <w:t>t</w:t>
      </w:r>
      <w:r>
        <w:t>(</w:t>
      </w:r>
      <w:proofErr w:type="gramEnd"/>
      <w:r>
        <w:t xml:space="preserve">312) </w:t>
      </w:r>
      <w:r>
        <w:rPr>
          <w:rFonts w:ascii="Calibri" w:eastAsia="Calibri" w:hAnsi="Calibri" w:cs="Calibri"/>
        </w:rPr>
        <w:t xml:space="preserve"> </w:t>
      </w:r>
      <w:r>
        <w:t xml:space="preserve">0.60, </w:t>
      </w:r>
      <w:r>
        <w:rPr>
          <w:i/>
        </w:rPr>
        <w:t xml:space="preserve">p </w:t>
      </w:r>
      <w:r>
        <w:rPr>
          <w:rFonts w:ascii="Calibri" w:eastAsia="Calibri" w:hAnsi="Calibri" w:cs="Calibri"/>
        </w:rPr>
        <w:t xml:space="preserve"> </w:t>
      </w:r>
      <w:r>
        <w:t xml:space="preserve">.55; proportion of women, (1) </w:t>
      </w:r>
      <w:r>
        <w:rPr>
          <w:rFonts w:ascii="Calibri" w:eastAsia="Calibri" w:hAnsi="Calibri" w:cs="Calibri"/>
        </w:rPr>
        <w:t xml:space="preserve"> </w:t>
      </w:r>
      <w:r>
        <w:t xml:space="preserve">1.21, </w:t>
      </w:r>
      <w:r>
        <w:rPr>
          <w:i/>
        </w:rPr>
        <w:t xml:space="preserve">p </w:t>
      </w:r>
      <w:r>
        <w:rPr>
          <w:rFonts w:ascii="Calibri" w:eastAsia="Calibri" w:hAnsi="Calibri" w:cs="Calibri"/>
        </w:rPr>
        <w:t xml:space="preserve"> </w:t>
      </w:r>
      <w:r>
        <w:t xml:space="preserve">.27; non-Whites, (1) </w:t>
      </w:r>
      <w:r>
        <w:rPr>
          <w:rFonts w:ascii="Calibri" w:eastAsia="Calibri" w:hAnsi="Calibri" w:cs="Calibri"/>
        </w:rPr>
        <w:t xml:space="preserve"> </w:t>
      </w:r>
      <w:r>
        <w:t xml:space="preserve">0.44, </w:t>
      </w:r>
      <w:r>
        <w:rPr>
          <w:i/>
        </w:rPr>
        <w:t xml:space="preserve">p </w:t>
      </w:r>
      <w:r>
        <w:t xml:space="preserve">.51; and highest education level, (5) </w:t>
      </w:r>
      <w:r>
        <w:rPr>
          <w:rFonts w:ascii="Calibri" w:eastAsia="Calibri" w:hAnsi="Calibri" w:cs="Calibri"/>
        </w:rPr>
        <w:t xml:space="preserve"> </w:t>
      </w:r>
      <w:r>
        <w:t xml:space="preserve">5.51, </w:t>
      </w:r>
      <w:r>
        <w:rPr>
          <w:i/>
        </w:rPr>
        <w:t xml:space="preserve">p </w:t>
      </w:r>
      <w:r>
        <w:rPr>
          <w:rFonts w:ascii="Calibri" w:eastAsia="Calibri" w:hAnsi="Calibri" w:cs="Calibri"/>
        </w:rPr>
        <w:t xml:space="preserve"> </w:t>
      </w:r>
      <w:r>
        <w:t>.36.</w:t>
      </w:r>
    </w:p>
    <w:p w:rsidR="00157A70" w:rsidRDefault="00316F15">
      <w:pPr>
        <w:pStyle w:val="2"/>
        <w:ind w:left="-5"/>
      </w:pPr>
      <w:r>
        <w:t>Materials</w:t>
      </w:r>
    </w:p>
    <w:p w:rsidR="00157A70" w:rsidRDefault="00316F15">
      <w:pPr>
        <w:spacing w:after="59"/>
        <w:ind w:left="-15" w:right="0"/>
      </w:pPr>
      <w:r>
        <w:rPr>
          <w:i/>
        </w:rPr>
        <w:t xml:space="preserve">The A-DMC. </w:t>
      </w:r>
      <w:r>
        <w:t xml:space="preserve">The new A-DMC battery has seven component tasks: Resistance to Framing, Recognizing Social Norms, Under/ Overconfidence, Applying Decision Rules, Consistency in Risk Perception, Resistance to Sunk Costs, and Path Independence. Each component is discussed below, focusing on how it differs from its related Y-DMC component (Parker &amp; </w:t>
      </w:r>
      <w:proofErr w:type="spellStart"/>
      <w:r>
        <w:t>Fischhoff</w:t>
      </w:r>
      <w:proofErr w:type="spellEnd"/>
      <w:r>
        <w:t>, 2005). All new items were pilot tested to improve comprehensibility and internal consistency. Sample items for each component appear in Appendix A.</w:t>
      </w:r>
      <w:r>
        <w:rPr>
          <w:vertAlign w:val="superscript"/>
        </w:rPr>
        <w:footnoteReference w:id="5"/>
      </w:r>
    </w:p>
    <w:p w:rsidR="00157A70" w:rsidRDefault="00316F15">
      <w:pPr>
        <w:ind w:left="-15" w:right="0"/>
      </w:pPr>
      <w:r>
        <w:rPr>
          <w:i/>
        </w:rPr>
        <w:t xml:space="preserve">Resistance to Framing </w:t>
      </w:r>
      <w:r>
        <w:t xml:space="preserve">measures whether value assessment is affected by irrelevant variations in problem descriptions. Parker and </w:t>
      </w:r>
      <w:proofErr w:type="spellStart"/>
      <w:r>
        <w:t>Fischhoff</w:t>
      </w:r>
      <w:proofErr w:type="spellEnd"/>
      <w:r>
        <w:t xml:space="preserve"> (2005) found relatively low internal consistency for this task. As mentioned, scores showed low variability. To address that problem, we increased the number of items and shifted from dichotomous choice to a strength-of-preference rating scale, with endpoints reflecting a strong preference for each of the two original choice options, following Levin et al. (2002). Because the 6-point scale lacks a midpoint, it forces respondents to express a relative preference between options, if only weakly. A second possible threat to the internal consistency of the original tasks is that they included several kinds of framing problem. The new task is limited to valence framing problems, specifically risky-choice framing and attribute framing (Levin et al., 2002; Levin, Schneider, &amp; </w:t>
      </w:r>
      <w:proofErr w:type="spellStart"/>
      <w:r>
        <w:t>Gaeth</w:t>
      </w:r>
      <w:proofErr w:type="spellEnd"/>
      <w:r>
        <w:t>, 1998).</w:t>
      </w:r>
    </w:p>
    <w:p w:rsidR="00157A70" w:rsidRDefault="00316F15">
      <w:pPr>
        <w:ind w:left="-15" w:right="0"/>
      </w:pPr>
      <w:r>
        <w:t>The seven risky-choice framing tasks have formally equivalent gain and loss versions of decision problems, each presenting a sure-thing option and a risky-choice option (</w:t>
      </w:r>
      <w:proofErr w:type="spellStart"/>
      <w:r>
        <w:t>Fischhoff</w:t>
      </w:r>
      <w:proofErr w:type="spellEnd"/>
      <w:r>
        <w:t>, 1983; Levin et al., 1998; Tversky &amp; Kahneman, 1981). For example, the first item, taken from Schneider (1992), describes a pesticide threatening the lives of 1,200 endangered animals. The gain version poses a choice between (a) saving 600 endangered animals for sure and (b) a 75% chance that 800 animals will be saved, and a 25% chance that no animals will be saved. The corresponding loss frame presents a choice between (a) losing 600 animals for sure and (b) a 75% chance that 400 animals will be lost, and a 25% chance that 1,200 animals will be lost. Subsequent items involve choices between a sure thing and a risky option in the contexts of income tax (</w:t>
      </w:r>
      <w:proofErr w:type="spellStart"/>
      <w:r>
        <w:t>Highhouse</w:t>
      </w:r>
      <w:proofErr w:type="spellEnd"/>
      <w:r>
        <w:t xml:space="preserve"> &amp; </w:t>
      </w:r>
      <w:proofErr w:type="spellStart"/>
      <w:r>
        <w:t>Paese</w:t>
      </w:r>
      <w:proofErr w:type="spellEnd"/>
      <w:r>
        <w:t>, 1996), dropping out of school (</w:t>
      </w:r>
      <w:proofErr w:type="spellStart"/>
      <w:r>
        <w:t>Fagley</w:t>
      </w:r>
      <w:proofErr w:type="spellEnd"/>
      <w:r>
        <w:t xml:space="preserve"> &amp; </w:t>
      </w:r>
      <w:r>
        <w:lastRenderedPageBreak/>
        <w:t xml:space="preserve">Miller, 1990), an unusual disease (Tversky &amp; Kahneman, 1981), cancer (Tversky &amp; Kahneman, 1988), stock market investments (Roszkowski &amp; </w:t>
      </w:r>
      <w:proofErr w:type="spellStart"/>
      <w:r>
        <w:t>Snelbecker</w:t>
      </w:r>
      <w:proofErr w:type="spellEnd"/>
      <w:r>
        <w:t>, 1990), and soldiers suffering leg injuries (Svenson &amp; Benson, 1993).</w:t>
      </w:r>
    </w:p>
    <w:p w:rsidR="00157A70" w:rsidRDefault="00316F15">
      <w:pPr>
        <w:ind w:left="-15" w:right="0"/>
      </w:pPr>
      <w:r>
        <w:t xml:space="preserve">Additionally, seven attribute framing items ask participants to rate positively and negatively described versions of seven normatively equivalent events. These include judging the effectiveness of a condom with a 95% success rate or a 5% failure rate (Linville, Fischer, &amp; </w:t>
      </w:r>
      <w:proofErr w:type="spellStart"/>
      <w:r>
        <w:t>Fischhoff</w:t>
      </w:r>
      <w:proofErr w:type="spellEnd"/>
      <w:r>
        <w:t xml:space="preserve">, 1993), the quality of ground beef labeled 80% lean or 20% fat (Levin &amp; </w:t>
      </w:r>
      <w:proofErr w:type="spellStart"/>
      <w:r>
        <w:t>Gaeth</w:t>
      </w:r>
      <w:proofErr w:type="spellEnd"/>
      <w:r>
        <w:t xml:space="preserve">, 1988), cheating at a university where students’ self-reports indicate that 65% have cheated or 35% never have (Levin, </w:t>
      </w:r>
      <w:proofErr w:type="spellStart"/>
      <w:r>
        <w:t>Schnittjer</w:t>
      </w:r>
      <w:proofErr w:type="spellEnd"/>
      <w:r>
        <w:t>, &amp; Thee, 1988), funding a team that had 30 successful or 20 unsuccessful projects among its last 50 (</w:t>
      </w:r>
      <w:proofErr w:type="spellStart"/>
      <w:r>
        <w:t>Dunegan</w:t>
      </w:r>
      <w:proofErr w:type="spellEnd"/>
      <w:r>
        <w:t>, 1993), counseling a student who received either 90% correct on the midterm exam and 70% correct on the final exam or 10% and 30% incorrect, respectively (Levin, Johnson, Russo, &amp; Deldin, 1985), fining a woman with a 20% chance of not knowing that she had parked illegally or an 80% chance of knowing that she had (</w:t>
      </w:r>
      <w:proofErr w:type="spellStart"/>
      <w:r>
        <w:t>Dunegan</w:t>
      </w:r>
      <w:proofErr w:type="spellEnd"/>
      <w:r>
        <w:t>, 1996), and advising a family member about a cancer treatment with a 50% success rate or a 50% failure rate (Levin et al., 1988).</w:t>
      </w:r>
    </w:p>
    <w:p w:rsidR="00157A70" w:rsidRDefault="00316F15">
      <w:pPr>
        <w:ind w:left="-15" w:right="0"/>
      </w:pPr>
      <w:r>
        <w:t xml:space="preserve">The positive frames and negative frames appear in separate sets with different item orders and are separated by other A-DMC tasks, as recommended by </w:t>
      </w:r>
      <w:proofErr w:type="spellStart"/>
      <w:r>
        <w:t>LeBoeuf</w:t>
      </w:r>
      <w:proofErr w:type="spellEnd"/>
      <w:r>
        <w:t xml:space="preserve"> and </w:t>
      </w:r>
      <w:proofErr w:type="spellStart"/>
      <w:r>
        <w:t>Shafir</w:t>
      </w:r>
      <w:proofErr w:type="spellEnd"/>
      <w:r>
        <w:t xml:space="preserve"> (2003). Performance is measured by the mean absolute difference between ratings for the loss and the gain versions of each item.</w:t>
      </w:r>
    </w:p>
    <w:p w:rsidR="00157A70" w:rsidRDefault="00316F15">
      <w:pPr>
        <w:ind w:left="-15" w:right="0"/>
      </w:pPr>
      <w:r>
        <w:rPr>
          <w:i/>
        </w:rPr>
        <w:t xml:space="preserve">Recognizing Social Norms </w:t>
      </w:r>
      <w:r>
        <w:t xml:space="preserve">measures how well participants assess peer social norms, which is based on studies by Jacobs, Greenwald, and Osgood (1995) and </w:t>
      </w:r>
      <w:proofErr w:type="spellStart"/>
      <w:r>
        <w:t>Loeber</w:t>
      </w:r>
      <w:proofErr w:type="spellEnd"/>
      <w:r>
        <w:t xml:space="preserve"> (1989). This task is unchanged from the Y-DMC (Parker &amp; </w:t>
      </w:r>
      <w:proofErr w:type="spellStart"/>
      <w:r>
        <w:t>Fischhoff</w:t>
      </w:r>
      <w:proofErr w:type="spellEnd"/>
      <w:r>
        <w:t>, 2005) because it addresses social norms that apply to all ages. Participants first judge whether “it is sometimes OK” to engage in each of 16 undesirable behaviors (e.g., to steal under certain circumstances). Later in the test battery, participants estimate how many “out of 100 people your age” would endorse each behavior. The first set of responses allowed us to compute the percentage of participants who endorsed each behavior. For each participant, performance is measured by the rank-order correlation (from 1 to 1) between the actual percentage and the estimated percentage of peers’ endorsements across the 16 behaviors.</w:t>
      </w:r>
    </w:p>
    <w:p w:rsidR="00157A70" w:rsidRDefault="00316F15">
      <w:pPr>
        <w:spacing w:after="45"/>
        <w:ind w:left="-15" w:right="0"/>
      </w:pPr>
      <w:r>
        <w:rPr>
          <w:i/>
        </w:rPr>
        <w:t xml:space="preserve">Under/overconfidence </w:t>
      </w:r>
      <w:r>
        <w:t>assesses how well participants recognize the extent of their own knowledge. Respondents indicate whether each of a set of statements is true or false, then assess their confidence in that answer, on a scale from 50% (</w:t>
      </w:r>
      <w:r>
        <w:rPr>
          <w:i/>
        </w:rPr>
        <w:t>just guessing</w:t>
      </w:r>
      <w:r>
        <w:t>) to 100% (</w:t>
      </w:r>
      <w:r>
        <w:rPr>
          <w:i/>
        </w:rPr>
        <w:t>absolutely sure</w:t>
      </w:r>
      <w:r>
        <w:t>). Under/overconfidence equals one minus the absolute difference between mean confidence and percentage correct across items so that higher scores reflect better performance.</w:t>
      </w:r>
      <w:r>
        <w:rPr>
          <w:vertAlign w:val="superscript"/>
        </w:rPr>
        <w:footnoteReference w:id="6"/>
      </w:r>
    </w:p>
    <w:p w:rsidR="00157A70" w:rsidRDefault="00316F15">
      <w:pPr>
        <w:ind w:left="-15" w:right="0"/>
      </w:pPr>
      <w:r>
        <w:t xml:space="preserve">To provide question content relevant to a diverse adult audience, we created items from 17 </w:t>
      </w:r>
      <w:r>
        <w:rPr>
          <w:i/>
        </w:rPr>
        <w:t xml:space="preserve">Complete Idiot’s </w:t>
      </w:r>
      <w:r>
        <w:t xml:space="preserve">guides about such topics as romantic relationships, finances, health, and organizing one’s life (Bauer, 2003; </w:t>
      </w:r>
      <w:proofErr w:type="spellStart"/>
      <w:r>
        <w:t>Charland</w:t>
      </w:r>
      <w:proofErr w:type="spellEnd"/>
      <w:r>
        <w:t xml:space="preserve">, 1997; Davidson, 1997; Fisher &amp; Shelley, 2002; Ireland, 2002; Kleinman &amp; Messina-Kleinman, 2000; Koch &amp; DeSalvo, 2003; </w:t>
      </w:r>
      <w:proofErr w:type="spellStart"/>
      <w:r>
        <w:t>Kuriansky</w:t>
      </w:r>
      <w:proofErr w:type="spellEnd"/>
      <w:r>
        <w:t xml:space="preserve">, 2002; Kurland &amp; </w:t>
      </w:r>
      <w:proofErr w:type="spellStart"/>
      <w:r>
        <w:t>Lupoff</w:t>
      </w:r>
      <w:proofErr w:type="spellEnd"/>
      <w:r>
        <w:t xml:space="preserve">, 1999; Lockwood, 2003; McClain &amp; </w:t>
      </w:r>
      <w:proofErr w:type="spellStart"/>
      <w:r>
        <w:t>Levert</w:t>
      </w:r>
      <w:proofErr w:type="spellEnd"/>
      <w:r>
        <w:t xml:space="preserve">, 2000; O’Hara &amp; Warner, </w:t>
      </w:r>
      <w:r>
        <w:t xml:space="preserve">2000; Rich &amp; Kravitz, 2001; Rosen, 2000; Strauss &amp; Jaffe, 2003; </w:t>
      </w:r>
      <w:proofErr w:type="spellStart"/>
      <w:r>
        <w:t>Toropov</w:t>
      </w:r>
      <w:proofErr w:type="spellEnd"/>
      <w:r>
        <w:t xml:space="preserve">, 1997; </w:t>
      </w:r>
      <w:proofErr w:type="spellStart"/>
      <w:r>
        <w:t>Tullier</w:t>
      </w:r>
      <w:proofErr w:type="spellEnd"/>
      <w:r>
        <w:t>, 1999). We randomly selected 10 chapters from each book and one piece of advice from the text boxes and bullet-pointed closing statements in each chosen chapter. The text of each selected piece of advice was rewritten as a true/false statement, with a random generator assigning half to be phrased as true and half as false. Two independent judges selected statements that were decision relevant and falsifiable, reaching agreement for 71%. We pilot tested the 60 items selected by both coders. Nine items were excluded because a pilot study suggested that they were potentially misleading, showing performance that was substantially below chance. After removing items with low item-total correlations, 34 were selected for the final measure.</w:t>
      </w:r>
    </w:p>
    <w:p w:rsidR="00157A70" w:rsidRDefault="00316F15">
      <w:pPr>
        <w:ind w:left="-15" w:right="0"/>
      </w:pPr>
      <w:r>
        <w:rPr>
          <w:i/>
        </w:rPr>
        <w:t xml:space="preserve">Applying Decision Rules </w:t>
      </w:r>
      <w:r>
        <w:t xml:space="preserve">asks participants to indicate, for hypothetical individual consumers using different decision rules, which of five DVD players they would buy (e.g., “Lisa wants the DVD player with the highest average rating across features,” describing an </w:t>
      </w:r>
      <w:proofErr w:type="gramStart"/>
      <w:r>
        <w:t>equal weights</w:t>
      </w:r>
      <w:proofErr w:type="gramEnd"/>
      <w:r>
        <w:t xml:space="preserve"> rule). Each consumer chooses from a different set of five equally priced DVD players with varying ratings of picture quality, sound quality, programming options, and brand reliability (from 1 [</w:t>
      </w:r>
      <w:r>
        <w:rPr>
          <w:i/>
        </w:rPr>
        <w:t>very low</w:t>
      </w:r>
      <w:r>
        <w:t>] to 5 [</w:t>
      </w:r>
      <w:r>
        <w:rPr>
          <w:i/>
        </w:rPr>
        <w:t>very high</w:t>
      </w:r>
      <w:r>
        <w:t xml:space="preserve">]). The decision rules are taken from Payne, </w:t>
      </w:r>
      <w:proofErr w:type="spellStart"/>
      <w:r>
        <w:t>Bettman</w:t>
      </w:r>
      <w:proofErr w:type="spellEnd"/>
      <w:r>
        <w:t>, and Johnson (1993) and include elimination by aspects, satisficing, lexicographic, and equal weights rules. The</w:t>
      </w:r>
    </w:p>
    <w:p w:rsidR="00157A70" w:rsidRDefault="00316F15">
      <w:pPr>
        <w:ind w:left="-15" w:right="0" w:firstLine="0"/>
      </w:pPr>
      <w:r>
        <w:t>present task uses more complex rules than the Y-DMC, which, in pretests, proved too easy for adults. Performance is measured by the percentage of items for which the correct DVD players are chosen, given the decision rule to be applied.</w:t>
      </w:r>
    </w:p>
    <w:p w:rsidR="00157A70" w:rsidRDefault="00316F15">
      <w:pPr>
        <w:ind w:left="-15" w:right="0"/>
      </w:pPr>
      <w:r>
        <w:rPr>
          <w:i/>
        </w:rPr>
        <w:t xml:space="preserve">Consistency in Risk Perception </w:t>
      </w:r>
      <w:r>
        <w:t>assesses the ability to follow probability rules. Twenty items ask participants to judge the chance of an event happening to them on a linear scale ranging from 0% (</w:t>
      </w:r>
      <w:r>
        <w:rPr>
          <w:i/>
        </w:rPr>
        <w:t>no chance</w:t>
      </w:r>
      <w:r>
        <w:t>) to 100% (</w:t>
      </w:r>
      <w:r>
        <w:rPr>
          <w:i/>
        </w:rPr>
        <w:t>certainty</w:t>
      </w:r>
      <w:r>
        <w:t>). Ten events are judged twice: for the next year and for the next 5 years. Each time frame pair is scored as correct if the probability for the event happening the next year is no larger than for it happening in the next 5 years. In each time frame, three item pairs present nested subset and superset events (e.g., dying in a terrorist attack is a subset of the superset dying from any cause). To be scored as correct, the probability of a subset event should not exceed that of its superset event. In each time frame, two item pairs also present complementary events (e.g., getting into a car accident while driving vs. being accident free). Responses to each pair are scored as correct if their combined probability is 100%. Scores thus reflect the percentage of corresponding item pairs with consistent responses, including (a) 10 time-frame pairs, (b) six subset–superset pairs, and (c) four complementary pairs.</w:t>
      </w:r>
    </w:p>
    <w:p w:rsidR="00157A70" w:rsidRDefault="00316F15">
      <w:pPr>
        <w:ind w:left="-15" w:right="0"/>
      </w:pPr>
      <w:r>
        <w:rPr>
          <w:i/>
        </w:rPr>
        <w:t xml:space="preserve">Resistance to Sunk Costs </w:t>
      </w:r>
      <w:r>
        <w:t>measures the ability to ignore prior investments when making decisions (</w:t>
      </w:r>
      <w:proofErr w:type="spellStart"/>
      <w:r>
        <w:t>Arkes</w:t>
      </w:r>
      <w:proofErr w:type="spellEnd"/>
      <w:r>
        <w:t xml:space="preserve"> &amp; Blumer, 1985). Normatively, unrecoverable past expenditures should be ignored so that decisions reflect only possible future consequences. The Y-DMC battery had two items with a choice format, limiting response variation. The A-DMC has 10 items, using a rating scale ranging from 1 (</w:t>
      </w:r>
      <w:r>
        <w:rPr>
          <w:i/>
        </w:rPr>
        <w:t xml:space="preserve">most likely to choose </w:t>
      </w:r>
      <w:r>
        <w:t>[</w:t>
      </w:r>
      <w:r>
        <w:rPr>
          <w:i/>
        </w:rPr>
        <w:t>the sunk-cost option</w:t>
      </w:r>
      <w:r>
        <w:t>]) to 6 (</w:t>
      </w:r>
      <w:r>
        <w:rPr>
          <w:i/>
        </w:rPr>
        <w:t xml:space="preserve">most likely to choose </w:t>
      </w:r>
      <w:r>
        <w:t>[</w:t>
      </w:r>
      <w:r>
        <w:rPr>
          <w:i/>
        </w:rPr>
        <w:t>the normatively correct option</w:t>
      </w:r>
      <w:r>
        <w:t>]). Items address varied contexts, with some adapted from the sunk-cost literature (</w:t>
      </w:r>
      <w:proofErr w:type="spellStart"/>
      <w:r>
        <w:t>Arkes</w:t>
      </w:r>
      <w:proofErr w:type="spellEnd"/>
      <w:r>
        <w:t xml:space="preserve"> &amp; Blumer, 1985; Baron, </w:t>
      </w:r>
      <w:proofErr w:type="spellStart"/>
      <w:r>
        <w:t>Granato</w:t>
      </w:r>
      <w:proofErr w:type="spellEnd"/>
      <w:r>
        <w:t xml:space="preserve">, </w:t>
      </w:r>
      <w:proofErr w:type="spellStart"/>
      <w:r>
        <w:t>Spranca</w:t>
      </w:r>
      <w:proofErr w:type="spellEnd"/>
      <w:r>
        <w:t xml:space="preserve">, &amp; </w:t>
      </w:r>
      <w:proofErr w:type="spellStart"/>
      <w:r>
        <w:t>Teubal</w:t>
      </w:r>
      <w:proofErr w:type="spellEnd"/>
      <w:r>
        <w:t xml:space="preserve">, 1993; </w:t>
      </w:r>
      <w:r>
        <w:lastRenderedPageBreak/>
        <w:t>Bornstein &amp; Chapman, 1995; Frisch, 1993), and others created for this project. Performance is measured by the average rating across the 10 items.</w:t>
      </w:r>
    </w:p>
    <w:p w:rsidR="00157A70" w:rsidRDefault="00316F15">
      <w:pPr>
        <w:ind w:left="-15" w:right="0"/>
      </w:pPr>
      <w:r>
        <w:rPr>
          <w:i/>
        </w:rPr>
        <w:t xml:space="preserve">Path Independence </w:t>
      </w:r>
      <w:r>
        <w:t>presents item pairs posing normatively equivalent choices between gambles, testing adherence to the axiom that a choice between gambles should not be affected by normatively irrelevant changes in how they are played. In particular, respondents should give consistent responses, regardless of whether options are presented as single-stage or two-stage gambles. This task uses Y-DMC items because their abstract content and level of difficulty are appropriate for all ages. Six items pose a choice between a sure thing (e.g., win $50 for sure) and a coin flip (e.g., if heads, then win $100; if tails, then win $0). Each is paired with an item posing the same choice, presenting irrelevant information about the outcome of an earlier coin flip. An additional six items pose a choice between a gamble involving two coins (e.g., if two heads, then win $100, otherwise $0) and a gamble involving one coin (e.g., if heads, then win $50, otherwise $0). Each is paired with an item presenting the same gambles as two consecutive steps. The first step is a coin flip, which will lead to the second step only if heads come up. The second step involves a choice between a gamble (e.g., if heads, then win $100, otherwise $0) and a sure thing (e.g., win $50 for sure). Performance is measured by the percentage of consistent choices across item pairs.</w:t>
      </w:r>
    </w:p>
    <w:p w:rsidR="00157A70" w:rsidRDefault="00316F15">
      <w:pPr>
        <w:ind w:left="-15" w:right="0"/>
      </w:pPr>
      <w:r>
        <w:rPr>
          <w:i/>
        </w:rPr>
        <w:t xml:space="preserve">The DOI. </w:t>
      </w:r>
      <w:r>
        <w:t xml:space="preserve">We further developed a self-report measure of decision-making success in terms of avoiding negative decision outcomes. On the basis of pilot research, a list of negative decision outcomes, sampled across a wide variety of domains and varying in severity (e.g., threw out food or groceries you had bought, got divorced, had a mortgage or loan foreclosed), was reduced to a shorter list with good internal consistency. Appendix B shows the DOI, with its 41 negative decision outcomes. Thirty-five of these outcomes are preceded by a question asking whether participants had made decisions that would make that outcome possible (e.g., bought food or groceries, got married, had a mortgage or loan). This question was omitted for the final six outcomes, as all individuals made related decisions: been in a jail cell overnight for any reason; been in a public fight or screaming argument; declared bankruptcy; forgotten a birthday of someone close to you and did not realize until the next day or later; been diagnosed with Type 2 diabetes; and broke a bone because you fell, slipped, or </w:t>
      </w:r>
      <w:proofErr w:type="spellStart"/>
      <w:r>
        <w:t>misstepped</w:t>
      </w:r>
      <w:proofErr w:type="spellEnd"/>
      <w:r>
        <w:t>.</w:t>
      </w:r>
    </w:p>
    <w:p w:rsidR="00157A70" w:rsidRDefault="00316F15">
      <w:pPr>
        <w:ind w:left="-15" w:right="0"/>
      </w:pPr>
      <w:r>
        <w:t>As a proxy for severity, we weighted decision outcomes by the proportion of participants who reported not experiencing them (among those who had the opportunity) because, generally speaking, more severe outcomes are also less frequent than less severe ones (e.g., a night in jail vs. loaning more than $50 without getting it back). These weighted outcomes were averaged and then subtracted from zero so that higher scores reflect better outcomes. Thus, the DOI score reflects the weighted number of negative outcomes respondents had avoided out of those they had the opportunity to experience (i.e., the final six were included for everyone).</w:t>
      </w:r>
    </w:p>
    <w:p w:rsidR="00157A70" w:rsidRDefault="00316F15">
      <w:pPr>
        <w:ind w:left="-15" w:right="0"/>
      </w:pPr>
      <w:r>
        <w:rPr>
          <w:i/>
        </w:rPr>
        <w:t xml:space="preserve">Decision-making styles. </w:t>
      </w:r>
      <w:r>
        <w:t xml:space="preserve">Respondents’ decision-making styles were measured with four scales. Two scales were from Schwartz et al. (2002). One is a five-item measure of the tendency to feel regret (e.g., “When I think about how I’m doing in life, I often assess opportunities I have passed up”); the other is a 13-item measure of the tendency to maximize when only satisficing is needed (e.g., “When I watch TV, I channel surf, often scanning through the </w:t>
      </w:r>
      <w:r>
        <w:t>options even while attempting to watch one program”). Schwartz et al. (2002) found that people with higher scores on both scales were less satisfied with their consumer choices. Because both measures reflect ineffective decision making, less regret and less inappropriate maximizing should be related to better A-DMC scores.</w:t>
      </w:r>
    </w:p>
    <w:p w:rsidR="00157A70" w:rsidRDefault="00316F15">
      <w:pPr>
        <w:ind w:left="-15" w:right="0"/>
      </w:pPr>
      <w:r>
        <w:t xml:space="preserve">The third scale is the 15-item behavioral coping component of the Constructive Thinking Inventory (Epstein &amp; Meier, 1989; Katz &amp; Epstein, 1991). It measures the extent to which people attach positive thoughts to their decisions, even in the face of negative outcomes (e.g., “When I realize I have made a mistake, I usually take immediate action to correct it”). Because this decision-making style reflects effective decision making, more behavioral coping should be related to better A-DMC scores, as was found with the Y-DMC (Parker &amp; </w:t>
      </w:r>
      <w:proofErr w:type="spellStart"/>
      <w:r>
        <w:t>Fischhoff</w:t>
      </w:r>
      <w:proofErr w:type="spellEnd"/>
      <w:r>
        <w:t>, 2005).</w:t>
      </w:r>
    </w:p>
    <w:p w:rsidR="00157A70" w:rsidRDefault="00316F15">
      <w:pPr>
        <w:ind w:left="-15" w:right="0"/>
      </w:pPr>
      <w:r>
        <w:t xml:space="preserve">Finally, we used Scott and Bruce’s (1985) measures of five decision-making styles, all relying on self-reports: making decisions rationally (e.g., “I make decisions in a logical and systematic way”), basing decisions on intuitions (e.g., “I generally make decisions that feel right to me”), depending on others (e.g., “I often need the assistance of other people when making important decisions”), avoiding decisions (e.g., “I postpone decision making whenever possible”), and making decisions spontaneously (e.g., “I generally make snap decisions”), using five items for each. There is some evidence that both rational (Crossley &amp; </w:t>
      </w:r>
      <w:proofErr w:type="spellStart"/>
      <w:r>
        <w:t>Highhouse</w:t>
      </w:r>
      <w:proofErr w:type="spellEnd"/>
      <w:r>
        <w:t xml:space="preserve">, 2005; Leong &amp; Morris, 1989; Russ, McNeilly, &amp; Comer, 1996) and intuitive (Crossley &amp; </w:t>
      </w:r>
      <w:proofErr w:type="spellStart"/>
      <w:r>
        <w:t>Highhouse</w:t>
      </w:r>
      <w:proofErr w:type="spellEnd"/>
      <w:r>
        <w:t xml:space="preserve">, 2005) decision-making styles are effective, in the sense of being related to positive career outcomes (although see Phillips &amp; </w:t>
      </w:r>
      <w:proofErr w:type="spellStart"/>
      <w:r>
        <w:t>Strohmer</w:t>
      </w:r>
      <w:proofErr w:type="spellEnd"/>
      <w:r>
        <w:t xml:space="preserve">, 1982; Singh &amp; </w:t>
      </w:r>
      <w:proofErr w:type="spellStart"/>
      <w:r>
        <w:t>Greenhaus</w:t>
      </w:r>
      <w:proofErr w:type="spellEnd"/>
      <w:r>
        <w:t xml:space="preserve">, 2004). Thus, they should be related to better A-DMC scores. Conversely, dependent, spontaneous, and avoidant styles may be maladaptive (Loo, 2000; Russ et al., 1996; Singh &amp; </w:t>
      </w:r>
      <w:proofErr w:type="spellStart"/>
      <w:r>
        <w:t>Greenhaus</w:t>
      </w:r>
      <w:proofErr w:type="spellEnd"/>
      <w:r>
        <w:t>, 2004). Lower scores on these styles should be related to better A-DMC scores.</w:t>
      </w:r>
    </w:p>
    <w:p w:rsidR="00157A70" w:rsidRDefault="00316F15">
      <w:pPr>
        <w:spacing w:after="379"/>
        <w:ind w:left="-15" w:right="0"/>
      </w:pPr>
      <w:r>
        <w:rPr>
          <w:i/>
        </w:rPr>
        <w:t xml:space="preserve">Cognitive ability. </w:t>
      </w:r>
      <w:r>
        <w:t xml:space="preserve">Our strategy for measuring general cognitive abilities was informed by theories of fluid and crystallized intelligence (Cattell, 1963, 1987; Horn, 1985). We used Raven’s standard progressive matrices (SPM; Raven, Raven, &amp; Court, 2003), which loads highly on Spearman’s </w:t>
      </w:r>
      <w:r>
        <w:rPr>
          <w:i/>
        </w:rPr>
        <w:t xml:space="preserve">g </w:t>
      </w:r>
      <w:r>
        <w:t xml:space="preserve">(Carroll, 1993), to assess general fluid, nonverbal cognitive ability and Form G of the Nelson-Denny Reading Comprehension subtest (Brown, </w:t>
      </w:r>
      <w:proofErr w:type="spellStart"/>
      <w:r>
        <w:t>Fishco</w:t>
      </w:r>
      <w:proofErr w:type="spellEnd"/>
      <w:r>
        <w:t>, &amp; Hanna, 1993) to assess crystallized, verbal ability. Thus, these measures cover the two main aspects of general cognitive abilities, with general fluid intelligence reflecting innate ability and crystallized intelligence reflecting acquired knowledge (e.g., Cattell, 1963). To reduce participants’ workload, both scales were shortened to half their normal length. Our Raven measure had one randomly selected item from each sequential pair on the full test (first and second, third and fourth, etc.) to retain the increasing difficulty of the test items. We reduced the time restriction for the Nelson-Denny from 20 to 10 min. On both measures, performance is measured by the number of items answered correctly.</w:t>
      </w:r>
    </w:p>
    <w:p w:rsidR="00157A70" w:rsidRDefault="00316F15">
      <w:pPr>
        <w:pStyle w:val="2"/>
        <w:spacing w:after="151"/>
        <w:ind w:left="-5"/>
      </w:pPr>
      <w:r>
        <w:t>Procedure</w:t>
      </w:r>
    </w:p>
    <w:p w:rsidR="00157A70" w:rsidRDefault="00316F15">
      <w:pPr>
        <w:ind w:left="-15" w:right="0"/>
      </w:pPr>
      <w:r>
        <w:t xml:space="preserve">After providing consent, participants were given 10 min to complete Form G of the Nelson-Denny Reading Comprehension subtest (Brown et al., 1993). Participants were then given an </w:t>
      </w:r>
      <w:r>
        <w:lastRenderedPageBreak/>
        <w:t>envelope with the remaining tasks, to be completed at their own pace. The envelope began with the A-DMC tasks, in the following sequence: (a) positive-item versions of Resistance to Framing, (b) Recognizing Social Norms questions asking whether “it is sometimes OK” to engage in different behaviors, (c) Under/ overconfidence, (d) Applying Decision Rules, (e) Consistency in Risk Perception, (f) Path Independence, (g) Resistance to Sunk Costs, (h) negative-item versions of Resistance to Framing, and (</w:t>
      </w:r>
      <w:proofErr w:type="spellStart"/>
      <w:r>
        <w:t>i</w:t>
      </w:r>
      <w:proofErr w:type="spellEnd"/>
      <w:r>
        <w:t>) Recognizing Social Norms questions asking for estimates of other people’s social norms. This order maximized the distance between related tasks (e.g., for Resistance to Framing and Recognizing Social Norms). The shortened version of Raven SPM (Raven et al., 2003) was completed next, followed by the measures of decision</w:t>
      </w:r>
      <w:r w:rsidR="00E25B31">
        <w:rPr>
          <w:rFonts w:asciiTheme="minorEastAsia" w:eastAsiaTheme="minorEastAsia" w:hAnsiTheme="minorEastAsia" w:hint="eastAsia"/>
        </w:rPr>
        <w:t>-</w:t>
      </w:r>
      <w:r>
        <w:t>making styles, the DOI, and demographic information.</w:t>
      </w:r>
    </w:p>
    <w:p w:rsidR="00157A70" w:rsidRDefault="00316F15">
      <w:pPr>
        <w:ind w:left="-15" w:right="0"/>
      </w:pPr>
      <w:r>
        <w:t>Participants left contact information if they were interested in completing “a shorter mail survey with some of the same questions” intended for test–retest reliability. The retest repeated the same A-DMC measures. Forms were mailed 9 days after the initial session and followed up with at most two reminder phone calls. Participants received $35 for the initial survey session (with the option to donate part of it to the organization through which they were recruited) and $15 for returning the mail survey.</w:t>
      </w:r>
    </w:p>
    <w:tbl>
      <w:tblPr>
        <w:tblStyle w:val="TableGrid"/>
        <w:tblpPr w:vertAnchor="text" w:horzAnchor="margin"/>
        <w:tblOverlap w:val="never"/>
        <w:tblW w:w="9961" w:type="dxa"/>
        <w:tblInd w:w="0" w:type="dxa"/>
        <w:tblCellMar>
          <w:right w:w="1" w:type="dxa"/>
        </w:tblCellMar>
        <w:tblLook w:val="04A0" w:firstRow="1" w:lastRow="0" w:firstColumn="1" w:lastColumn="0" w:noHBand="0" w:noVBand="1"/>
      </w:tblPr>
      <w:tblGrid>
        <w:gridCol w:w="9961"/>
      </w:tblGrid>
      <w:tr w:rsidR="00157A70">
        <w:trPr>
          <w:trHeight w:val="2555"/>
        </w:trPr>
        <w:tc>
          <w:tcPr>
            <w:tcW w:w="8726" w:type="dxa"/>
            <w:tcBorders>
              <w:top w:val="nil"/>
              <w:left w:val="nil"/>
              <w:bottom w:val="nil"/>
              <w:right w:val="nil"/>
            </w:tcBorders>
          </w:tcPr>
          <w:p w:rsidR="00157A70" w:rsidRDefault="00316F15">
            <w:pPr>
              <w:spacing w:after="0" w:line="259" w:lineRule="auto"/>
              <w:ind w:right="0" w:firstLine="0"/>
              <w:jc w:val="left"/>
            </w:pPr>
            <w:r>
              <w:t>Table 2</w:t>
            </w:r>
          </w:p>
          <w:p w:rsidR="00157A70" w:rsidRDefault="00316F15">
            <w:pPr>
              <w:spacing w:after="0" w:line="259" w:lineRule="auto"/>
              <w:ind w:right="0" w:firstLine="0"/>
              <w:jc w:val="left"/>
            </w:pPr>
            <w:r>
              <w:rPr>
                <w:i/>
              </w:rPr>
              <w:t xml:space="preserve">Descriptive Statistics of </w:t>
            </w:r>
            <w:proofErr w:type="spellStart"/>
            <w:r>
              <w:rPr>
                <w:i/>
              </w:rPr>
              <w:t>Nonstandardized</w:t>
            </w:r>
            <w:proofErr w:type="spellEnd"/>
            <w:r>
              <w:rPr>
                <w:i/>
              </w:rPr>
              <w:t xml:space="preserve"> A-DMC Components</w:t>
            </w:r>
          </w:p>
          <w:tbl>
            <w:tblPr>
              <w:tblStyle w:val="TableGrid"/>
              <w:tblW w:w="9960" w:type="dxa"/>
              <w:tblInd w:w="0" w:type="dxa"/>
              <w:tblCellMar>
                <w:top w:w="15" w:type="dxa"/>
                <w:bottom w:w="5" w:type="dxa"/>
                <w:right w:w="10" w:type="dxa"/>
              </w:tblCellMar>
              <w:tblLook w:val="04A0" w:firstRow="1" w:lastRow="0" w:firstColumn="1" w:lastColumn="0" w:noHBand="0" w:noVBand="1"/>
            </w:tblPr>
            <w:tblGrid>
              <w:gridCol w:w="2549"/>
              <w:gridCol w:w="1473"/>
              <w:gridCol w:w="1510"/>
              <w:gridCol w:w="782"/>
              <w:gridCol w:w="775"/>
              <w:gridCol w:w="775"/>
              <w:gridCol w:w="1384"/>
              <w:gridCol w:w="712"/>
            </w:tblGrid>
            <w:tr w:rsidR="00157A70">
              <w:trPr>
                <w:trHeight w:val="365"/>
              </w:trPr>
              <w:tc>
                <w:tcPr>
                  <w:tcW w:w="2549" w:type="dxa"/>
                  <w:tcBorders>
                    <w:top w:val="single" w:sz="8" w:space="0" w:color="181717"/>
                    <w:left w:val="nil"/>
                    <w:bottom w:val="single" w:sz="4" w:space="0" w:color="181717"/>
                    <w:right w:val="nil"/>
                  </w:tcBorders>
                </w:tcPr>
                <w:p w:rsidR="00157A70" w:rsidRDefault="00316F15" w:rsidP="00E25B31">
                  <w:pPr>
                    <w:framePr w:wrap="around" w:vAnchor="text" w:hAnchor="margin"/>
                    <w:spacing w:after="0" w:line="259" w:lineRule="auto"/>
                    <w:ind w:left="383" w:right="0" w:firstLine="0"/>
                    <w:suppressOverlap/>
                    <w:jc w:val="left"/>
                  </w:pPr>
                  <w:r>
                    <w:rPr>
                      <w:sz w:val="16"/>
                    </w:rPr>
                    <w:t>A-DMC component</w:t>
                  </w:r>
                </w:p>
              </w:tc>
              <w:tc>
                <w:tcPr>
                  <w:tcW w:w="1473" w:type="dxa"/>
                  <w:tcBorders>
                    <w:top w:val="single" w:sz="8" w:space="0" w:color="181717"/>
                    <w:left w:val="nil"/>
                    <w:bottom w:val="single" w:sz="4" w:space="0" w:color="181717"/>
                    <w:right w:val="nil"/>
                  </w:tcBorders>
                </w:tcPr>
                <w:p w:rsidR="00157A70" w:rsidRDefault="00316F15" w:rsidP="00E25B31">
                  <w:pPr>
                    <w:framePr w:wrap="around" w:vAnchor="text" w:hAnchor="margin"/>
                    <w:spacing w:after="0" w:line="259" w:lineRule="auto"/>
                    <w:ind w:right="0" w:firstLine="0"/>
                    <w:suppressOverlap/>
                    <w:jc w:val="left"/>
                  </w:pPr>
                  <w:r>
                    <w:rPr>
                      <w:sz w:val="16"/>
                    </w:rPr>
                    <w:t>Potential range</w:t>
                  </w:r>
                </w:p>
              </w:tc>
              <w:tc>
                <w:tcPr>
                  <w:tcW w:w="1510" w:type="dxa"/>
                  <w:tcBorders>
                    <w:top w:val="single" w:sz="8" w:space="0" w:color="181717"/>
                    <w:left w:val="nil"/>
                    <w:bottom w:val="single" w:sz="4" w:space="0" w:color="181717"/>
                    <w:right w:val="nil"/>
                  </w:tcBorders>
                </w:tcPr>
                <w:p w:rsidR="00157A70" w:rsidRDefault="00316F15" w:rsidP="00E25B31">
                  <w:pPr>
                    <w:framePr w:wrap="around" w:vAnchor="text" w:hAnchor="margin"/>
                    <w:spacing w:after="0" w:line="259" w:lineRule="auto"/>
                    <w:ind w:right="0" w:firstLine="0"/>
                    <w:suppressOverlap/>
                    <w:jc w:val="left"/>
                  </w:pPr>
                  <w:r>
                    <w:rPr>
                      <w:sz w:val="16"/>
                    </w:rPr>
                    <w:t>Observed range</w:t>
                  </w:r>
                </w:p>
              </w:tc>
              <w:tc>
                <w:tcPr>
                  <w:tcW w:w="782" w:type="dxa"/>
                  <w:tcBorders>
                    <w:top w:val="single" w:sz="8" w:space="0" w:color="181717"/>
                    <w:left w:val="nil"/>
                    <w:bottom w:val="single" w:sz="4" w:space="0" w:color="181717"/>
                    <w:right w:val="nil"/>
                  </w:tcBorders>
                </w:tcPr>
                <w:p w:rsidR="00157A70" w:rsidRDefault="00316F15" w:rsidP="00E25B31">
                  <w:pPr>
                    <w:framePr w:wrap="around" w:vAnchor="text" w:hAnchor="margin"/>
                    <w:spacing w:after="0" w:line="259" w:lineRule="auto"/>
                    <w:ind w:right="0" w:firstLine="0"/>
                    <w:suppressOverlap/>
                    <w:jc w:val="left"/>
                  </w:pPr>
                  <w:proofErr w:type="spellStart"/>
                  <w:r>
                    <w:rPr>
                      <w:i/>
                      <w:sz w:val="16"/>
                    </w:rPr>
                    <w:t>Mdn</w:t>
                  </w:r>
                  <w:proofErr w:type="spellEnd"/>
                </w:p>
              </w:tc>
              <w:tc>
                <w:tcPr>
                  <w:tcW w:w="775" w:type="dxa"/>
                  <w:tcBorders>
                    <w:top w:val="single" w:sz="8" w:space="0" w:color="181717"/>
                    <w:left w:val="nil"/>
                    <w:bottom w:val="single" w:sz="4" w:space="0" w:color="181717"/>
                    <w:right w:val="nil"/>
                  </w:tcBorders>
                </w:tcPr>
                <w:p w:rsidR="00157A70" w:rsidRDefault="00316F15" w:rsidP="00E25B31">
                  <w:pPr>
                    <w:framePr w:wrap="around" w:vAnchor="text" w:hAnchor="margin"/>
                    <w:spacing w:after="0" w:line="259" w:lineRule="auto"/>
                    <w:ind w:left="73" w:right="0" w:firstLine="0"/>
                    <w:suppressOverlap/>
                    <w:jc w:val="left"/>
                  </w:pPr>
                  <w:r>
                    <w:rPr>
                      <w:i/>
                      <w:sz w:val="16"/>
                    </w:rPr>
                    <w:t>M</w:t>
                  </w:r>
                </w:p>
              </w:tc>
              <w:tc>
                <w:tcPr>
                  <w:tcW w:w="775" w:type="dxa"/>
                  <w:tcBorders>
                    <w:top w:val="single" w:sz="8" w:space="0" w:color="181717"/>
                    <w:left w:val="nil"/>
                    <w:bottom w:val="single" w:sz="4" w:space="0" w:color="181717"/>
                    <w:right w:val="nil"/>
                  </w:tcBorders>
                </w:tcPr>
                <w:p w:rsidR="00157A70" w:rsidRDefault="00316F15" w:rsidP="00E25B31">
                  <w:pPr>
                    <w:framePr w:wrap="around" w:vAnchor="text" w:hAnchor="margin"/>
                    <w:spacing w:after="0" w:line="259" w:lineRule="auto"/>
                    <w:ind w:left="42" w:right="0" w:firstLine="0"/>
                    <w:suppressOverlap/>
                    <w:jc w:val="left"/>
                  </w:pPr>
                  <w:r>
                    <w:rPr>
                      <w:i/>
                      <w:sz w:val="16"/>
                    </w:rPr>
                    <w:t>SD</w:t>
                  </w:r>
                </w:p>
              </w:tc>
              <w:tc>
                <w:tcPr>
                  <w:tcW w:w="1384" w:type="dxa"/>
                  <w:tcBorders>
                    <w:top w:val="single" w:sz="8" w:space="0" w:color="181717"/>
                    <w:left w:val="nil"/>
                    <w:bottom w:val="single" w:sz="4" w:space="0" w:color="181717"/>
                    <w:right w:val="nil"/>
                  </w:tcBorders>
                </w:tcPr>
                <w:p w:rsidR="00157A70" w:rsidRDefault="00316F15" w:rsidP="00E25B31">
                  <w:pPr>
                    <w:framePr w:wrap="around" w:vAnchor="text" w:hAnchor="margin"/>
                    <w:spacing w:after="0" w:line="259" w:lineRule="auto"/>
                    <w:ind w:right="0" w:firstLine="0"/>
                    <w:suppressOverlap/>
                    <w:jc w:val="left"/>
                  </w:pPr>
                  <w:r>
                    <w:rPr>
                      <w:sz w:val="16"/>
                    </w:rPr>
                    <w:t xml:space="preserve">Cronbach’s </w:t>
                  </w:r>
                </w:p>
              </w:tc>
              <w:tc>
                <w:tcPr>
                  <w:tcW w:w="712" w:type="dxa"/>
                  <w:tcBorders>
                    <w:top w:val="single" w:sz="8" w:space="0" w:color="181717"/>
                    <w:left w:val="nil"/>
                    <w:bottom w:val="single" w:sz="4" w:space="0" w:color="181717"/>
                    <w:right w:val="nil"/>
                  </w:tcBorders>
                </w:tcPr>
                <w:p w:rsidR="00157A70" w:rsidRDefault="00316F15" w:rsidP="00E25B31">
                  <w:pPr>
                    <w:framePr w:wrap="around" w:vAnchor="text" w:hAnchor="margin"/>
                    <w:spacing w:after="0" w:line="259" w:lineRule="auto"/>
                    <w:ind w:right="0" w:firstLine="0"/>
                    <w:suppressOverlap/>
                  </w:pPr>
                  <w:r>
                    <w:rPr>
                      <w:sz w:val="16"/>
                    </w:rPr>
                    <w:t>Test–retest</w:t>
                  </w:r>
                </w:p>
              </w:tc>
            </w:tr>
            <w:tr w:rsidR="00157A70">
              <w:trPr>
                <w:trHeight w:val="295"/>
              </w:trPr>
              <w:tc>
                <w:tcPr>
                  <w:tcW w:w="2549" w:type="dxa"/>
                  <w:tcBorders>
                    <w:top w:val="single" w:sz="4" w:space="0" w:color="181717"/>
                    <w:left w:val="nil"/>
                    <w:bottom w:val="nil"/>
                    <w:right w:val="nil"/>
                  </w:tcBorders>
                  <w:vAlign w:val="bottom"/>
                </w:tcPr>
                <w:p w:rsidR="00157A70" w:rsidRDefault="00316F15" w:rsidP="00E25B31">
                  <w:pPr>
                    <w:framePr w:wrap="around" w:vAnchor="text" w:hAnchor="margin"/>
                    <w:spacing w:after="0" w:line="259" w:lineRule="auto"/>
                    <w:ind w:right="0" w:firstLine="0"/>
                    <w:suppressOverlap/>
                    <w:jc w:val="left"/>
                  </w:pPr>
                  <w:r>
                    <w:rPr>
                      <w:sz w:val="16"/>
                    </w:rPr>
                    <w:t>Resistance to Framing</w:t>
                  </w:r>
                </w:p>
              </w:tc>
              <w:tc>
                <w:tcPr>
                  <w:tcW w:w="1473" w:type="dxa"/>
                  <w:tcBorders>
                    <w:top w:val="single" w:sz="4" w:space="0" w:color="181717"/>
                    <w:left w:val="nil"/>
                    <w:bottom w:val="nil"/>
                    <w:right w:val="nil"/>
                  </w:tcBorders>
                  <w:vAlign w:val="bottom"/>
                </w:tcPr>
                <w:p w:rsidR="00157A70" w:rsidRDefault="00316F15" w:rsidP="00E25B31">
                  <w:pPr>
                    <w:framePr w:wrap="around" w:vAnchor="text" w:hAnchor="margin"/>
                    <w:spacing w:after="0" w:line="259" w:lineRule="auto"/>
                    <w:ind w:left="315" w:right="0" w:firstLine="0"/>
                    <w:suppressOverlap/>
                    <w:jc w:val="left"/>
                  </w:pPr>
                  <w:r>
                    <w:rPr>
                      <w:sz w:val="16"/>
                    </w:rPr>
                    <w:t>.00–5.00</w:t>
                  </w:r>
                </w:p>
              </w:tc>
              <w:tc>
                <w:tcPr>
                  <w:tcW w:w="1510" w:type="dxa"/>
                  <w:tcBorders>
                    <w:top w:val="single" w:sz="4" w:space="0" w:color="181717"/>
                    <w:left w:val="nil"/>
                    <w:bottom w:val="nil"/>
                    <w:right w:val="nil"/>
                  </w:tcBorders>
                  <w:vAlign w:val="bottom"/>
                </w:tcPr>
                <w:p w:rsidR="00157A70" w:rsidRDefault="00316F15" w:rsidP="00E25B31">
                  <w:pPr>
                    <w:framePr w:wrap="around" w:vAnchor="text" w:hAnchor="margin"/>
                    <w:spacing w:after="0" w:line="259" w:lineRule="auto"/>
                    <w:ind w:left="217" w:right="0" w:firstLine="0"/>
                    <w:suppressOverlap/>
                    <w:jc w:val="left"/>
                  </w:pPr>
                  <w:r>
                    <w:rPr>
                      <w:sz w:val="16"/>
                    </w:rPr>
                    <w:t>1.00–4.92</w:t>
                  </w:r>
                </w:p>
              </w:tc>
              <w:tc>
                <w:tcPr>
                  <w:tcW w:w="782" w:type="dxa"/>
                  <w:tcBorders>
                    <w:top w:val="single" w:sz="4" w:space="0" w:color="181717"/>
                    <w:left w:val="nil"/>
                    <w:bottom w:val="nil"/>
                    <w:right w:val="nil"/>
                  </w:tcBorders>
                  <w:vAlign w:val="bottom"/>
                </w:tcPr>
                <w:p w:rsidR="00157A70" w:rsidRDefault="00316F15" w:rsidP="00E25B31">
                  <w:pPr>
                    <w:framePr w:wrap="around" w:vAnchor="text" w:hAnchor="margin"/>
                    <w:spacing w:after="0" w:line="259" w:lineRule="auto"/>
                    <w:ind w:left="7" w:right="0" w:firstLine="0"/>
                    <w:suppressOverlap/>
                    <w:jc w:val="left"/>
                  </w:pPr>
                  <w:r>
                    <w:rPr>
                      <w:sz w:val="16"/>
                    </w:rPr>
                    <w:t>3.83</w:t>
                  </w:r>
                </w:p>
              </w:tc>
              <w:tc>
                <w:tcPr>
                  <w:tcW w:w="775" w:type="dxa"/>
                  <w:tcBorders>
                    <w:top w:val="single" w:sz="4" w:space="0" w:color="181717"/>
                    <w:left w:val="nil"/>
                    <w:bottom w:val="nil"/>
                    <w:right w:val="nil"/>
                  </w:tcBorders>
                  <w:vAlign w:val="bottom"/>
                </w:tcPr>
                <w:p w:rsidR="00157A70" w:rsidRDefault="00316F15" w:rsidP="00E25B31">
                  <w:pPr>
                    <w:framePr w:wrap="around" w:vAnchor="text" w:hAnchor="margin"/>
                    <w:spacing w:after="0" w:line="259" w:lineRule="auto"/>
                    <w:ind w:right="0" w:firstLine="0"/>
                    <w:suppressOverlap/>
                    <w:jc w:val="left"/>
                  </w:pPr>
                  <w:r>
                    <w:rPr>
                      <w:sz w:val="16"/>
                    </w:rPr>
                    <w:t>3.72</w:t>
                  </w:r>
                </w:p>
              </w:tc>
              <w:tc>
                <w:tcPr>
                  <w:tcW w:w="775" w:type="dxa"/>
                  <w:tcBorders>
                    <w:top w:val="single" w:sz="4" w:space="0" w:color="181717"/>
                    <w:left w:val="nil"/>
                    <w:bottom w:val="nil"/>
                    <w:right w:val="nil"/>
                  </w:tcBorders>
                  <w:vAlign w:val="bottom"/>
                </w:tcPr>
                <w:p w:rsidR="00157A70" w:rsidRDefault="00316F15" w:rsidP="00E25B31">
                  <w:pPr>
                    <w:framePr w:wrap="around" w:vAnchor="text" w:hAnchor="margin"/>
                    <w:spacing w:after="0" w:line="259" w:lineRule="auto"/>
                    <w:ind w:right="0" w:firstLine="0"/>
                    <w:suppressOverlap/>
                    <w:jc w:val="left"/>
                  </w:pPr>
                  <w:r>
                    <w:rPr>
                      <w:sz w:val="16"/>
                    </w:rPr>
                    <w:t>0.61</w:t>
                  </w:r>
                </w:p>
              </w:tc>
              <w:tc>
                <w:tcPr>
                  <w:tcW w:w="1384" w:type="dxa"/>
                  <w:tcBorders>
                    <w:top w:val="single" w:sz="4" w:space="0" w:color="181717"/>
                    <w:left w:val="nil"/>
                    <w:bottom w:val="nil"/>
                    <w:right w:val="nil"/>
                  </w:tcBorders>
                  <w:vAlign w:val="bottom"/>
                </w:tcPr>
                <w:p w:rsidR="00157A70" w:rsidRDefault="00316F15" w:rsidP="00E25B31">
                  <w:pPr>
                    <w:framePr w:wrap="around" w:vAnchor="text" w:hAnchor="margin"/>
                    <w:spacing w:after="0" w:line="259" w:lineRule="auto"/>
                    <w:ind w:left="344" w:right="0" w:firstLine="0"/>
                    <w:suppressOverlap/>
                    <w:jc w:val="left"/>
                  </w:pPr>
                  <w:r>
                    <w:rPr>
                      <w:sz w:val="16"/>
                    </w:rPr>
                    <w:t>.62</w:t>
                  </w:r>
                </w:p>
              </w:tc>
              <w:tc>
                <w:tcPr>
                  <w:tcW w:w="712" w:type="dxa"/>
                  <w:tcBorders>
                    <w:top w:val="single" w:sz="4" w:space="0" w:color="181717"/>
                    <w:left w:val="nil"/>
                    <w:bottom w:val="nil"/>
                    <w:right w:val="nil"/>
                  </w:tcBorders>
                </w:tcPr>
                <w:p w:rsidR="00157A70" w:rsidRDefault="00316F15" w:rsidP="00E25B31">
                  <w:pPr>
                    <w:framePr w:wrap="around" w:vAnchor="text" w:hAnchor="margin"/>
                    <w:spacing w:after="0" w:line="259" w:lineRule="auto"/>
                    <w:ind w:right="0" w:firstLine="0"/>
                    <w:suppressOverlap/>
                    <w:jc w:val="center"/>
                  </w:pPr>
                  <w:r>
                    <w:rPr>
                      <w:sz w:val="16"/>
                    </w:rPr>
                    <w:t>.58</w:t>
                  </w:r>
                  <w:r>
                    <w:rPr>
                      <w:sz w:val="10"/>
                    </w:rPr>
                    <w:t>***</w:t>
                  </w:r>
                </w:p>
              </w:tc>
            </w:tr>
            <w:tr w:rsidR="00157A70">
              <w:trPr>
                <w:trHeight w:val="182"/>
              </w:trPr>
              <w:tc>
                <w:tcPr>
                  <w:tcW w:w="2549"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Recognizing Social Norms</w:t>
                  </w:r>
                </w:p>
              </w:tc>
              <w:tc>
                <w:tcPr>
                  <w:tcW w:w="1473" w:type="dxa"/>
                  <w:tcBorders>
                    <w:top w:val="nil"/>
                    <w:left w:val="nil"/>
                    <w:bottom w:val="nil"/>
                    <w:right w:val="nil"/>
                  </w:tcBorders>
                </w:tcPr>
                <w:p w:rsidR="00157A70" w:rsidRDefault="00316F15" w:rsidP="00E25B31">
                  <w:pPr>
                    <w:framePr w:wrap="around" w:vAnchor="text" w:hAnchor="margin"/>
                    <w:spacing w:after="0" w:line="259" w:lineRule="auto"/>
                    <w:ind w:left="102" w:right="0" w:firstLine="0"/>
                    <w:suppressOverlap/>
                    <w:jc w:val="left"/>
                  </w:pPr>
                  <w:r>
                    <w:rPr>
                      <w:sz w:val="16"/>
                    </w:rPr>
                    <w:t>1.00–1.00</w:t>
                  </w:r>
                </w:p>
              </w:tc>
              <w:tc>
                <w:tcPr>
                  <w:tcW w:w="1510" w:type="dxa"/>
                  <w:tcBorders>
                    <w:top w:val="nil"/>
                    <w:left w:val="nil"/>
                    <w:bottom w:val="nil"/>
                    <w:right w:val="nil"/>
                  </w:tcBorders>
                </w:tcPr>
                <w:p w:rsidR="00157A70" w:rsidRDefault="00316F15" w:rsidP="00E25B31">
                  <w:pPr>
                    <w:framePr w:wrap="around" w:vAnchor="text" w:hAnchor="margin"/>
                    <w:spacing w:after="0" w:line="259" w:lineRule="auto"/>
                    <w:ind w:left="164" w:right="0" w:firstLine="0"/>
                    <w:suppressOverlap/>
                    <w:jc w:val="left"/>
                  </w:pPr>
                  <w:r>
                    <w:rPr>
                      <w:sz w:val="16"/>
                    </w:rPr>
                    <w:t>.59–.84</w:t>
                  </w:r>
                </w:p>
              </w:tc>
              <w:tc>
                <w:tcPr>
                  <w:tcW w:w="782" w:type="dxa"/>
                  <w:tcBorders>
                    <w:top w:val="nil"/>
                    <w:left w:val="nil"/>
                    <w:bottom w:val="nil"/>
                    <w:right w:val="nil"/>
                  </w:tcBorders>
                </w:tcPr>
                <w:p w:rsidR="00157A70" w:rsidRDefault="00316F15" w:rsidP="00E25B31">
                  <w:pPr>
                    <w:framePr w:wrap="around" w:vAnchor="text" w:hAnchor="margin"/>
                    <w:spacing w:after="0" w:line="259" w:lineRule="auto"/>
                    <w:ind w:left="7" w:right="0" w:firstLine="0"/>
                    <w:suppressOverlap/>
                    <w:jc w:val="left"/>
                  </w:pPr>
                  <w:r>
                    <w:rPr>
                      <w:sz w:val="16"/>
                    </w:rPr>
                    <w:t>0.34</w:t>
                  </w:r>
                </w:p>
              </w:tc>
              <w:tc>
                <w:tcPr>
                  <w:tcW w:w="775"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0.33</w:t>
                  </w:r>
                </w:p>
              </w:tc>
              <w:tc>
                <w:tcPr>
                  <w:tcW w:w="775"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0.26</w:t>
                  </w:r>
                </w:p>
              </w:tc>
              <w:tc>
                <w:tcPr>
                  <w:tcW w:w="1384" w:type="dxa"/>
                  <w:tcBorders>
                    <w:top w:val="nil"/>
                    <w:left w:val="nil"/>
                    <w:bottom w:val="nil"/>
                    <w:right w:val="nil"/>
                  </w:tcBorders>
                </w:tcPr>
                <w:p w:rsidR="00157A70" w:rsidRDefault="00316F15" w:rsidP="00E25B31">
                  <w:pPr>
                    <w:framePr w:wrap="around" w:vAnchor="text" w:hAnchor="margin"/>
                    <w:spacing w:after="0" w:line="259" w:lineRule="auto"/>
                    <w:ind w:left="344" w:right="0" w:firstLine="0"/>
                    <w:suppressOverlap/>
                    <w:jc w:val="left"/>
                  </w:pPr>
                  <w:r>
                    <w:rPr>
                      <w:sz w:val="16"/>
                    </w:rPr>
                    <w:t>.64</w:t>
                  </w:r>
                </w:p>
              </w:tc>
              <w:tc>
                <w:tcPr>
                  <w:tcW w:w="712"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center"/>
                  </w:pPr>
                  <w:r>
                    <w:rPr>
                      <w:sz w:val="16"/>
                    </w:rPr>
                    <w:t>.46</w:t>
                  </w:r>
                  <w:r>
                    <w:rPr>
                      <w:sz w:val="10"/>
                    </w:rPr>
                    <w:t>***</w:t>
                  </w:r>
                </w:p>
              </w:tc>
            </w:tr>
            <w:tr w:rsidR="00157A70">
              <w:trPr>
                <w:trHeight w:val="178"/>
              </w:trPr>
              <w:tc>
                <w:tcPr>
                  <w:tcW w:w="2549"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Under/overconfidence</w:t>
                  </w:r>
                </w:p>
              </w:tc>
              <w:tc>
                <w:tcPr>
                  <w:tcW w:w="1473" w:type="dxa"/>
                  <w:tcBorders>
                    <w:top w:val="nil"/>
                    <w:left w:val="nil"/>
                    <w:bottom w:val="nil"/>
                    <w:right w:val="nil"/>
                  </w:tcBorders>
                </w:tcPr>
                <w:p w:rsidR="00157A70" w:rsidRDefault="00316F15" w:rsidP="00E25B31">
                  <w:pPr>
                    <w:framePr w:wrap="around" w:vAnchor="text" w:hAnchor="margin"/>
                    <w:spacing w:after="0" w:line="259" w:lineRule="auto"/>
                    <w:ind w:left="315" w:right="0" w:firstLine="0"/>
                    <w:suppressOverlap/>
                    <w:jc w:val="left"/>
                  </w:pPr>
                  <w:r>
                    <w:rPr>
                      <w:sz w:val="16"/>
                    </w:rPr>
                    <w:t>.00–1.00</w:t>
                  </w:r>
                </w:p>
              </w:tc>
              <w:tc>
                <w:tcPr>
                  <w:tcW w:w="1510" w:type="dxa"/>
                  <w:tcBorders>
                    <w:top w:val="nil"/>
                    <w:left w:val="nil"/>
                    <w:bottom w:val="nil"/>
                    <w:right w:val="nil"/>
                  </w:tcBorders>
                </w:tcPr>
                <w:p w:rsidR="00157A70" w:rsidRDefault="00316F15" w:rsidP="00E25B31">
                  <w:pPr>
                    <w:framePr w:wrap="around" w:vAnchor="text" w:hAnchor="margin"/>
                    <w:spacing w:after="0" w:line="259" w:lineRule="auto"/>
                    <w:ind w:left="297" w:right="0" w:firstLine="0"/>
                    <w:suppressOverlap/>
                    <w:jc w:val="left"/>
                  </w:pPr>
                  <w:r>
                    <w:rPr>
                      <w:sz w:val="16"/>
                    </w:rPr>
                    <w:t>.50–1.00</w:t>
                  </w:r>
                </w:p>
              </w:tc>
              <w:tc>
                <w:tcPr>
                  <w:tcW w:w="782" w:type="dxa"/>
                  <w:tcBorders>
                    <w:top w:val="nil"/>
                    <w:left w:val="nil"/>
                    <w:bottom w:val="nil"/>
                    <w:right w:val="nil"/>
                  </w:tcBorders>
                </w:tcPr>
                <w:p w:rsidR="00157A70" w:rsidRDefault="00316F15" w:rsidP="00E25B31">
                  <w:pPr>
                    <w:framePr w:wrap="around" w:vAnchor="text" w:hAnchor="margin"/>
                    <w:spacing w:after="0" w:line="259" w:lineRule="auto"/>
                    <w:ind w:left="7" w:right="0" w:firstLine="0"/>
                    <w:suppressOverlap/>
                    <w:jc w:val="left"/>
                  </w:pPr>
                  <w:r>
                    <w:rPr>
                      <w:sz w:val="16"/>
                    </w:rPr>
                    <w:t>0.93</w:t>
                  </w:r>
                </w:p>
              </w:tc>
              <w:tc>
                <w:tcPr>
                  <w:tcW w:w="775"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0.91</w:t>
                  </w:r>
                </w:p>
              </w:tc>
              <w:tc>
                <w:tcPr>
                  <w:tcW w:w="775"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0.08</w:t>
                  </w:r>
                </w:p>
              </w:tc>
              <w:tc>
                <w:tcPr>
                  <w:tcW w:w="1384" w:type="dxa"/>
                  <w:tcBorders>
                    <w:top w:val="nil"/>
                    <w:left w:val="nil"/>
                    <w:bottom w:val="nil"/>
                    <w:right w:val="nil"/>
                  </w:tcBorders>
                </w:tcPr>
                <w:p w:rsidR="00157A70" w:rsidRDefault="00316F15" w:rsidP="00E25B31">
                  <w:pPr>
                    <w:framePr w:wrap="around" w:vAnchor="text" w:hAnchor="margin"/>
                    <w:spacing w:after="0" w:line="259" w:lineRule="auto"/>
                    <w:ind w:left="344" w:right="0" w:firstLine="0"/>
                    <w:suppressOverlap/>
                    <w:jc w:val="left"/>
                  </w:pPr>
                  <w:r>
                    <w:rPr>
                      <w:sz w:val="16"/>
                    </w:rPr>
                    <w:t>.77</w:t>
                  </w:r>
                </w:p>
              </w:tc>
              <w:tc>
                <w:tcPr>
                  <w:tcW w:w="712"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center"/>
                  </w:pPr>
                  <w:r>
                    <w:rPr>
                      <w:sz w:val="16"/>
                    </w:rPr>
                    <w:t>.47</w:t>
                  </w:r>
                  <w:r>
                    <w:rPr>
                      <w:sz w:val="10"/>
                    </w:rPr>
                    <w:t>***</w:t>
                  </w:r>
                </w:p>
              </w:tc>
            </w:tr>
            <w:tr w:rsidR="00157A70">
              <w:trPr>
                <w:trHeight w:val="180"/>
              </w:trPr>
              <w:tc>
                <w:tcPr>
                  <w:tcW w:w="2549"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Applying Decision Rules</w:t>
                  </w:r>
                </w:p>
              </w:tc>
              <w:tc>
                <w:tcPr>
                  <w:tcW w:w="1473" w:type="dxa"/>
                  <w:tcBorders>
                    <w:top w:val="nil"/>
                    <w:left w:val="nil"/>
                    <w:bottom w:val="nil"/>
                    <w:right w:val="nil"/>
                  </w:tcBorders>
                </w:tcPr>
                <w:p w:rsidR="00157A70" w:rsidRDefault="00316F15" w:rsidP="00E25B31">
                  <w:pPr>
                    <w:framePr w:wrap="around" w:vAnchor="text" w:hAnchor="margin"/>
                    <w:spacing w:after="0" w:line="259" w:lineRule="auto"/>
                    <w:ind w:left="315" w:right="0" w:firstLine="0"/>
                    <w:suppressOverlap/>
                    <w:jc w:val="left"/>
                  </w:pPr>
                  <w:r>
                    <w:rPr>
                      <w:sz w:val="16"/>
                    </w:rPr>
                    <w:t>.00–1.00</w:t>
                  </w:r>
                </w:p>
              </w:tc>
              <w:tc>
                <w:tcPr>
                  <w:tcW w:w="1510" w:type="dxa"/>
                  <w:tcBorders>
                    <w:top w:val="nil"/>
                    <w:left w:val="nil"/>
                    <w:bottom w:val="nil"/>
                    <w:right w:val="nil"/>
                  </w:tcBorders>
                </w:tcPr>
                <w:p w:rsidR="00157A70" w:rsidRDefault="00316F15" w:rsidP="00E25B31">
                  <w:pPr>
                    <w:framePr w:wrap="around" w:vAnchor="text" w:hAnchor="margin"/>
                    <w:spacing w:after="0" w:line="259" w:lineRule="auto"/>
                    <w:ind w:left="217" w:right="0" w:firstLine="0"/>
                    <w:suppressOverlap/>
                    <w:jc w:val="left"/>
                  </w:pPr>
                  <w:r>
                    <w:rPr>
                      <w:sz w:val="16"/>
                    </w:rPr>
                    <w:t>0.00–1.00</w:t>
                  </w:r>
                </w:p>
              </w:tc>
              <w:tc>
                <w:tcPr>
                  <w:tcW w:w="782" w:type="dxa"/>
                  <w:tcBorders>
                    <w:top w:val="nil"/>
                    <w:left w:val="nil"/>
                    <w:bottom w:val="nil"/>
                    <w:right w:val="nil"/>
                  </w:tcBorders>
                </w:tcPr>
                <w:p w:rsidR="00157A70" w:rsidRDefault="00316F15" w:rsidP="00E25B31">
                  <w:pPr>
                    <w:framePr w:wrap="around" w:vAnchor="text" w:hAnchor="margin"/>
                    <w:spacing w:after="0" w:line="259" w:lineRule="auto"/>
                    <w:ind w:left="7" w:right="0" w:firstLine="0"/>
                    <w:suppressOverlap/>
                    <w:jc w:val="left"/>
                  </w:pPr>
                  <w:r>
                    <w:rPr>
                      <w:sz w:val="16"/>
                    </w:rPr>
                    <w:t>0.44</w:t>
                  </w:r>
                </w:p>
              </w:tc>
              <w:tc>
                <w:tcPr>
                  <w:tcW w:w="775"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0.44</w:t>
                  </w:r>
                </w:p>
              </w:tc>
              <w:tc>
                <w:tcPr>
                  <w:tcW w:w="775"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0.24</w:t>
                  </w:r>
                </w:p>
              </w:tc>
              <w:tc>
                <w:tcPr>
                  <w:tcW w:w="1384" w:type="dxa"/>
                  <w:tcBorders>
                    <w:top w:val="nil"/>
                    <w:left w:val="nil"/>
                    <w:bottom w:val="nil"/>
                    <w:right w:val="nil"/>
                  </w:tcBorders>
                </w:tcPr>
                <w:p w:rsidR="00157A70" w:rsidRDefault="00316F15" w:rsidP="00E25B31">
                  <w:pPr>
                    <w:framePr w:wrap="around" w:vAnchor="text" w:hAnchor="margin"/>
                    <w:spacing w:after="0" w:line="259" w:lineRule="auto"/>
                    <w:ind w:left="344" w:right="0" w:firstLine="0"/>
                    <w:suppressOverlap/>
                    <w:jc w:val="left"/>
                  </w:pPr>
                  <w:r>
                    <w:rPr>
                      <w:sz w:val="16"/>
                    </w:rPr>
                    <w:t>.73</w:t>
                  </w:r>
                </w:p>
              </w:tc>
              <w:tc>
                <w:tcPr>
                  <w:tcW w:w="712"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center"/>
                  </w:pPr>
                  <w:r>
                    <w:rPr>
                      <w:sz w:val="16"/>
                    </w:rPr>
                    <w:t>.77</w:t>
                  </w:r>
                  <w:r>
                    <w:rPr>
                      <w:sz w:val="10"/>
                    </w:rPr>
                    <w:t>***</w:t>
                  </w:r>
                </w:p>
              </w:tc>
            </w:tr>
            <w:tr w:rsidR="00157A70">
              <w:trPr>
                <w:trHeight w:val="180"/>
              </w:trPr>
              <w:tc>
                <w:tcPr>
                  <w:tcW w:w="2549"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Consistency in Risk Perception</w:t>
                  </w:r>
                </w:p>
              </w:tc>
              <w:tc>
                <w:tcPr>
                  <w:tcW w:w="1473" w:type="dxa"/>
                  <w:tcBorders>
                    <w:top w:val="nil"/>
                    <w:left w:val="nil"/>
                    <w:bottom w:val="nil"/>
                    <w:right w:val="nil"/>
                  </w:tcBorders>
                </w:tcPr>
                <w:p w:rsidR="00157A70" w:rsidRDefault="00316F15" w:rsidP="00E25B31">
                  <w:pPr>
                    <w:framePr w:wrap="around" w:vAnchor="text" w:hAnchor="margin"/>
                    <w:spacing w:after="0" w:line="259" w:lineRule="auto"/>
                    <w:ind w:left="315" w:right="0" w:firstLine="0"/>
                    <w:suppressOverlap/>
                    <w:jc w:val="left"/>
                  </w:pPr>
                  <w:r>
                    <w:rPr>
                      <w:sz w:val="16"/>
                    </w:rPr>
                    <w:t>.00–1.00</w:t>
                  </w:r>
                </w:p>
              </w:tc>
              <w:tc>
                <w:tcPr>
                  <w:tcW w:w="1510" w:type="dxa"/>
                  <w:tcBorders>
                    <w:top w:val="nil"/>
                    <w:left w:val="nil"/>
                    <w:bottom w:val="nil"/>
                    <w:right w:val="nil"/>
                  </w:tcBorders>
                </w:tcPr>
                <w:p w:rsidR="00157A70" w:rsidRDefault="00316F15" w:rsidP="00E25B31">
                  <w:pPr>
                    <w:framePr w:wrap="around" w:vAnchor="text" w:hAnchor="margin"/>
                    <w:spacing w:after="0" w:line="259" w:lineRule="auto"/>
                    <w:ind w:left="297" w:right="0" w:firstLine="0"/>
                    <w:suppressOverlap/>
                    <w:jc w:val="left"/>
                  </w:pPr>
                  <w:r>
                    <w:rPr>
                      <w:sz w:val="16"/>
                    </w:rPr>
                    <w:t>.20–1.00</w:t>
                  </w:r>
                </w:p>
              </w:tc>
              <w:tc>
                <w:tcPr>
                  <w:tcW w:w="782" w:type="dxa"/>
                  <w:tcBorders>
                    <w:top w:val="nil"/>
                    <w:left w:val="nil"/>
                    <w:bottom w:val="nil"/>
                    <w:right w:val="nil"/>
                  </w:tcBorders>
                </w:tcPr>
                <w:p w:rsidR="00157A70" w:rsidRDefault="00316F15" w:rsidP="00E25B31">
                  <w:pPr>
                    <w:framePr w:wrap="around" w:vAnchor="text" w:hAnchor="margin"/>
                    <w:spacing w:after="0" w:line="259" w:lineRule="auto"/>
                    <w:ind w:left="7" w:right="0" w:firstLine="0"/>
                    <w:suppressOverlap/>
                    <w:jc w:val="left"/>
                  </w:pPr>
                  <w:r>
                    <w:rPr>
                      <w:sz w:val="16"/>
                    </w:rPr>
                    <w:t>0.70</w:t>
                  </w:r>
                </w:p>
              </w:tc>
              <w:tc>
                <w:tcPr>
                  <w:tcW w:w="775"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0.70</w:t>
                  </w:r>
                </w:p>
              </w:tc>
              <w:tc>
                <w:tcPr>
                  <w:tcW w:w="775"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0.16</w:t>
                  </w:r>
                </w:p>
              </w:tc>
              <w:tc>
                <w:tcPr>
                  <w:tcW w:w="1384" w:type="dxa"/>
                  <w:tcBorders>
                    <w:top w:val="nil"/>
                    <w:left w:val="nil"/>
                    <w:bottom w:val="nil"/>
                    <w:right w:val="nil"/>
                  </w:tcBorders>
                </w:tcPr>
                <w:p w:rsidR="00157A70" w:rsidRDefault="00316F15" w:rsidP="00E25B31">
                  <w:pPr>
                    <w:framePr w:wrap="around" w:vAnchor="text" w:hAnchor="margin"/>
                    <w:spacing w:after="0" w:line="259" w:lineRule="auto"/>
                    <w:ind w:left="344" w:right="0" w:firstLine="0"/>
                    <w:suppressOverlap/>
                    <w:jc w:val="left"/>
                  </w:pPr>
                  <w:r>
                    <w:rPr>
                      <w:sz w:val="16"/>
                    </w:rPr>
                    <w:t>.72</w:t>
                  </w:r>
                </w:p>
              </w:tc>
              <w:tc>
                <w:tcPr>
                  <w:tcW w:w="712"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center"/>
                  </w:pPr>
                  <w:r>
                    <w:rPr>
                      <w:sz w:val="16"/>
                    </w:rPr>
                    <w:t>.51</w:t>
                  </w:r>
                  <w:r>
                    <w:rPr>
                      <w:sz w:val="10"/>
                    </w:rPr>
                    <w:t>***</w:t>
                  </w:r>
                </w:p>
              </w:tc>
            </w:tr>
            <w:tr w:rsidR="00157A70">
              <w:trPr>
                <w:trHeight w:val="180"/>
              </w:trPr>
              <w:tc>
                <w:tcPr>
                  <w:tcW w:w="2549"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Resistance to Sunk Costs</w:t>
                  </w:r>
                </w:p>
              </w:tc>
              <w:tc>
                <w:tcPr>
                  <w:tcW w:w="1473" w:type="dxa"/>
                  <w:tcBorders>
                    <w:top w:val="nil"/>
                    <w:left w:val="nil"/>
                    <w:bottom w:val="nil"/>
                    <w:right w:val="nil"/>
                  </w:tcBorders>
                </w:tcPr>
                <w:p w:rsidR="00157A70" w:rsidRDefault="00316F15" w:rsidP="00E25B31">
                  <w:pPr>
                    <w:framePr w:wrap="around" w:vAnchor="text" w:hAnchor="margin"/>
                    <w:spacing w:after="0" w:line="259" w:lineRule="auto"/>
                    <w:ind w:left="235" w:right="0" w:firstLine="0"/>
                    <w:suppressOverlap/>
                    <w:jc w:val="left"/>
                  </w:pPr>
                  <w:r>
                    <w:rPr>
                      <w:sz w:val="16"/>
                    </w:rPr>
                    <w:t>1.00–6.00</w:t>
                  </w:r>
                </w:p>
              </w:tc>
              <w:tc>
                <w:tcPr>
                  <w:tcW w:w="1510" w:type="dxa"/>
                  <w:tcBorders>
                    <w:top w:val="nil"/>
                    <w:left w:val="nil"/>
                    <w:bottom w:val="nil"/>
                    <w:right w:val="nil"/>
                  </w:tcBorders>
                </w:tcPr>
                <w:p w:rsidR="00157A70" w:rsidRDefault="00316F15" w:rsidP="00E25B31">
                  <w:pPr>
                    <w:framePr w:wrap="around" w:vAnchor="text" w:hAnchor="margin"/>
                    <w:spacing w:after="0" w:line="259" w:lineRule="auto"/>
                    <w:ind w:left="217" w:right="0" w:firstLine="0"/>
                    <w:suppressOverlap/>
                    <w:jc w:val="left"/>
                  </w:pPr>
                  <w:r>
                    <w:rPr>
                      <w:sz w:val="16"/>
                    </w:rPr>
                    <w:t>1.00–6.00</w:t>
                  </w:r>
                </w:p>
              </w:tc>
              <w:tc>
                <w:tcPr>
                  <w:tcW w:w="782" w:type="dxa"/>
                  <w:tcBorders>
                    <w:top w:val="nil"/>
                    <w:left w:val="nil"/>
                    <w:bottom w:val="nil"/>
                    <w:right w:val="nil"/>
                  </w:tcBorders>
                </w:tcPr>
                <w:p w:rsidR="00157A70" w:rsidRDefault="00316F15" w:rsidP="00E25B31">
                  <w:pPr>
                    <w:framePr w:wrap="around" w:vAnchor="text" w:hAnchor="margin"/>
                    <w:spacing w:after="0" w:line="259" w:lineRule="auto"/>
                    <w:ind w:left="7" w:right="0" w:firstLine="0"/>
                    <w:suppressOverlap/>
                    <w:jc w:val="left"/>
                  </w:pPr>
                  <w:r>
                    <w:rPr>
                      <w:sz w:val="16"/>
                    </w:rPr>
                    <w:t>4.50</w:t>
                  </w:r>
                </w:p>
              </w:tc>
              <w:tc>
                <w:tcPr>
                  <w:tcW w:w="775"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4.40</w:t>
                  </w:r>
                </w:p>
              </w:tc>
              <w:tc>
                <w:tcPr>
                  <w:tcW w:w="775"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0.77</w:t>
                  </w:r>
                </w:p>
              </w:tc>
              <w:tc>
                <w:tcPr>
                  <w:tcW w:w="1384" w:type="dxa"/>
                  <w:tcBorders>
                    <w:top w:val="nil"/>
                    <w:left w:val="nil"/>
                    <w:bottom w:val="nil"/>
                    <w:right w:val="nil"/>
                  </w:tcBorders>
                </w:tcPr>
                <w:p w:rsidR="00157A70" w:rsidRDefault="00316F15" w:rsidP="00E25B31">
                  <w:pPr>
                    <w:framePr w:wrap="around" w:vAnchor="text" w:hAnchor="margin"/>
                    <w:spacing w:after="0" w:line="259" w:lineRule="auto"/>
                    <w:ind w:left="344" w:right="0" w:firstLine="0"/>
                    <w:suppressOverlap/>
                    <w:jc w:val="left"/>
                  </w:pPr>
                  <w:r>
                    <w:rPr>
                      <w:sz w:val="16"/>
                    </w:rPr>
                    <w:t>.54</w:t>
                  </w:r>
                </w:p>
              </w:tc>
              <w:tc>
                <w:tcPr>
                  <w:tcW w:w="712"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center"/>
                  </w:pPr>
                  <w:r>
                    <w:rPr>
                      <w:sz w:val="16"/>
                    </w:rPr>
                    <w:t>.61</w:t>
                  </w:r>
                  <w:r>
                    <w:rPr>
                      <w:sz w:val="10"/>
                    </w:rPr>
                    <w:t>***</w:t>
                  </w:r>
                </w:p>
              </w:tc>
            </w:tr>
            <w:tr w:rsidR="00157A70">
              <w:trPr>
                <w:trHeight w:val="235"/>
              </w:trPr>
              <w:tc>
                <w:tcPr>
                  <w:tcW w:w="2549" w:type="dxa"/>
                  <w:tcBorders>
                    <w:top w:val="nil"/>
                    <w:left w:val="nil"/>
                    <w:bottom w:val="single" w:sz="4" w:space="0" w:color="181717"/>
                    <w:right w:val="nil"/>
                  </w:tcBorders>
                </w:tcPr>
                <w:p w:rsidR="00157A70" w:rsidRDefault="00316F15" w:rsidP="00E25B31">
                  <w:pPr>
                    <w:framePr w:wrap="around" w:vAnchor="text" w:hAnchor="margin"/>
                    <w:spacing w:after="0" w:line="259" w:lineRule="auto"/>
                    <w:ind w:right="0" w:firstLine="0"/>
                    <w:suppressOverlap/>
                    <w:jc w:val="left"/>
                  </w:pPr>
                  <w:r>
                    <w:rPr>
                      <w:sz w:val="16"/>
                    </w:rPr>
                    <w:t>Path Independence</w:t>
                  </w:r>
                </w:p>
              </w:tc>
              <w:tc>
                <w:tcPr>
                  <w:tcW w:w="1473" w:type="dxa"/>
                  <w:tcBorders>
                    <w:top w:val="nil"/>
                    <w:left w:val="nil"/>
                    <w:bottom w:val="single" w:sz="4" w:space="0" w:color="181717"/>
                    <w:right w:val="nil"/>
                  </w:tcBorders>
                </w:tcPr>
                <w:p w:rsidR="00157A70" w:rsidRDefault="00316F15" w:rsidP="00E25B31">
                  <w:pPr>
                    <w:framePr w:wrap="around" w:vAnchor="text" w:hAnchor="margin"/>
                    <w:spacing w:after="0" w:line="259" w:lineRule="auto"/>
                    <w:ind w:left="315" w:right="0" w:firstLine="0"/>
                    <w:suppressOverlap/>
                    <w:jc w:val="left"/>
                  </w:pPr>
                  <w:r>
                    <w:rPr>
                      <w:sz w:val="16"/>
                    </w:rPr>
                    <w:t>.00–1.00</w:t>
                  </w:r>
                </w:p>
              </w:tc>
              <w:tc>
                <w:tcPr>
                  <w:tcW w:w="1510" w:type="dxa"/>
                  <w:tcBorders>
                    <w:top w:val="nil"/>
                    <w:left w:val="nil"/>
                    <w:bottom w:val="single" w:sz="4" w:space="0" w:color="181717"/>
                    <w:right w:val="nil"/>
                  </w:tcBorders>
                </w:tcPr>
                <w:p w:rsidR="00157A70" w:rsidRDefault="00316F15" w:rsidP="00E25B31">
                  <w:pPr>
                    <w:framePr w:wrap="around" w:vAnchor="text" w:hAnchor="margin"/>
                    <w:spacing w:after="0" w:line="259" w:lineRule="auto"/>
                    <w:ind w:left="297" w:right="0" w:firstLine="0"/>
                    <w:suppressOverlap/>
                    <w:jc w:val="left"/>
                  </w:pPr>
                  <w:r>
                    <w:rPr>
                      <w:sz w:val="16"/>
                    </w:rPr>
                    <w:t>.00–1.00</w:t>
                  </w:r>
                </w:p>
              </w:tc>
              <w:tc>
                <w:tcPr>
                  <w:tcW w:w="782" w:type="dxa"/>
                  <w:tcBorders>
                    <w:top w:val="nil"/>
                    <w:left w:val="nil"/>
                    <w:bottom w:val="single" w:sz="4" w:space="0" w:color="181717"/>
                    <w:right w:val="nil"/>
                  </w:tcBorders>
                </w:tcPr>
                <w:p w:rsidR="00157A70" w:rsidRDefault="00316F15" w:rsidP="00E25B31">
                  <w:pPr>
                    <w:framePr w:wrap="around" w:vAnchor="text" w:hAnchor="margin"/>
                    <w:spacing w:after="0" w:line="259" w:lineRule="auto"/>
                    <w:ind w:left="7" w:right="0" w:firstLine="0"/>
                    <w:suppressOverlap/>
                    <w:jc w:val="left"/>
                  </w:pPr>
                  <w:r>
                    <w:rPr>
                      <w:sz w:val="16"/>
                    </w:rPr>
                    <w:t>0.67</w:t>
                  </w:r>
                </w:p>
              </w:tc>
              <w:tc>
                <w:tcPr>
                  <w:tcW w:w="775" w:type="dxa"/>
                  <w:tcBorders>
                    <w:top w:val="nil"/>
                    <w:left w:val="nil"/>
                    <w:bottom w:val="single" w:sz="4" w:space="0" w:color="181717"/>
                    <w:right w:val="nil"/>
                  </w:tcBorders>
                </w:tcPr>
                <w:p w:rsidR="00157A70" w:rsidRDefault="00316F15" w:rsidP="00E25B31">
                  <w:pPr>
                    <w:framePr w:wrap="around" w:vAnchor="text" w:hAnchor="margin"/>
                    <w:spacing w:after="0" w:line="259" w:lineRule="auto"/>
                    <w:ind w:right="0" w:firstLine="0"/>
                    <w:suppressOverlap/>
                    <w:jc w:val="left"/>
                  </w:pPr>
                  <w:r>
                    <w:rPr>
                      <w:sz w:val="16"/>
                    </w:rPr>
                    <w:t>0.67</w:t>
                  </w:r>
                </w:p>
              </w:tc>
              <w:tc>
                <w:tcPr>
                  <w:tcW w:w="775" w:type="dxa"/>
                  <w:tcBorders>
                    <w:top w:val="nil"/>
                    <w:left w:val="nil"/>
                    <w:bottom w:val="single" w:sz="4" w:space="0" w:color="181717"/>
                    <w:right w:val="nil"/>
                  </w:tcBorders>
                </w:tcPr>
                <w:p w:rsidR="00157A70" w:rsidRDefault="00316F15" w:rsidP="00E25B31">
                  <w:pPr>
                    <w:framePr w:wrap="around" w:vAnchor="text" w:hAnchor="margin"/>
                    <w:spacing w:after="0" w:line="259" w:lineRule="auto"/>
                    <w:ind w:right="0" w:firstLine="0"/>
                    <w:suppressOverlap/>
                    <w:jc w:val="left"/>
                  </w:pPr>
                  <w:r>
                    <w:rPr>
                      <w:sz w:val="16"/>
                    </w:rPr>
                    <w:t>0.25</w:t>
                  </w:r>
                </w:p>
              </w:tc>
              <w:tc>
                <w:tcPr>
                  <w:tcW w:w="1384" w:type="dxa"/>
                  <w:tcBorders>
                    <w:top w:val="nil"/>
                    <w:left w:val="nil"/>
                    <w:bottom w:val="single" w:sz="4" w:space="0" w:color="181717"/>
                    <w:right w:val="nil"/>
                  </w:tcBorders>
                </w:tcPr>
                <w:p w:rsidR="00157A70" w:rsidRDefault="00316F15" w:rsidP="00E25B31">
                  <w:pPr>
                    <w:framePr w:wrap="around" w:vAnchor="text" w:hAnchor="margin"/>
                    <w:spacing w:after="0" w:line="259" w:lineRule="auto"/>
                    <w:ind w:left="344" w:right="0" w:firstLine="0"/>
                    <w:suppressOverlap/>
                    <w:jc w:val="left"/>
                  </w:pPr>
                  <w:r>
                    <w:rPr>
                      <w:sz w:val="16"/>
                    </w:rPr>
                    <w:t>.75</w:t>
                  </w:r>
                </w:p>
              </w:tc>
              <w:tc>
                <w:tcPr>
                  <w:tcW w:w="712" w:type="dxa"/>
                  <w:tcBorders>
                    <w:top w:val="nil"/>
                    <w:left w:val="nil"/>
                    <w:bottom w:val="single" w:sz="4" w:space="0" w:color="181717"/>
                    <w:right w:val="nil"/>
                  </w:tcBorders>
                </w:tcPr>
                <w:p w:rsidR="00157A70" w:rsidRDefault="00316F15" w:rsidP="00E25B31">
                  <w:pPr>
                    <w:framePr w:wrap="around" w:vAnchor="text" w:hAnchor="margin"/>
                    <w:spacing w:after="0" w:line="259" w:lineRule="auto"/>
                    <w:ind w:right="0" w:firstLine="0"/>
                    <w:suppressOverlap/>
                    <w:jc w:val="center"/>
                  </w:pPr>
                  <w:r>
                    <w:rPr>
                      <w:sz w:val="16"/>
                    </w:rPr>
                    <w:t>.28</w:t>
                  </w:r>
                  <w:r>
                    <w:rPr>
                      <w:sz w:val="10"/>
                    </w:rPr>
                    <w:t>***</w:t>
                  </w:r>
                </w:p>
              </w:tc>
            </w:tr>
          </w:tbl>
          <w:p w:rsidR="00157A70" w:rsidRDefault="00316F15">
            <w:pPr>
              <w:tabs>
                <w:tab w:val="center" w:pos="4614"/>
              </w:tabs>
              <w:spacing w:after="0" w:line="259" w:lineRule="auto"/>
              <w:ind w:right="0" w:firstLine="0"/>
              <w:jc w:val="left"/>
            </w:pPr>
            <w:r>
              <w:rPr>
                <w:i/>
                <w:sz w:val="16"/>
              </w:rPr>
              <w:t>Note.</w:t>
            </w:r>
            <w:r>
              <w:rPr>
                <w:i/>
                <w:sz w:val="16"/>
              </w:rPr>
              <w:tab/>
            </w:r>
            <w:r>
              <w:rPr>
                <w:sz w:val="16"/>
              </w:rPr>
              <w:t>All Adult Decision-Making Competence (A-DMC) components are scored so that higher numbers reflect better performance.</w:t>
            </w:r>
          </w:p>
        </w:tc>
      </w:tr>
    </w:tbl>
    <w:p w:rsidR="00157A70" w:rsidRDefault="00316F15">
      <w:pPr>
        <w:spacing w:after="476" w:line="278" w:lineRule="auto"/>
        <w:ind w:left="-15" w:right="0" w:firstLine="0"/>
      </w:pPr>
      <w:r>
        <w:rPr>
          <w:sz w:val="16"/>
          <w:vertAlign w:val="superscript"/>
        </w:rPr>
        <w:t xml:space="preserve">*** </w:t>
      </w:r>
      <w:proofErr w:type="gramStart"/>
      <w:r>
        <w:rPr>
          <w:i/>
          <w:sz w:val="16"/>
        </w:rPr>
        <w:t xml:space="preserve">p </w:t>
      </w:r>
      <w:r>
        <w:rPr>
          <w:rFonts w:ascii="Calibri" w:eastAsia="Calibri" w:hAnsi="Calibri" w:cs="Calibri"/>
          <w:sz w:val="16"/>
        </w:rPr>
        <w:t xml:space="preserve"> </w:t>
      </w:r>
      <w:r>
        <w:rPr>
          <w:sz w:val="16"/>
        </w:rPr>
        <w:t>.</w:t>
      </w:r>
      <w:proofErr w:type="gramEnd"/>
      <w:r>
        <w:rPr>
          <w:sz w:val="16"/>
        </w:rPr>
        <w:t>001, two-sided.</w:t>
      </w:r>
    </w:p>
    <w:p w:rsidR="00157A70" w:rsidRDefault="00316F15">
      <w:pPr>
        <w:pStyle w:val="1"/>
      </w:pPr>
      <w:r>
        <w:t>Results</w:t>
      </w:r>
    </w:p>
    <w:p w:rsidR="00157A70" w:rsidRDefault="00316F15">
      <w:pPr>
        <w:pStyle w:val="2"/>
        <w:ind w:left="-5"/>
      </w:pPr>
      <w:r>
        <w:t>Aim 1: Assess the Reliability of the A-DMC’s Component Measures</w:t>
      </w:r>
    </w:p>
    <w:p w:rsidR="00157A70" w:rsidRDefault="00316F15">
      <w:pPr>
        <w:ind w:left="-15" w:right="0"/>
      </w:pPr>
      <w:r>
        <w:rPr>
          <w:i/>
        </w:rPr>
        <w:t xml:space="preserve">Aim 1a: Internal consistency. </w:t>
      </w:r>
      <w:r>
        <w:t>Table 2 shows descriptive statistics for the seven A-DMC component measures, with higher scores on each representing better performance. Because a typo changed the intended meaning of one Resistance to Framing item, scores for that task reflect only 13 items. Skipped items are treated as missing rather than as incorrect.</w:t>
      </w:r>
      <w:r>
        <w:rPr>
          <w:vertAlign w:val="superscript"/>
        </w:rPr>
        <w:footnoteReference w:id="7"/>
      </w:r>
      <w:r>
        <w:rPr>
          <w:vertAlign w:val="superscript"/>
        </w:rPr>
        <w:t xml:space="preserve"> </w:t>
      </w:r>
      <w:r>
        <w:t xml:space="preserve">Scores on each measure span much of the </w:t>
      </w:r>
      <w:r>
        <w:t>possible range, showing the variability necessary to assess reliability and validity.</w:t>
      </w:r>
    </w:p>
    <w:p w:rsidR="00157A70" w:rsidRDefault="00316F15">
      <w:pPr>
        <w:ind w:left="-15" w:right="0"/>
      </w:pPr>
      <w:r>
        <w:t>Cronbach’s alpha, the mean of all split-half correlations, is one measure of internal consistency (Cronbach, 1951). It is above .60 for all component measures except for Resistance to Sunk Costs. Compared with the Y-DMC, internal consistency is higher for the two components that were poorest there, Resistance to Framing (.62 vs. .30) and Resistance to Sunk Costs (.54 vs. .03), suggesting that their redesign improved them. Cronbach’s alpha for Recognizing Social Norms uses item-level scores on the basis of Spearman’s rank correlation between predicted and actual social norms.</w:t>
      </w:r>
      <w:r>
        <w:rPr>
          <w:vertAlign w:val="superscript"/>
        </w:rPr>
        <w:t xml:space="preserve">8 </w:t>
      </w:r>
      <w:r>
        <w:t xml:space="preserve">Parker and </w:t>
      </w:r>
      <w:proofErr w:type="spellStart"/>
      <w:r>
        <w:t>Fischhoff</w:t>
      </w:r>
      <w:proofErr w:type="spellEnd"/>
      <w:r>
        <w:t xml:space="preserve"> (2005) report Cronbach’s alpha separately for personal social norms </w:t>
      </w:r>
      <w:proofErr w:type="gramStart"/>
      <w:r>
        <w:t>(</w:t>
      </w:r>
      <w:r>
        <w:rPr>
          <w:rFonts w:ascii="Calibri" w:eastAsia="Calibri" w:hAnsi="Calibri" w:cs="Calibri"/>
        </w:rPr>
        <w:t xml:space="preserve">  </w:t>
      </w:r>
      <w:r>
        <w:t>.</w:t>
      </w:r>
      <w:proofErr w:type="gramEnd"/>
      <w:r>
        <w:t>79) and predicted peer social norms (</w:t>
      </w:r>
      <w:r>
        <w:rPr>
          <w:rFonts w:ascii="Calibri" w:eastAsia="Calibri" w:hAnsi="Calibri" w:cs="Calibri"/>
        </w:rPr>
        <w:t xml:space="preserve"> </w:t>
      </w:r>
      <w:r>
        <w:t xml:space="preserve">.88), similar to this study (s </w:t>
      </w:r>
      <w:r>
        <w:rPr>
          <w:rFonts w:ascii="Calibri" w:eastAsia="Calibri" w:hAnsi="Calibri" w:cs="Calibri"/>
        </w:rPr>
        <w:t xml:space="preserve"> </w:t>
      </w:r>
      <w:r>
        <w:t>.75 and .93, respectively).</w:t>
      </w:r>
    </w:p>
    <w:p w:rsidR="00157A70" w:rsidRDefault="00316F15">
      <w:pPr>
        <w:ind w:left="-15" w:right="0"/>
      </w:pPr>
      <w:r>
        <w:rPr>
          <w:i/>
        </w:rPr>
        <w:t xml:space="preserve">Aim 1b: Test–retest reliability. </w:t>
      </w:r>
      <w:r>
        <w:t xml:space="preserve">The last column of Table 2 shows test–retest reliability of the different component measures. All are significant at the </w:t>
      </w:r>
      <w:proofErr w:type="gramStart"/>
      <w:r>
        <w:rPr>
          <w:i/>
        </w:rPr>
        <w:t xml:space="preserve">p </w:t>
      </w:r>
      <w:r>
        <w:rPr>
          <w:rFonts w:ascii="Calibri" w:eastAsia="Calibri" w:hAnsi="Calibri" w:cs="Calibri"/>
        </w:rPr>
        <w:t xml:space="preserve"> </w:t>
      </w:r>
      <w:r>
        <w:t>.</w:t>
      </w:r>
      <w:proofErr w:type="gramEnd"/>
      <w:r>
        <w:t>001 level. Path Independence is the weakest, despite its relatively high Cronbach’s alpha.</w:t>
      </w:r>
    </w:p>
    <w:p w:rsidR="00157A70" w:rsidRDefault="00316F15">
      <w:pPr>
        <w:ind w:left="-15" w:right="0"/>
      </w:pPr>
      <w:r>
        <w:rPr>
          <w:i/>
        </w:rPr>
        <w:t xml:space="preserve">Aim 1c: Correlations of tasks with each other. </w:t>
      </w:r>
      <w:r>
        <w:t>Table 3 shows bivariate correlations between the A-DMC component scores. Most correlations in Table 3 are significant and positive (</w:t>
      </w:r>
      <w:proofErr w:type="gramStart"/>
      <w:r>
        <w:rPr>
          <w:i/>
        </w:rPr>
        <w:t xml:space="preserve">M </w:t>
      </w:r>
      <w:r>
        <w:rPr>
          <w:rFonts w:ascii="Calibri" w:eastAsia="Calibri" w:hAnsi="Calibri" w:cs="Calibri"/>
        </w:rPr>
        <w:t xml:space="preserve"> </w:t>
      </w:r>
      <w:r>
        <w:t>.</w:t>
      </w:r>
      <w:proofErr w:type="gramEnd"/>
      <w:r>
        <w:t xml:space="preserve">16, </w:t>
      </w:r>
      <w:proofErr w:type="spellStart"/>
      <w:r>
        <w:rPr>
          <w:i/>
        </w:rPr>
        <w:t>Mdn</w:t>
      </w:r>
      <w:proofErr w:type="spellEnd"/>
      <w:r>
        <w:rPr>
          <w:i/>
        </w:rPr>
        <w:t xml:space="preserve"> </w:t>
      </w:r>
      <w:r>
        <w:rPr>
          <w:rFonts w:ascii="Calibri" w:eastAsia="Calibri" w:hAnsi="Calibri" w:cs="Calibri"/>
        </w:rPr>
        <w:t xml:space="preserve"> </w:t>
      </w:r>
      <w:r>
        <w:t>.17), indicating a positive manifold of tasks, with relative consistency in performance across measures.</w:t>
      </w:r>
    </w:p>
    <w:p w:rsidR="00157A70" w:rsidRDefault="00316F15">
      <w:pPr>
        <w:ind w:left="-15" w:right="0"/>
      </w:pPr>
      <w:r>
        <w:t xml:space="preserve">With the Y-DMC, the mean and median correlations were both .12. For simplicity sake, all reported </w:t>
      </w:r>
      <w:r>
        <w:rPr>
          <w:i/>
        </w:rPr>
        <w:t xml:space="preserve">p </w:t>
      </w:r>
      <w:r>
        <w:t>values (throughout this article) are two-sided, even where we have directional predictions. The strongest correlations involve Applying Decision Rules, Consistency in Risk Perception, and Recognizing Social Norms. Path Independence has no significant correlations.</w:t>
      </w:r>
    </w:p>
    <w:p w:rsidR="00157A70" w:rsidRDefault="00316F15">
      <w:pPr>
        <w:ind w:left="-15" w:right="0"/>
      </w:pPr>
      <w:r>
        <w:t xml:space="preserve">Table 4 shows exploratory factor analyses on </w:t>
      </w:r>
      <w:r>
        <w:rPr>
          <w:i/>
        </w:rPr>
        <w:t xml:space="preserve">z </w:t>
      </w:r>
      <w:r>
        <w:t>scores of the seven component measures, using the principal factors method. A one-factor model explains 30.1% of the variance—compared with</w:t>
      </w:r>
    </w:p>
    <w:p w:rsidR="00157A70" w:rsidRDefault="00316F15">
      <w:pPr>
        <w:ind w:left="-15" w:right="0" w:firstLine="0"/>
      </w:pPr>
      <w:r>
        <w:t xml:space="preserve">25.1% with the Y-DMC (which showed a generally similar pattern of loadings). Except for Path Independence and Resistance to Sunk Costs, the factor loadings are at least .35, suggesting internal consistency, in the sense of A-DMC components capturing an </w:t>
      </w:r>
      <w:r>
        <w:lastRenderedPageBreak/>
        <w:t>underlying construct of decision-making ability. Path Independence and Resistance to Sunk Costs also load weakly on the Y-DMC (.31 and .35, respectively). Consistency in Risk Perception has higher loadings here (.49 vs. .29).</w:t>
      </w:r>
    </w:p>
    <w:p w:rsidR="00157A70" w:rsidRDefault="00316F15">
      <w:pPr>
        <w:ind w:left="-15" w:right="0"/>
      </w:pPr>
      <w:r>
        <w:t xml:space="preserve">Table 4 further shows a two-factor solution using the principal factors method with </w:t>
      </w:r>
      <w:proofErr w:type="spellStart"/>
      <w:r>
        <w:t>oblimin</w:t>
      </w:r>
      <w:proofErr w:type="spellEnd"/>
      <w:r>
        <w:t xml:space="preserve"> rotation, which allows nonorthogonal factors. The two factors account for 46.2% of the variance and are correlated (</w:t>
      </w:r>
      <w:proofErr w:type="gramStart"/>
      <w:r>
        <w:rPr>
          <w:i/>
        </w:rPr>
        <w:t xml:space="preserve">r </w:t>
      </w:r>
      <w:r>
        <w:rPr>
          <w:rFonts w:ascii="Calibri" w:eastAsia="Calibri" w:hAnsi="Calibri" w:cs="Calibri"/>
        </w:rPr>
        <w:t xml:space="preserve"> </w:t>
      </w:r>
      <w:r>
        <w:t>.</w:t>
      </w:r>
      <w:proofErr w:type="gramEnd"/>
      <w:r>
        <w:t xml:space="preserve">30, </w:t>
      </w:r>
      <w:r>
        <w:rPr>
          <w:i/>
        </w:rPr>
        <w:t xml:space="preserve">p </w:t>
      </w:r>
      <w:r>
        <w:rPr>
          <w:rFonts w:ascii="Calibri" w:eastAsia="Calibri" w:hAnsi="Calibri" w:cs="Calibri"/>
        </w:rPr>
        <w:t xml:space="preserve"> </w:t>
      </w:r>
      <w:r>
        <w:t xml:space="preserve">.001). Except for Resistance to Sunk Costs and Path Independence, all tasks have loadings of at least .30 on the first factor. These loadings resemble those of the one-factor solution. Recognizing Social Norms, Resistance to Sunk Costs, and Path Independence have a higher loading on the second factor, but the latter remains under .30. The two-factor solution does not correspond to the three-factor solution reported for the Y-DMC (Parker &amp; </w:t>
      </w:r>
      <w:proofErr w:type="spellStart"/>
      <w:r>
        <w:t>Fischhoff</w:t>
      </w:r>
      <w:proofErr w:type="spellEnd"/>
      <w:r>
        <w:t>, 2005). Nor does either factor solution correspond to any of the three task characteristics highlighted in Table 1: response mode, criterion, or general decision-making skills.</w:t>
      </w:r>
    </w:p>
    <w:p w:rsidR="00157A70" w:rsidRDefault="00316F15">
      <w:pPr>
        <w:ind w:left="-15" w:right="0"/>
      </w:pPr>
      <w:r>
        <w:t>The analyses below use both A-DMC component scores and a composite index of the A-DMC. The overall index reflects the unweighted average of standardized scores for the six components, excluding Path Independence. This index is highly correlated with</w:t>
      </w:r>
    </w:p>
    <w:tbl>
      <w:tblPr>
        <w:tblStyle w:val="TableGrid"/>
        <w:tblpPr w:vertAnchor="text" w:horzAnchor="margin"/>
        <w:tblOverlap w:val="never"/>
        <w:tblW w:w="9962" w:type="dxa"/>
        <w:tblInd w:w="0" w:type="dxa"/>
        <w:tblCellMar>
          <w:right w:w="2" w:type="dxa"/>
        </w:tblCellMar>
        <w:tblLook w:val="04A0" w:firstRow="1" w:lastRow="0" w:firstColumn="1" w:lastColumn="0" w:noHBand="0" w:noVBand="1"/>
      </w:tblPr>
      <w:tblGrid>
        <w:gridCol w:w="9962"/>
      </w:tblGrid>
      <w:tr w:rsidR="00157A70">
        <w:trPr>
          <w:trHeight w:val="2555"/>
        </w:trPr>
        <w:tc>
          <w:tcPr>
            <w:tcW w:w="6260" w:type="dxa"/>
            <w:tcBorders>
              <w:top w:val="nil"/>
              <w:left w:val="nil"/>
              <w:bottom w:val="nil"/>
              <w:right w:val="nil"/>
            </w:tcBorders>
          </w:tcPr>
          <w:p w:rsidR="00157A70" w:rsidRDefault="00316F15">
            <w:pPr>
              <w:spacing w:after="0" w:line="259" w:lineRule="auto"/>
              <w:ind w:right="0" w:firstLine="0"/>
              <w:jc w:val="left"/>
            </w:pPr>
            <w:r>
              <w:t>Table 3</w:t>
            </w:r>
          </w:p>
          <w:p w:rsidR="00157A70" w:rsidRDefault="00316F15">
            <w:pPr>
              <w:spacing w:after="0" w:line="259" w:lineRule="auto"/>
              <w:ind w:right="0" w:firstLine="0"/>
              <w:jc w:val="left"/>
            </w:pPr>
            <w:r>
              <w:rPr>
                <w:i/>
              </w:rPr>
              <w:t>Correlations Among A-DMC Component Scores</w:t>
            </w:r>
          </w:p>
          <w:tbl>
            <w:tblPr>
              <w:tblStyle w:val="TableGrid"/>
              <w:tblW w:w="9960" w:type="dxa"/>
              <w:tblInd w:w="0" w:type="dxa"/>
              <w:tblCellMar>
                <w:top w:w="17" w:type="dxa"/>
                <w:bottom w:w="5" w:type="dxa"/>
                <w:right w:w="10" w:type="dxa"/>
              </w:tblCellMar>
              <w:tblLook w:val="04A0" w:firstRow="1" w:lastRow="0" w:firstColumn="1" w:lastColumn="0" w:noHBand="0" w:noVBand="1"/>
            </w:tblPr>
            <w:tblGrid>
              <w:gridCol w:w="2893"/>
              <w:gridCol w:w="1292"/>
              <w:gridCol w:w="1046"/>
              <w:gridCol w:w="1292"/>
              <w:gridCol w:w="1169"/>
              <w:gridCol w:w="1109"/>
              <w:gridCol w:w="989"/>
              <w:gridCol w:w="170"/>
            </w:tblGrid>
            <w:tr w:rsidR="00157A70">
              <w:trPr>
                <w:trHeight w:val="365"/>
              </w:trPr>
              <w:tc>
                <w:tcPr>
                  <w:tcW w:w="2893" w:type="dxa"/>
                  <w:tcBorders>
                    <w:top w:val="single" w:sz="8" w:space="0" w:color="181717"/>
                    <w:left w:val="nil"/>
                    <w:bottom w:val="single" w:sz="4" w:space="0" w:color="181717"/>
                    <w:right w:val="nil"/>
                  </w:tcBorders>
                </w:tcPr>
                <w:p w:rsidR="00157A70" w:rsidRDefault="00316F15" w:rsidP="00E25B31">
                  <w:pPr>
                    <w:framePr w:wrap="around" w:vAnchor="text" w:hAnchor="margin"/>
                    <w:spacing w:after="0" w:line="259" w:lineRule="auto"/>
                    <w:ind w:left="470" w:right="0" w:firstLine="0"/>
                    <w:suppressOverlap/>
                    <w:jc w:val="left"/>
                  </w:pPr>
                  <w:r>
                    <w:rPr>
                      <w:sz w:val="16"/>
                    </w:rPr>
                    <w:t>A-DMC component</w:t>
                  </w:r>
                </w:p>
              </w:tc>
              <w:tc>
                <w:tcPr>
                  <w:tcW w:w="1292" w:type="dxa"/>
                  <w:tcBorders>
                    <w:top w:val="single" w:sz="8" w:space="0" w:color="181717"/>
                    <w:left w:val="nil"/>
                    <w:bottom w:val="single" w:sz="4" w:space="0" w:color="181717"/>
                    <w:right w:val="nil"/>
                  </w:tcBorders>
                </w:tcPr>
                <w:p w:rsidR="00157A70" w:rsidRDefault="00316F15" w:rsidP="00E25B31">
                  <w:pPr>
                    <w:framePr w:wrap="around" w:vAnchor="text" w:hAnchor="margin"/>
                    <w:spacing w:after="0" w:line="259" w:lineRule="auto"/>
                    <w:ind w:left="273" w:right="0" w:firstLine="0"/>
                    <w:suppressOverlap/>
                    <w:jc w:val="left"/>
                  </w:pPr>
                  <w:r>
                    <w:rPr>
                      <w:sz w:val="16"/>
                    </w:rPr>
                    <w:t>1</w:t>
                  </w:r>
                </w:p>
              </w:tc>
              <w:tc>
                <w:tcPr>
                  <w:tcW w:w="1046" w:type="dxa"/>
                  <w:tcBorders>
                    <w:top w:val="single" w:sz="8" w:space="0" w:color="181717"/>
                    <w:left w:val="nil"/>
                    <w:bottom w:val="single" w:sz="4" w:space="0" w:color="181717"/>
                    <w:right w:val="nil"/>
                  </w:tcBorders>
                </w:tcPr>
                <w:p w:rsidR="00157A70" w:rsidRDefault="00316F15" w:rsidP="00E25B31">
                  <w:pPr>
                    <w:framePr w:wrap="around" w:vAnchor="text" w:hAnchor="margin"/>
                    <w:spacing w:after="0" w:line="259" w:lineRule="auto"/>
                    <w:ind w:left="150" w:right="0" w:firstLine="0"/>
                    <w:suppressOverlap/>
                    <w:jc w:val="left"/>
                  </w:pPr>
                  <w:r>
                    <w:rPr>
                      <w:sz w:val="16"/>
                    </w:rPr>
                    <w:t>2</w:t>
                  </w:r>
                </w:p>
              </w:tc>
              <w:tc>
                <w:tcPr>
                  <w:tcW w:w="1292" w:type="dxa"/>
                  <w:tcBorders>
                    <w:top w:val="single" w:sz="8" w:space="0" w:color="181717"/>
                    <w:left w:val="nil"/>
                    <w:bottom w:val="single" w:sz="4" w:space="0" w:color="181717"/>
                    <w:right w:val="nil"/>
                  </w:tcBorders>
                </w:tcPr>
                <w:p w:rsidR="00157A70" w:rsidRDefault="00316F15" w:rsidP="00E25B31">
                  <w:pPr>
                    <w:framePr w:wrap="around" w:vAnchor="text" w:hAnchor="margin"/>
                    <w:spacing w:after="0" w:line="259" w:lineRule="auto"/>
                    <w:ind w:left="273" w:right="0" w:firstLine="0"/>
                    <w:suppressOverlap/>
                    <w:jc w:val="left"/>
                  </w:pPr>
                  <w:r>
                    <w:rPr>
                      <w:sz w:val="16"/>
                    </w:rPr>
                    <w:t>3</w:t>
                  </w:r>
                </w:p>
              </w:tc>
              <w:tc>
                <w:tcPr>
                  <w:tcW w:w="1169" w:type="dxa"/>
                  <w:tcBorders>
                    <w:top w:val="single" w:sz="8" w:space="0" w:color="181717"/>
                    <w:left w:val="nil"/>
                    <w:bottom w:val="single" w:sz="4" w:space="0" w:color="181717"/>
                    <w:right w:val="nil"/>
                  </w:tcBorders>
                </w:tcPr>
                <w:p w:rsidR="00157A70" w:rsidRDefault="00316F15" w:rsidP="00E25B31">
                  <w:pPr>
                    <w:framePr w:wrap="around" w:vAnchor="text" w:hAnchor="margin"/>
                    <w:spacing w:after="0" w:line="259" w:lineRule="auto"/>
                    <w:ind w:left="150" w:right="0" w:firstLine="0"/>
                    <w:suppressOverlap/>
                    <w:jc w:val="left"/>
                  </w:pPr>
                  <w:r>
                    <w:rPr>
                      <w:sz w:val="16"/>
                    </w:rPr>
                    <w:t>4</w:t>
                  </w:r>
                </w:p>
              </w:tc>
              <w:tc>
                <w:tcPr>
                  <w:tcW w:w="1109" w:type="dxa"/>
                  <w:tcBorders>
                    <w:top w:val="single" w:sz="8" w:space="0" w:color="181717"/>
                    <w:left w:val="nil"/>
                    <w:bottom w:val="single" w:sz="4" w:space="0" w:color="181717"/>
                    <w:right w:val="nil"/>
                  </w:tcBorders>
                </w:tcPr>
                <w:p w:rsidR="00157A70" w:rsidRDefault="00316F15" w:rsidP="00E25B31">
                  <w:pPr>
                    <w:framePr w:wrap="around" w:vAnchor="text" w:hAnchor="margin"/>
                    <w:spacing w:after="0" w:line="259" w:lineRule="auto"/>
                    <w:ind w:left="120" w:right="0" w:firstLine="0"/>
                    <w:suppressOverlap/>
                    <w:jc w:val="left"/>
                  </w:pPr>
                  <w:r>
                    <w:rPr>
                      <w:sz w:val="16"/>
                    </w:rPr>
                    <w:t>5</w:t>
                  </w:r>
                </w:p>
              </w:tc>
              <w:tc>
                <w:tcPr>
                  <w:tcW w:w="989" w:type="dxa"/>
                  <w:tcBorders>
                    <w:top w:val="single" w:sz="8" w:space="0" w:color="181717"/>
                    <w:left w:val="nil"/>
                    <w:bottom w:val="single" w:sz="4" w:space="0" w:color="181717"/>
                    <w:right w:val="nil"/>
                  </w:tcBorders>
                </w:tcPr>
                <w:p w:rsidR="00157A70" w:rsidRDefault="00316F15" w:rsidP="00E25B31">
                  <w:pPr>
                    <w:framePr w:wrap="around" w:vAnchor="text" w:hAnchor="margin"/>
                    <w:spacing w:after="0" w:line="259" w:lineRule="auto"/>
                    <w:ind w:left="60" w:right="0" w:firstLine="0"/>
                    <w:suppressOverlap/>
                    <w:jc w:val="left"/>
                  </w:pPr>
                  <w:r>
                    <w:rPr>
                      <w:sz w:val="16"/>
                    </w:rPr>
                    <w:t>6</w:t>
                  </w:r>
                </w:p>
              </w:tc>
              <w:tc>
                <w:tcPr>
                  <w:tcW w:w="170" w:type="dxa"/>
                  <w:tcBorders>
                    <w:top w:val="single" w:sz="8" w:space="0" w:color="181717"/>
                    <w:left w:val="nil"/>
                    <w:bottom w:val="single" w:sz="4" w:space="0" w:color="181717"/>
                    <w:right w:val="nil"/>
                  </w:tcBorders>
                </w:tcPr>
                <w:p w:rsidR="00157A70" w:rsidRDefault="00316F15" w:rsidP="00E25B31">
                  <w:pPr>
                    <w:framePr w:wrap="around" w:vAnchor="text" w:hAnchor="margin"/>
                    <w:spacing w:after="0" w:line="259" w:lineRule="auto"/>
                    <w:ind w:left="40" w:right="0" w:firstLine="0"/>
                    <w:suppressOverlap/>
                  </w:pPr>
                  <w:r>
                    <w:rPr>
                      <w:sz w:val="16"/>
                    </w:rPr>
                    <w:t>7</w:t>
                  </w:r>
                </w:p>
              </w:tc>
            </w:tr>
            <w:tr w:rsidR="00157A70">
              <w:trPr>
                <w:trHeight w:val="295"/>
              </w:trPr>
              <w:tc>
                <w:tcPr>
                  <w:tcW w:w="2893" w:type="dxa"/>
                  <w:tcBorders>
                    <w:top w:val="single" w:sz="4" w:space="0" w:color="181717"/>
                    <w:left w:val="nil"/>
                    <w:bottom w:val="nil"/>
                    <w:right w:val="nil"/>
                  </w:tcBorders>
                  <w:vAlign w:val="bottom"/>
                </w:tcPr>
                <w:p w:rsidR="00157A70" w:rsidRDefault="00316F15" w:rsidP="00E25B31">
                  <w:pPr>
                    <w:framePr w:wrap="around" w:vAnchor="text" w:hAnchor="margin"/>
                    <w:spacing w:after="0" w:line="259" w:lineRule="auto"/>
                    <w:ind w:right="0" w:firstLine="0"/>
                    <w:suppressOverlap/>
                    <w:jc w:val="left"/>
                  </w:pPr>
                  <w:r>
                    <w:rPr>
                      <w:sz w:val="16"/>
                    </w:rPr>
                    <w:t>1. Resistance to Framing</w:t>
                  </w:r>
                </w:p>
              </w:tc>
              <w:tc>
                <w:tcPr>
                  <w:tcW w:w="1292" w:type="dxa"/>
                  <w:tcBorders>
                    <w:top w:val="single" w:sz="4" w:space="0" w:color="181717"/>
                    <w:left w:val="nil"/>
                    <w:bottom w:val="nil"/>
                    <w:right w:val="nil"/>
                  </w:tcBorders>
                  <w:vAlign w:val="bottom"/>
                </w:tcPr>
                <w:p w:rsidR="00157A70" w:rsidRDefault="00316F15" w:rsidP="00E25B31">
                  <w:pPr>
                    <w:framePr w:wrap="around" w:vAnchor="text" w:hAnchor="margin"/>
                    <w:spacing w:after="0" w:line="259" w:lineRule="auto"/>
                    <w:ind w:left="233" w:right="0" w:firstLine="0"/>
                    <w:suppressOverlap/>
                    <w:jc w:val="left"/>
                  </w:pPr>
                  <w:r>
                    <w:rPr>
                      <w:sz w:val="16"/>
                    </w:rPr>
                    <w:t>—</w:t>
                  </w:r>
                </w:p>
              </w:tc>
              <w:tc>
                <w:tcPr>
                  <w:tcW w:w="1046" w:type="dxa"/>
                  <w:tcBorders>
                    <w:top w:val="single" w:sz="4" w:space="0" w:color="181717"/>
                    <w:left w:val="nil"/>
                    <w:bottom w:val="nil"/>
                    <w:right w:val="nil"/>
                  </w:tcBorders>
                </w:tcPr>
                <w:p w:rsidR="00157A70" w:rsidRDefault="00157A70" w:rsidP="00E25B31">
                  <w:pPr>
                    <w:framePr w:wrap="around" w:vAnchor="text" w:hAnchor="margin"/>
                    <w:spacing w:after="160" w:line="259" w:lineRule="auto"/>
                    <w:ind w:right="0" w:firstLine="0"/>
                    <w:suppressOverlap/>
                    <w:jc w:val="left"/>
                  </w:pPr>
                </w:p>
              </w:tc>
              <w:tc>
                <w:tcPr>
                  <w:tcW w:w="1292" w:type="dxa"/>
                  <w:tcBorders>
                    <w:top w:val="single" w:sz="4" w:space="0" w:color="181717"/>
                    <w:left w:val="nil"/>
                    <w:bottom w:val="nil"/>
                    <w:right w:val="nil"/>
                  </w:tcBorders>
                </w:tcPr>
                <w:p w:rsidR="00157A70" w:rsidRDefault="00157A70" w:rsidP="00E25B31">
                  <w:pPr>
                    <w:framePr w:wrap="around" w:vAnchor="text" w:hAnchor="margin"/>
                    <w:spacing w:after="160" w:line="259" w:lineRule="auto"/>
                    <w:ind w:right="0" w:firstLine="0"/>
                    <w:suppressOverlap/>
                    <w:jc w:val="left"/>
                  </w:pPr>
                </w:p>
              </w:tc>
              <w:tc>
                <w:tcPr>
                  <w:tcW w:w="1169" w:type="dxa"/>
                  <w:tcBorders>
                    <w:top w:val="single" w:sz="4" w:space="0" w:color="181717"/>
                    <w:left w:val="nil"/>
                    <w:bottom w:val="nil"/>
                    <w:right w:val="nil"/>
                  </w:tcBorders>
                </w:tcPr>
                <w:p w:rsidR="00157A70" w:rsidRDefault="00157A70" w:rsidP="00E25B31">
                  <w:pPr>
                    <w:framePr w:wrap="around" w:vAnchor="text" w:hAnchor="margin"/>
                    <w:spacing w:after="160" w:line="259" w:lineRule="auto"/>
                    <w:ind w:right="0" w:firstLine="0"/>
                    <w:suppressOverlap/>
                    <w:jc w:val="left"/>
                  </w:pPr>
                </w:p>
              </w:tc>
              <w:tc>
                <w:tcPr>
                  <w:tcW w:w="1109" w:type="dxa"/>
                  <w:tcBorders>
                    <w:top w:val="single" w:sz="4" w:space="0" w:color="181717"/>
                    <w:left w:val="nil"/>
                    <w:bottom w:val="nil"/>
                    <w:right w:val="nil"/>
                  </w:tcBorders>
                </w:tcPr>
                <w:p w:rsidR="00157A70" w:rsidRDefault="00157A70" w:rsidP="00E25B31">
                  <w:pPr>
                    <w:framePr w:wrap="around" w:vAnchor="text" w:hAnchor="margin"/>
                    <w:spacing w:after="160" w:line="259" w:lineRule="auto"/>
                    <w:ind w:right="0" w:firstLine="0"/>
                    <w:suppressOverlap/>
                    <w:jc w:val="left"/>
                  </w:pPr>
                </w:p>
              </w:tc>
              <w:tc>
                <w:tcPr>
                  <w:tcW w:w="989" w:type="dxa"/>
                  <w:tcBorders>
                    <w:top w:val="single" w:sz="4" w:space="0" w:color="181717"/>
                    <w:left w:val="nil"/>
                    <w:bottom w:val="nil"/>
                    <w:right w:val="nil"/>
                  </w:tcBorders>
                </w:tcPr>
                <w:p w:rsidR="00157A70" w:rsidRDefault="00157A70" w:rsidP="00E25B31">
                  <w:pPr>
                    <w:framePr w:wrap="around" w:vAnchor="text" w:hAnchor="margin"/>
                    <w:spacing w:after="160" w:line="259" w:lineRule="auto"/>
                    <w:ind w:right="0" w:firstLine="0"/>
                    <w:suppressOverlap/>
                    <w:jc w:val="left"/>
                  </w:pPr>
                </w:p>
              </w:tc>
              <w:tc>
                <w:tcPr>
                  <w:tcW w:w="170" w:type="dxa"/>
                  <w:tcBorders>
                    <w:top w:val="single" w:sz="4" w:space="0" w:color="181717"/>
                    <w:left w:val="nil"/>
                    <w:bottom w:val="nil"/>
                    <w:right w:val="nil"/>
                  </w:tcBorders>
                </w:tcPr>
                <w:p w:rsidR="00157A70" w:rsidRDefault="00157A70" w:rsidP="00E25B31">
                  <w:pPr>
                    <w:framePr w:wrap="around" w:vAnchor="text" w:hAnchor="margin"/>
                    <w:spacing w:after="160" w:line="259" w:lineRule="auto"/>
                    <w:ind w:right="0" w:firstLine="0"/>
                    <w:suppressOverlap/>
                    <w:jc w:val="left"/>
                  </w:pPr>
                </w:p>
              </w:tc>
            </w:tr>
            <w:tr w:rsidR="00157A70">
              <w:trPr>
                <w:trHeight w:val="180"/>
              </w:trPr>
              <w:tc>
                <w:tcPr>
                  <w:tcW w:w="2893"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2. Recognizing Social Norms</w:t>
                  </w:r>
                </w:p>
              </w:tc>
              <w:tc>
                <w:tcPr>
                  <w:tcW w:w="1292" w:type="dxa"/>
                  <w:tcBorders>
                    <w:top w:val="nil"/>
                    <w:left w:val="nil"/>
                    <w:bottom w:val="nil"/>
                    <w:right w:val="nil"/>
                  </w:tcBorders>
                </w:tcPr>
                <w:p w:rsidR="00157A70" w:rsidRDefault="00316F15" w:rsidP="00E25B31">
                  <w:pPr>
                    <w:framePr w:wrap="around" w:vAnchor="text" w:hAnchor="margin"/>
                    <w:spacing w:after="0" w:line="259" w:lineRule="auto"/>
                    <w:ind w:left="133" w:right="0" w:firstLine="0"/>
                    <w:suppressOverlap/>
                    <w:jc w:val="left"/>
                  </w:pPr>
                  <w:r>
                    <w:rPr>
                      <w:sz w:val="16"/>
                    </w:rPr>
                    <w:t>.15</w:t>
                  </w:r>
                  <w:r>
                    <w:rPr>
                      <w:sz w:val="16"/>
                      <w:vertAlign w:val="superscript"/>
                    </w:rPr>
                    <w:t>**</w:t>
                  </w:r>
                </w:p>
              </w:tc>
              <w:tc>
                <w:tcPr>
                  <w:tcW w:w="1046" w:type="dxa"/>
                  <w:tcBorders>
                    <w:top w:val="nil"/>
                    <w:left w:val="nil"/>
                    <w:bottom w:val="nil"/>
                    <w:right w:val="nil"/>
                  </w:tcBorders>
                </w:tcPr>
                <w:p w:rsidR="00157A70" w:rsidRDefault="00316F15" w:rsidP="00E25B31">
                  <w:pPr>
                    <w:framePr w:wrap="around" w:vAnchor="text" w:hAnchor="margin"/>
                    <w:spacing w:after="0" w:line="259" w:lineRule="auto"/>
                    <w:ind w:left="110" w:right="0" w:firstLine="0"/>
                    <w:suppressOverlap/>
                    <w:jc w:val="left"/>
                  </w:pPr>
                  <w:r>
                    <w:rPr>
                      <w:sz w:val="16"/>
                    </w:rPr>
                    <w:t>—</w:t>
                  </w:r>
                </w:p>
              </w:tc>
              <w:tc>
                <w:tcPr>
                  <w:tcW w:w="1292" w:type="dxa"/>
                  <w:tcBorders>
                    <w:top w:val="nil"/>
                    <w:left w:val="nil"/>
                    <w:bottom w:val="nil"/>
                    <w:right w:val="nil"/>
                  </w:tcBorders>
                </w:tcPr>
                <w:p w:rsidR="00157A70" w:rsidRDefault="00157A70" w:rsidP="00E25B31">
                  <w:pPr>
                    <w:framePr w:wrap="around" w:vAnchor="text" w:hAnchor="margin"/>
                    <w:spacing w:after="160" w:line="259" w:lineRule="auto"/>
                    <w:ind w:right="0" w:firstLine="0"/>
                    <w:suppressOverlap/>
                    <w:jc w:val="left"/>
                  </w:pPr>
                </w:p>
              </w:tc>
              <w:tc>
                <w:tcPr>
                  <w:tcW w:w="1169" w:type="dxa"/>
                  <w:tcBorders>
                    <w:top w:val="nil"/>
                    <w:left w:val="nil"/>
                    <w:bottom w:val="nil"/>
                    <w:right w:val="nil"/>
                  </w:tcBorders>
                </w:tcPr>
                <w:p w:rsidR="00157A70" w:rsidRDefault="00157A70" w:rsidP="00E25B31">
                  <w:pPr>
                    <w:framePr w:wrap="around" w:vAnchor="text" w:hAnchor="margin"/>
                    <w:spacing w:after="160" w:line="259" w:lineRule="auto"/>
                    <w:ind w:right="0" w:firstLine="0"/>
                    <w:suppressOverlap/>
                    <w:jc w:val="left"/>
                  </w:pPr>
                </w:p>
              </w:tc>
              <w:tc>
                <w:tcPr>
                  <w:tcW w:w="1109" w:type="dxa"/>
                  <w:tcBorders>
                    <w:top w:val="nil"/>
                    <w:left w:val="nil"/>
                    <w:bottom w:val="nil"/>
                    <w:right w:val="nil"/>
                  </w:tcBorders>
                </w:tcPr>
                <w:p w:rsidR="00157A70" w:rsidRDefault="00157A70" w:rsidP="00E25B31">
                  <w:pPr>
                    <w:framePr w:wrap="around" w:vAnchor="text" w:hAnchor="margin"/>
                    <w:spacing w:after="160" w:line="259" w:lineRule="auto"/>
                    <w:ind w:right="0" w:firstLine="0"/>
                    <w:suppressOverlap/>
                    <w:jc w:val="left"/>
                  </w:pPr>
                </w:p>
              </w:tc>
              <w:tc>
                <w:tcPr>
                  <w:tcW w:w="989" w:type="dxa"/>
                  <w:tcBorders>
                    <w:top w:val="nil"/>
                    <w:left w:val="nil"/>
                    <w:bottom w:val="nil"/>
                    <w:right w:val="nil"/>
                  </w:tcBorders>
                </w:tcPr>
                <w:p w:rsidR="00157A70" w:rsidRDefault="00157A70" w:rsidP="00E25B31">
                  <w:pPr>
                    <w:framePr w:wrap="around" w:vAnchor="text" w:hAnchor="margin"/>
                    <w:spacing w:after="160" w:line="259" w:lineRule="auto"/>
                    <w:ind w:right="0" w:firstLine="0"/>
                    <w:suppressOverlap/>
                    <w:jc w:val="left"/>
                  </w:pPr>
                </w:p>
              </w:tc>
              <w:tc>
                <w:tcPr>
                  <w:tcW w:w="170" w:type="dxa"/>
                  <w:tcBorders>
                    <w:top w:val="nil"/>
                    <w:left w:val="nil"/>
                    <w:bottom w:val="nil"/>
                    <w:right w:val="nil"/>
                  </w:tcBorders>
                </w:tcPr>
                <w:p w:rsidR="00157A70" w:rsidRDefault="00157A70" w:rsidP="00E25B31">
                  <w:pPr>
                    <w:framePr w:wrap="around" w:vAnchor="text" w:hAnchor="margin"/>
                    <w:spacing w:after="160" w:line="259" w:lineRule="auto"/>
                    <w:ind w:right="0" w:firstLine="0"/>
                    <w:suppressOverlap/>
                    <w:jc w:val="left"/>
                  </w:pPr>
                </w:p>
              </w:tc>
            </w:tr>
            <w:tr w:rsidR="00157A70">
              <w:trPr>
                <w:trHeight w:val="180"/>
              </w:trPr>
              <w:tc>
                <w:tcPr>
                  <w:tcW w:w="2893"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3. Under/overconfidence</w:t>
                  </w:r>
                </w:p>
              </w:tc>
              <w:tc>
                <w:tcPr>
                  <w:tcW w:w="1292" w:type="dxa"/>
                  <w:tcBorders>
                    <w:top w:val="nil"/>
                    <w:left w:val="nil"/>
                    <w:bottom w:val="nil"/>
                    <w:right w:val="nil"/>
                  </w:tcBorders>
                </w:tcPr>
                <w:p w:rsidR="00157A70" w:rsidRDefault="00316F15" w:rsidP="00E25B31">
                  <w:pPr>
                    <w:framePr w:wrap="around" w:vAnchor="text" w:hAnchor="margin"/>
                    <w:spacing w:after="0" w:line="259" w:lineRule="auto"/>
                    <w:ind w:left="133" w:right="0" w:firstLine="0"/>
                    <w:suppressOverlap/>
                    <w:jc w:val="left"/>
                  </w:pPr>
                  <w:r>
                    <w:rPr>
                      <w:sz w:val="16"/>
                    </w:rPr>
                    <w:t>.23</w:t>
                  </w:r>
                  <w:r>
                    <w:rPr>
                      <w:sz w:val="10"/>
                    </w:rPr>
                    <w:t>***</w:t>
                  </w:r>
                </w:p>
              </w:tc>
              <w:tc>
                <w:tcPr>
                  <w:tcW w:w="1046"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.17</w:t>
                  </w:r>
                  <w:r>
                    <w:rPr>
                      <w:sz w:val="16"/>
                      <w:vertAlign w:val="superscript"/>
                    </w:rPr>
                    <w:t>**</w:t>
                  </w:r>
                </w:p>
              </w:tc>
              <w:tc>
                <w:tcPr>
                  <w:tcW w:w="1292" w:type="dxa"/>
                  <w:tcBorders>
                    <w:top w:val="nil"/>
                    <w:left w:val="nil"/>
                    <w:bottom w:val="nil"/>
                    <w:right w:val="nil"/>
                  </w:tcBorders>
                </w:tcPr>
                <w:p w:rsidR="00157A70" w:rsidRDefault="00316F15" w:rsidP="00E25B31">
                  <w:pPr>
                    <w:framePr w:wrap="around" w:vAnchor="text" w:hAnchor="margin"/>
                    <w:spacing w:after="0" w:line="259" w:lineRule="auto"/>
                    <w:ind w:left="233" w:right="0" w:firstLine="0"/>
                    <w:suppressOverlap/>
                    <w:jc w:val="left"/>
                  </w:pPr>
                  <w:r>
                    <w:rPr>
                      <w:sz w:val="16"/>
                    </w:rPr>
                    <w:t>—</w:t>
                  </w:r>
                </w:p>
              </w:tc>
              <w:tc>
                <w:tcPr>
                  <w:tcW w:w="1169" w:type="dxa"/>
                  <w:tcBorders>
                    <w:top w:val="nil"/>
                    <w:left w:val="nil"/>
                    <w:bottom w:val="nil"/>
                    <w:right w:val="nil"/>
                  </w:tcBorders>
                </w:tcPr>
                <w:p w:rsidR="00157A70" w:rsidRDefault="00157A70" w:rsidP="00E25B31">
                  <w:pPr>
                    <w:framePr w:wrap="around" w:vAnchor="text" w:hAnchor="margin"/>
                    <w:spacing w:after="160" w:line="259" w:lineRule="auto"/>
                    <w:ind w:right="0" w:firstLine="0"/>
                    <w:suppressOverlap/>
                    <w:jc w:val="left"/>
                  </w:pPr>
                </w:p>
              </w:tc>
              <w:tc>
                <w:tcPr>
                  <w:tcW w:w="1109" w:type="dxa"/>
                  <w:tcBorders>
                    <w:top w:val="nil"/>
                    <w:left w:val="nil"/>
                    <w:bottom w:val="nil"/>
                    <w:right w:val="nil"/>
                  </w:tcBorders>
                </w:tcPr>
                <w:p w:rsidR="00157A70" w:rsidRDefault="00157A70" w:rsidP="00E25B31">
                  <w:pPr>
                    <w:framePr w:wrap="around" w:vAnchor="text" w:hAnchor="margin"/>
                    <w:spacing w:after="160" w:line="259" w:lineRule="auto"/>
                    <w:ind w:right="0" w:firstLine="0"/>
                    <w:suppressOverlap/>
                    <w:jc w:val="left"/>
                  </w:pPr>
                </w:p>
              </w:tc>
              <w:tc>
                <w:tcPr>
                  <w:tcW w:w="989" w:type="dxa"/>
                  <w:tcBorders>
                    <w:top w:val="nil"/>
                    <w:left w:val="nil"/>
                    <w:bottom w:val="nil"/>
                    <w:right w:val="nil"/>
                  </w:tcBorders>
                </w:tcPr>
                <w:p w:rsidR="00157A70" w:rsidRDefault="00157A70" w:rsidP="00E25B31">
                  <w:pPr>
                    <w:framePr w:wrap="around" w:vAnchor="text" w:hAnchor="margin"/>
                    <w:spacing w:after="160" w:line="259" w:lineRule="auto"/>
                    <w:ind w:right="0" w:firstLine="0"/>
                    <w:suppressOverlap/>
                    <w:jc w:val="left"/>
                  </w:pPr>
                </w:p>
              </w:tc>
              <w:tc>
                <w:tcPr>
                  <w:tcW w:w="170" w:type="dxa"/>
                  <w:tcBorders>
                    <w:top w:val="nil"/>
                    <w:left w:val="nil"/>
                    <w:bottom w:val="nil"/>
                    <w:right w:val="nil"/>
                  </w:tcBorders>
                </w:tcPr>
                <w:p w:rsidR="00157A70" w:rsidRDefault="00157A70" w:rsidP="00E25B31">
                  <w:pPr>
                    <w:framePr w:wrap="around" w:vAnchor="text" w:hAnchor="margin"/>
                    <w:spacing w:after="160" w:line="259" w:lineRule="auto"/>
                    <w:ind w:right="0" w:firstLine="0"/>
                    <w:suppressOverlap/>
                    <w:jc w:val="left"/>
                  </w:pPr>
                </w:p>
              </w:tc>
            </w:tr>
            <w:tr w:rsidR="00157A70">
              <w:trPr>
                <w:trHeight w:val="180"/>
              </w:trPr>
              <w:tc>
                <w:tcPr>
                  <w:tcW w:w="2893"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4. Applying Decision Rules</w:t>
                  </w:r>
                </w:p>
              </w:tc>
              <w:tc>
                <w:tcPr>
                  <w:tcW w:w="1292" w:type="dxa"/>
                  <w:tcBorders>
                    <w:top w:val="nil"/>
                    <w:left w:val="nil"/>
                    <w:bottom w:val="nil"/>
                    <w:right w:val="nil"/>
                  </w:tcBorders>
                </w:tcPr>
                <w:p w:rsidR="00157A70" w:rsidRDefault="00316F15" w:rsidP="00E25B31">
                  <w:pPr>
                    <w:framePr w:wrap="around" w:vAnchor="text" w:hAnchor="margin"/>
                    <w:spacing w:after="0" w:line="259" w:lineRule="auto"/>
                    <w:ind w:left="133" w:right="0" w:firstLine="0"/>
                    <w:suppressOverlap/>
                    <w:jc w:val="left"/>
                  </w:pPr>
                  <w:r>
                    <w:rPr>
                      <w:sz w:val="16"/>
                    </w:rPr>
                    <w:t>.39</w:t>
                  </w:r>
                  <w:r>
                    <w:rPr>
                      <w:sz w:val="10"/>
                    </w:rPr>
                    <w:t>***</w:t>
                  </w:r>
                </w:p>
              </w:tc>
              <w:tc>
                <w:tcPr>
                  <w:tcW w:w="1046"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.28</w:t>
                  </w:r>
                  <w:r>
                    <w:rPr>
                      <w:sz w:val="10"/>
                    </w:rPr>
                    <w:t>***</w:t>
                  </w:r>
                </w:p>
              </w:tc>
              <w:tc>
                <w:tcPr>
                  <w:tcW w:w="1292" w:type="dxa"/>
                  <w:tcBorders>
                    <w:top w:val="nil"/>
                    <w:left w:val="nil"/>
                    <w:bottom w:val="nil"/>
                    <w:right w:val="nil"/>
                  </w:tcBorders>
                </w:tcPr>
                <w:p w:rsidR="00157A70" w:rsidRDefault="00316F15" w:rsidP="00E25B31">
                  <w:pPr>
                    <w:framePr w:wrap="around" w:vAnchor="text" w:hAnchor="margin"/>
                    <w:spacing w:after="0" w:line="259" w:lineRule="auto"/>
                    <w:ind w:left="133" w:right="0" w:firstLine="0"/>
                    <w:suppressOverlap/>
                    <w:jc w:val="left"/>
                  </w:pPr>
                  <w:r>
                    <w:rPr>
                      <w:sz w:val="16"/>
                    </w:rPr>
                    <w:t>.31</w:t>
                  </w:r>
                  <w:r>
                    <w:rPr>
                      <w:sz w:val="10"/>
                    </w:rPr>
                    <w:t>***</w:t>
                  </w:r>
                </w:p>
              </w:tc>
              <w:tc>
                <w:tcPr>
                  <w:tcW w:w="1169" w:type="dxa"/>
                  <w:tcBorders>
                    <w:top w:val="nil"/>
                    <w:left w:val="nil"/>
                    <w:bottom w:val="nil"/>
                    <w:right w:val="nil"/>
                  </w:tcBorders>
                </w:tcPr>
                <w:p w:rsidR="00157A70" w:rsidRDefault="00316F15" w:rsidP="00E25B31">
                  <w:pPr>
                    <w:framePr w:wrap="around" w:vAnchor="text" w:hAnchor="margin"/>
                    <w:spacing w:after="0" w:line="259" w:lineRule="auto"/>
                    <w:ind w:left="110" w:right="0" w:firstLine="0"/>
                    <w:suppressOverlap/>
                    <w:jc w:val="left"/>
                  </w:pPr>
                  <w:r>
                    <w:rPr>
                      <w:sz w:val="16"/>
                    </w:rPr>
                    <w:t>—</w:t>
                  </w:r>
                </w:p>
              </w:tc>
              <w:tc>
                <w:tcPr>
                  <w:tcW w:w="1109" w:type="dxa"/>
                  <w:tcBorders>
                    <w:top w:val="nil"/>
                    <w:left w:val="nil"/>
                    <w:bottom w:val="nil"/>
                    <w:right w:val="nil"/>
                  </w:tcBorders>
                </w:tcPr>
                <w:p w:rsidR="00157A70" w:rsidRDefault="00157A70" w:rsidP="00E25B31">
                  <w:pPr>
                    <w:framePr w:wrap="around" w:vAnchor="text" w:hAnchor="margin"/>
                    <w:spacing w:after="160" w:line="259" w:lineRule="auto"/>
                    <w:ind w:right="0" w:firstLine="0"/>
                    <w:suppressOverlap/>
                    <w:jc w:val="left"/>
                  </w:pPr>
                </w:p>
              </w:tc>
              <w:tc>
                <w:tcPr>
                  <w:tcW w:w="989" w:type="dxa"/>
                  <w:tcBorders>
                    <w:top w:val="nil"/>
                    <w:left w:val="nil"/>
                    <w:bottom w:val="nil"/>
                    <w:right w:val="nil"/>
                  </w:tcBorders>
                </w:tcPr>
                <w:p w:rsidR="00157A70" w:rsidRDefault="00157A70" w:rsidP="00E25B31">
                  <w:pPr>
                    <w:framePr w:wrap="around" w:vAnchor="text" w:hAnchor="margin"/>
                    <w:spacing w:after="160" w:line="259" w:lineRule="auto"/>
                    <w:ind w:right="0" w:firstLine="0"/>
                    <w:suppressOverlap/>
                    <w:jc w:val="left"/>
                  </w:pPr>
                </w:p>
              </w:tc>
              <w:tc>
                <w:tcPr>
                  <w:tcW w:w="170" w:type="dxa"/>
                  <w:tcBorders>
                    <w:top w:val="nil"/>
                    <w:left w:val="nil"/>
                    <w:bottom w:val="nil"/>
                    <w:right w:val="nil"/>
                  </w:tcBorders>
                </w:tcPr>
                <w:p w:rsidR="00157A70" w:rsidRDefault="00157A70" w:rsidP="00E25B31">
                  <w:pPr>
                    <w:framePr w:wrap="around" w:vAnchor="text" w:hAnchor="margin"/>
                    <w:spacing w:after="160" w:line="259" w:lineRule="auto"/>
                    <w:ind w:right="0" w:firstLine="0"/>
                    <w:suppressOverlap/>
                    <w:jc w:val="left"/>
                  </w:pPr>
                </w:p>
              </w:tc>
            </w:tr>
            <w:tr w:rsidR="00157A70">
              <w:trPr>
                <w:trHeight w:val="180"/>
              </w:trPr>
              <w:tc>
                <w:tcPr>
                  <w:tcW w:w="2893"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5. Consistency in Risk Perception</w:t>
                  </w:r>
                </w:p>
              </w:tc>
              <w:tc>
                <w:tcPr>
                  <w:tcW w:w="1292" w:type="dxa"/>
                  <w:tcBorders>
                    <w:top w:val="nil"/>
                    <w:left w:val="nil"/>
                    <w:bottom w:val="nil"/>
                    <w:right w:val="nil"/>
                  </w:tcBorders>
                </w:tcPr>
                <w:p w:rsidR="00157A70" w:rsidRDefault="00316F15" w:rsidP="00E25B31">
                  <w:pPr>
                    <w:framePr w:wrap="around" w:vAnchor="text" w:hAnchor="margin"/>
                    <w:spacing w:after="0" w:line="259" w:lineRule="auto"/>
                    <w:ind w:left="133" w:right="0" w:firstLine="0"/>
                    <w:suppressOverlap/>
                    <w:jc w:val="left"/>
                  </w:pPr>
                  <w:r>
                    <w:rPr>
                      <w:sz w:val="16"/>
                    </w:rPr>
                    <w:t>.25</w:t>
                  </w:r>
                  <w:r>
                    <w:rPr>
                      <w:sz w:val="10"/>
                    </w:rPr>
                    <w:t>***</w:t>
                  </w:r>
                </w:p>
              </w:tc>
              <w:tc>
                <w:tcPr>
                  <w:tcW w:w="1046"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.25</w:t>
                  </w:r>
                  <w:r>
                    <w:rPr>
                      <w:sz w:val="10"/>
                    </w:rPr>
                    <w:t>***</w:t>
                  </w:r>
                </w:p>
              </w:tc>
              <w:tc>
                <w:tcPr>
                  <w:tcW w:w="1292" w:type="dxa"/>
                  <w:tcBorders>
                    <w:top w:val="nil"/>
                    <w:left w:val="nil"/>
                    <w:bottom w:val="nil"/>
                    <w:right w:val="nil"/>
                  </w:tcBorders>
                </w:tcPr>
                <w:p w:rsidR="00157A70" w:rsidRDefault="00316F15" w:rsidP="00E25B31">
                  <w:pPr>
                    <w:framePr w:wrap="around" w:vAnchor="text" w:hAnchor="margin"/>
                    <w:spacing w:after="0" w:line="259" w:lineRule="auto"/>
                    <w:ind w:left="133" w:right="0" w:firstLine="0"/>
                    <w:suppressOverlap/>
                    <w:jc w:val="left"/>
                  </w:pPr>
                  <w:r>
                    <w:rPr>
                      <w:sz w:val="16"/>
                    </w:rPr>
                    <w:t>.17</w:t>
                  </w:r>
                  <w:r>
                    <w:rPr>
                      <w:sz w:val="16"/>
                      <w:vertAlign w:val="superscript"/>
                    </w:rPr>
                    <w:t>**</w:t>
                  </w:r>
                </w:p>
              </w:tc>
              <w:tc>
                <w:tcPr>
                  <w:tcW w:w="1169"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.43</w:t>
                  </w:r>
                  <w:r>
                    <w:rPr>
                      <w:sz w:val="10"/>
                    </w:rPr>
                    <w:t>***</w:t>
                  </w:r>
                </w:p>
              </w:tc>
              <w:tc>
                <w:tcPr>
                  <w:tcW w:w="1109" w:type="dxa"/>
                  <w:tcBorders>
                    <w:top w:val="nil"/>
                    <w:left w:val="nil"/>
                    <w:bottom w:val="nil"/>
                    <w:right w:val="nil"/>
                  </w:tcBorders>
                </w:tcPr>
                <w:p w:rsidR="00157A70" w:rsidRDefault="00316F15" w:rsidP="00E25B31">
                  <w:pPr>
                    <w:framePr w:wrap="around" w:vAnchor="text" w:hAnchor="margin"/>
                    <w:spacing w:after="0" w:line="259" w:lineRule="auto"/>
                    <w:ind w:left="80" w:right="0" w:firstLine="0"/>
                    <w:suppressOverlap/>
                    <w:jc w:val="left"/>
                  </w:pPr>
                  <w:r>
                    <w:rPr>
                      <w:sz w:val="16"/>
                    </w:rPr>
                    <w:t>—</w:t>
                  </w:r>
                </w:p>
              </w:tc>
              <w:tc>
                <w:tcPr>
                  <w:tcW w:w="989" w:type="dxa"/>
                  <w:tcBorders>
                    <w:top w:val="nil"/>
                    <w:left w:val="nil"/>
                    <w:bottom w:val="nil"/>
                    <w:right w:val="nil"/>
                  </w:tcBorders>
                </w:tcPr>
                <w:p w:rsidR="00157A70" w:rsidRDefault="00157A70" w:rsidP="00E25B31">
                  <w:pPr>
                    <w:framePr w:wrap="around" w:vAnchor="text" w:hAnchor="margin"/>
                    <w:spacing w:after="160" w:line="259" w:lineRule="auto"/>
                    <w:ind w:right="0" w:firstLine="0"/>
                    <w:suppressOverlap/>
                    <w:jc w:val="left"/>
                  </w:pPr>
                </w:p>
              </w:tc>
              <w:tc>
                <w:tcPr>
                  <w:tcW w:w="170" w:type="dxa"/>
                  <w:tcBorders>
                    <w:top w:val="nil"/>
                    <w:left w:val="nil"/>
                    <w:bottom w:val="nil"/>
                    <w:right w:val="nil"/>
                  </w:tcBorders>
                </w:tcPr>
                <w:p w:rsidR="00157A70" w:rsidRDefault="00157A70" w:rsidP="00E25B31">
                  <w:pPr>
                    <w:framePr w:wrap="around" w:vAnchor="text" w:hAnchor="margin"/>
                    <w:spacing w:after="160" w:line="259" w:lineRule="auto"/>
                    <w:ind w:right="0" w:firstLine="0"/>
                    <w:suppressOverlap/>
                    <w:jc w:val="left"/>
                  </w:pPr>
                </w:p>
              </w:tc>
            </w:tr>
            <w:tr w:rsidR="00157A70">
              <w:trPr>
                <w:trHeight w:val="184"/>
              </w:trPr>
              <w:tc>
                <w:tcPr>
                  <w:tcW w:w="2893"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6. Resistance to Sunk Costs</w:t>
                  </w:r>
                </w:p>
              </w:tc>
              <w:tc>
                <w:tcPr>
                  <w:tcW w:w="1292"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.01</w:t>
                  </w:r>
                </w:p>
              </w:tc>
              <w:tc>
                <w:tcPr>
                  <w:tcW w:w="1046"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.23</w:t>
                  </w:r>
                  <w:r>
                    <w:rPr>
                      <w:sz w:val="10"/>
                    </w:rPr>
                    <w:t>***</w:t>
                  </w:r>
                </w:p>
              </w:tc>
              <w:tc>
                <w:tcPr>
                  <w:tcW w:w="1292"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.01</w:t>
                  </w:r>
                </w:p>
              </w:tc>
              <w:tc>
                <w:tcPr>
                  <w:tcW w:w="1169"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.20</w:t>
                  </w:r>
                  <w:r>
                    <w:rPr>
                      <w:sz w:val="10"/>
                    </w:rPr>
                    <w:t>***</w:t>
                  </w:r>
                </w:p>
              </w:tc>
              <w:tc>
                <w:tcPr>
                  <w:tcW w:w="1109"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.18</w:t>
                  </w:r>
                  <w:r>
                    <w:rPr>
                      <w:sz w:val="16"/>
                      <w:vertAlign w:val="superscript"/>
                    </w:rPr>
                    <w:t>**</w:t>
                  </w:r>
                </w:p>
              </w:tc>
              <w:tc>
                <w:tcPr>
                  <w:tcW w:w="989" w:type="dxa"/>
                  <w:tcBorders>
                    <w:top w:val="nil"/>
                    <w:left w:val="nil"/>
                    <w:bottom w:val="nil"/>
                    <w:right w:val="nil"/>
                  </w:tcBorders>
                </w:tcPr>
                <w:p w:rsidR="00157A70" w:rsidRDefault="00316F15" w:rsidP="00E25B31">
                  <w:pPr>
                    <w:framePr w:wrap="around" w:vAnchor="text" w:hAnchor="margin"/>
                    <w:spacing w:after="0" w:line="259" w:lineRule="auto"/>
                    <w:ind w:left="20" w:right="0" w:firstLine="0"/>
                    <w:suppressOverlap/>
                    <w:jc w:val="left"/>
                  </w:pPr>
                  <w:r>
                    <w:rPr>
                      <w:sz w:val="16"/>
                    </w:rPr>
                    <w:t>—</w:t>
                  </w:r>
                </w:p>
              </w:tc>
              <w:tc>
                <w:tcPr>
                  <w:tcW w:w="170" w:type="dxa"/>
                  <w:tcBorders>
                    <w:top w:val="nil"/>
                    <w:left w:val="nil"/>
                    <w:bottom w:val="nil"/>
                    <w:right w:val="nil"/>
                  </w:tcBorders>
                </w:tcPr>
                <w:p w:rsidR="00157A70" w:rsidRDefault="00157A70" w:rsidP="00E25B31">
                  <w:pPr>
                    <w:framePr w:wrap="around" w:vAnchor="text" w:hAnchor="margin"/>
                    <w:spacing w:after="160" w:line="259" w:lineRule="auto"/>
                    <w:ind w:right="0" w:firstLine="0"/>
                    <w:suppressOverlap/>
                    <w:jc w:val="left"/>
                  </w:pPr>
                </w:p>
              </w:tc>
            </w:tr>
            <w:tr w:rsidR="00157A70">
              <w:trPr>
                <w:trHeight w:val="231"/>
              </w:trPr>
              <w:tc>
                <w:tcPr>
                  <w:tcW w:w="2893" w:type="dxa"/>
                  <w:tcBorders>
                    <w:top w:val="nil"/>
                    <w:left w:val="nil"/>
                    <w:bottom w:val="single" w:sz="4" w:space="0" w:color="181717"/>
                    <w:right w:val="nil"/>
                  </w:tcBorders>
                </w:tcPr>
                <w:p w:rsidR="00157A70" w:rsidRDefault="00316F15" w:rsidP="00E25B31">
                  <w:pPr>
                    <w:framePr w:wrap="around" w:vAnchor="text" w:hAnchor="margin"/>
                    <w:spacing w:after="0" w:line="259" w:lineRule="auto"/>
                    <w:ind w:right="0" w:firstLine="0"/>
                    <w:suppressOverlap/>
                    <w:jc w:val="left"/>
                  </w:pPr>
                  <w:r>
                    <w:rPr>
                      <w:sz w:val="16"/>
                    </w:rPr>
                    <w:t>7. Path Independence</w:t>
                  </w:r>
                </w:p>
              </w:tc>
              <w:tc>
                <w:tcPr>
                  <w:tcW w:w="1292" w:type="dxa"/>
                  <w:tcBorders>
                    <w:top w:val="nil"/>
                    <w:left w:val="nil"/>
                    <w:bottom w:val="single" w:sz="4" w:space="0" w:color="181717"/>
                    <w:right w:val="nil"/>
                  </w:tcBorders>
                </w:tcPr>
                <w:p w:rsidR="00157A70" w:rsidRDefault="00316F15" w:rsidP="00E25B31">
                  <w:pPr>
                    <w:framePr w:wrap="around" w:vAnchor="text" w:hAnchor="margin"/>
                    <w:spacing w:after="0" w:line="259" w:lineRule="auto"/>
                    <w:ind w:left="133" w:right="0" w:firstLine="0"/>
                    <w:suppressOverlap/>
                    <w:jc w:val="left"/>
                  </w:pPr>
                  <w:r>
                    <w:rPr>
                      <w:sz w:val="16"/>
                    </w:rPr>
                    <w:t>.02</w:t>
                  </w:r>
                </w:p>
              </w:tc>
              <w:tc>
                <w:tcPr>
                  <w:tcW w:w="1046" w:type="dxa"/>
                  <w:tcBorders>
                    <w:top w:val="nil"/>
                    <w:left w:val="nil"/>
                    <w:bottom w:val="single" w:sz="4" w:space="0" w:color="181717"/>
                    <w:right w:val="nil"/>
                  </w:tcBorders>
                </w:tcPr>
                <w:p w:rsidR="00157A70" w:rsidRDefault="00316F15" w:rsidP="00E25B31">
                  <w:pPr>
                    <w:framePr w:wrap="around" w:vAnchor="text" w:hAnchor="margin"/>
                    <w:spacing w:after="0" w:line="259" w:lineRule="auto"/>
                    <w:ind w:right="0" w:firstLine="0"/>
                    <w:suppressOverlap/>
                    <w:jc w:val="left"/>
                  </w:pPr>
                  <w:r>
                    <w:rPr>
                      <w:sz w:val="16"/>
                    </w:rPr>
                    <w:t>.07</w:t>
                  </w:r>
                </w:p>
              </w:tc>
              <w:tc>
                <w:tcPr>
                  <w:tcW w:w="1292" w:type="dxa"/>
                  <w:tcBorders>
                    <w:top w:val="nil"/>
                    <w:left w:val="nil"/>
                    <w:bottom w:val="single" w:sz="4" w:space="0" w:color="181717"/>
                    <w:right w:val="nil"/>
                  </w:tcBorders>
                </w:tcPr>
                <w:p w:rsidR="00157A70" w:rsidRDefault="00316F15" w:rsidP="00E25B31">
                  <w:pPr>
                    <w:framePr w:wrap="around" w:vAnchor="text" w:hAnchor="margin"/>
                    <w:spacing w:after="0" w:line="259" w:lineRule="auto"/>
                    <w:ind w:right="0" w:firstLine="0"/>
                    <w:suppressOverlap/>
                    <w:jc w:val="left"/>
                  </w:pPr>
                  <w:r>
                    <w:rPr>
                      <w:sz w:val="16"/>
                    </w:rPr>
                    <w:t>.05</w:t>
                  </w:r>
                </w:p>
              </w:tc>
              <w:tc>
                <w:tcPr>
                  <w:tcW w:w="1169" w:type="dxa"/>
                  <w:tcBorders>
                    <w:top w:val="nil"/>
                    <w:left w:val="nil"/>
                    <w:bottom w:val="single" w:sz="4" w:space="0" w:color="181717"/>
                    <w:right w:val="nil"/>
                  </w:tcBorders>
                </w:tcPr>
                <w:p w:rsidR="00157A70" w:rsidRDefault="00316F15" w:rsidP="00E25B31">
                  <w:pPr>
                    <w:framePr w:wrap="around" w:vAnchor="text" w:hAnchor="margin"/>
                    <w:spacing w:after="0" w:line="259" w:lineRule="auto"/>
                    <w:ind w:right="0" w:firstLine="0"/>
                    <w:suppressOverlap/>
                    <w:jc w:val="left"/>
                  </w:pPr>
                  <w:r>
                    <w:rPr>
                      <w:sz w:val="16"/>
                    </w:rPr>
                    <w:t>.05</w:t>
                  </w:r>
                </w:p>
              </w:tc>
              <w:tc>
                <w:tcPr>
                  <w:tcW w:w="1109" w:type="dxa"/>
                  <w:tcBorders>
                    <w:top w:val="nil"/>
                    <w:left w:val="nil"/>
                    <w:bottom w:val="single" w:sz="4" w:space="0" w:color="181717"/>
                    <w:right w:val="nil"/>
                  </w:tcBorders>
                </w:tcPr>
                <w:p w:rsidR="00157A70" w:rsidRDefault="00316F15" w:rsidP="00E25B31">
                  <w:pPr>
                    <w:framePr w:wrap="around" w:vAnchor="text" w:hAnchor="margin"/>
                    <w:spacing w:after="0" w:line="259" w:lineRule="auto"/>
                    <w:ind w:right="0" w:firstLine="0"/>
                    <w:suppressOverlap/>
                    <w:jc w:val="left"/>
                  </w:pPr>
                  <w:r>
                    <w:rPr>
                      <w:sz w:val="16"/>
                    </w:rPr>
                    <w:t>.03</w:t>
                  </w:r>
                </w:p>
              </w:tc>
              <w:tc>
                <w:tcPr>
                  <w:tcW w:w="989" w:type="dxa"/>
                  <w:tcBorders>
                    <w:top w:val="nil"/>
                    <w:left w:val="nil"/>
                    <w:bottom w:val="single" w:sz="4" w:space="0" w:color="181717"/>
                    <w:right w:val="nil"/>
                  </w:tcBorders>
                </w:tcPr>
                <w:p w:rsidR="00157A70" w:rsidRDefault="00316F15" w:rsidP="00E25B31">
                  <w:pPr>
                    <w:framePr w:wrap="around" w:vAnchor="text" w:hAnchor="margin"/>
                    <w:spacing w:after="0" w:line="259" w:lineRule="auto"/>
                    <w:ind w:right="0" w:firstLine="0"/>
                    <w:suppressOverlap/>
                    <w:jc w:val="left"/>
                  </w:pPr>
                  <w:r>
                    <w:rPr>
                      <w:sz w:val="16"/>
                    </w:rPr>
                    <w:t>.09</w:t>
                  </w:r>
                </w:p>
              </w:tc>
              <w:tc>
                <w:tcPr>
                  <w:tcW w:w="170" w:type="dxa"/>
                  <w:tcBorders>
                    <w:top w:val="nil"/>
                    <w:left w:val="nil"/>
                    <w:bottom w:val="single" w:sz="4" w:space="0" w:color="181717"/>
                    <w:right w:val="nil"/>
                  </w:tcBorders>
                </w:tcPr>
                <w:p w:rsidR="00157A70" w:rsidRDefault="00316F15" w:rsidP="00E25B31">
                  <w:pPr>
                    <w:framePr w:wrap="around" w:vAnchor="text" w:hAnchor="margin"/>
                    <w:spacing w:after="0" w:line="259" w:lineRule="auto"/>
                    <w:ind w:right="0" w:firstLine="0"/>
                    <w:suppressOverlap/>
                  </w:pPr>
                  <w:r>
                    <w:rPr>
                      <w:sz w:val="16"/>
                    </w:rPr>
                    <w:t>—</w:t>
                  </w:r>
                </w:p>
              </w:tc>
            </w:tr>
          </w:tbl>
          <w:p w:rsidR="00157A70" w:rsidRDefault="00316F15">
            <w:pPr>
              <w:tabs>
                <w:tab w:val="center" w:pos="3381"/>
              </w:tabs>
              <w:spacing w:after="0" w:line="259" w:lineRule="auto"/>
              <w:ind w:right="0" w:firstLine="0"/>
              <w:jc w:val="left"/>
            </w:pPr>
            <w:r>
              <w:rPr>
                <w:i/>
                <w:sz w:val="16"/>
              </w:rPr>
              <w:t>Note.</w:t>
            </w:r>
            <w:r>
              <w:rPr>
                <w:i/>
                <w:sz w:val="16"/>
              </w:rPr>
              <w:tab/>
            </w:r>
            <w:r>
              <w:rPr>
                <w:sz w:val="16"/>
              </w:rPr>
              <w:t xml:space="preserve">All </w:t>
            </w:r>
            <w:r>
              <w:rPr>
                <w:i/>
                <w:sz w:val="16"/>
              </w:rPr>
              <w:t xml:space="preserve">p </w:t>
            </w:r>
            <w:r>
              <w:rPr>
                <w:sz w:val="16"/>
              </w:rPr>
              <w:t>values represent two-sided tests. A-</w:t>
            </w:r>
            <w:proofErr w:type="gramStart"/>
            <w:r>
              <w:rPr>
                <w:sz w:val="16"/>
              </w:rPr>
              <w:t xml:space="preserve">DMC </w:t>
            </w:r>
            <w:r>
              <w:rPr>
                <w:rFonts w:ascii="Calibri" w:eastAsia="Calibri" w:hAnsi="Calibri" w:cs="Calibri"/>
                <w:sz w:val="16"/>
              </w:rPr>
              <w:t xml:space="preserve"> </w:t>
            </w:r>
            <w:r>
              <w:rPr>
                <w:sz w:val="16"/>
              </w:rPr>
              <w:t>Adult</w:t>
            </w:r>
            <w:proofErr w:type="gramEnd"/>
            <w:r>
              <w:rPr>
                <w:sz w:val="16"/>
              </w:rPr>
              <w:t xml:space="preserve"> Decision-Making Competence.</w:t>
            </w:r>
          </w:p>
        </w:tc>
      </w:tr>
    </w:tbl>
    <w:p w:rsidR="00157A70" w:rsidRDefault="00316F15">
      <w:pPr>
        <w:spacing w:after="496" w:line="278" w:lineRule="auto"/>
        <w:ind w:left="-15" w:right="0" w:firstLine="0"/>
      </w:pPr>
      <w:r>
        <w:rPr>
          <w:sz w:val="16"/>
          <w:vertAlign w:val="superscript"/>
        </w:rPr>
        <w:t xml:space="preserve">** </w:t>
      </w:r>
      <w:proofErr w:type="gramStart"/>
      <w:r>
        <w:rPr>
          <w:i/>
          <w:sz w:val="16"/>
        </w:rPr>
        <w:t xml:space="preserve">p </w:t>
      </w:r>
      <w:r>
        <w:rPr>
          <w:rFonts w:ascii="Calibri" w:eastAsia="Calibri" w:hAnsi="Calibri" w:cs="Calibri"/>
          <w:sz w:val="16"/>
        </w:rPr>
        <w:t xml:space="preserve"> </w:t>
      </w:r>
      <w:r>
        <w:rPr>
          <w:sz w:val="16"/>
        </w:rPr>
        <w:t>.</w:t>
      </w:r>
      <w:proofErr w:type="gramEnd"/>
      <w:r>
        <w:rPr>
          <w:sz w:val="16"/>
        </w:rPr>
        <w:t xml:space="preserve">01. </w:t>
      </w:r>
      <w:r>
        <w:rPr>
          <w:sz w:val="16"/>
          <w:vertAlign w:val="superscript"/>
        </w:rPr>
        <w:t xml:space="preserve">*** </w:t>
      </w:r>
      <w:proofErr w:type="gramStart"/>
      <w:r>
        <w:rPr>
          <w:i/>
          <w:sz w:val="16"/>
        </w:rPr>
        <w:t xml:space="preserve">p </w:t>
      </w:r>
      <w:r>
        <w:rPr>
          <w:rFonts w:ascii="Calibri" w:eastAsia="Calibri" w:hAnsi="Calibri" w:cs="Calibri"/>
          <w:sz w:val="16"/>
        </w:rPr>
        <w:t xml:space="preserve"> </w:t>
      </w:r>
      <w:r>
        <w:rPr>
          <w:sz w:val="16"/>
        </w:rPr>
        <w:t>.</w:t>
      </w:r>
      <w:proofErr w:type="gramEnd"/>
      <w:r>
        <w:rPr>
          <w:sz w:val="16"/>
        </w:rPr>
        <w:t>001.</w:t>
      </w:r>
    </w:p>
    <w:p w:rsidR="00157A70" w:rsidRDefault="00316F15">
      <w:pPr>
        <w:ind w:left="-15" w:right="0" w:firstLine="0"/>
      </w:pPr>
      <w:r>
        <w:t>the unweighted average score, including Path Independence (</w:t>
      </w:r>
      <w:proofErr w:type="gramStart"/>
      <w:r>
        <w:rPr>
          <w:i/>
        </w:rPr>
        <w:t xml:space="preserve">r </w:t>
      </w:r>
      <w:r>
        <w:rPr>
          <w:rFonts w:ascii="Calibri" w:eastAsia="Calibri" w:hAnsi="Calibri" w:cs="Calibri"/>
        </w:rPr>
        <w:t xml:space="preserve"> </w:t>
      </w:r>
      <w:r>
        <w:t>.</w:t>
      </w:r>
      <w:proofErr w:type="gramEnd"/>
      <w:r>
        <w:t xml:space="preserve">96, </w:t>
      </w:r>
      <w:r>
        <w:rPr>
          <w:i/>
        </w:rPr>
        <w:t xml:space="preserve">p </w:t>
      </w:r>
      <w:r>
        <w:rPr>
          <w:rFonts w:ascii="Calibri" w:eastAsia="Calibri" w:hAnsi="Calibri" w:cs="Calibri"/>
        </w:rPr>
        <w:t xml:space="preserve"> </w:t>
      </w:r>
      <w:r>
        <w:t xml:space="preserve">.001). We use the unweighted average rather than the Anderson-Rubin factor score, the aggregate measure reported by Parker and </w:t>
      </w:r>
      <w:proofErr w:type="spellStart"/>
      <w:r>
        <w:t>Fischhoff</w:t>
      </w:r>
      <w:proofErr w:type="spellEnd"/>
      <w:r>
        <w:t xml:space="preserve"> (2005), because of its simplicity and robustness (it is highly correlated with the one-factor solution using Anderson-Rubin factor scores; </w:t>
      </w:r>
      <w:proofErr w:type="gramStart"/>
      <w:r>
        <w:rPr>
          <w:i/>
        </w:rPr>
        <w:t xml:space="preserve">r </w:t>
      </w:r>
      <w:r>
        <w:rPr>
          <w:rFonts w:ascii="Calibri" w:eastAsia="Calibri" w:hAnsi="Calibri" w:cs="Calibri"/>
        </w:rPr>
        <w:t xml:space="preserve"> </w:t>
      </w:r>
      <w:r>
        <w:t>.</w:t>
      </w:r>
      <w:proofErr w:type="gramEnd"/>
      <w:r>
        <w:t xml:space="preserve">92, </w:t>
      </w:r>
      <w:r>
        <w:rPr>
          <w:i/>
        </w:rPr>
        <w:t xml:space="preserve">p </w:t>
      </w:r>
      <w:r>
        <w:rPr>
          <w:rFonts w:ascii="Calibri" w:eastAsia="Calibri" w:hAnsi="Calibri" w:cs="Calibri"/>
        </w:rPr>
        <w:t xml:space="preserve"> </w:t>
      </w:r>
      <w:r>
        <w:t>.001), recognizing that specific weights may depend on the sample. Each of these aggregate measures produces a similar pattern of results in the subsequent analyses.</w:t>
      </w:r>
    </w:p>
    <w:p w:rsidR="00157A70" w:rsidRDefault="00316F15">
      <w:pPr>
        <w:spacing w:after="244"/>
        <w:ind w:left="-15" w:right="0"/>
      </w:pPr>
      <w:r>
        <w:t xml:space="preserve">Overall, the A-DMC demonstrates good internal consistency. Cronbach’s alpha is .85 across the </w:t>
      </w:r>
      <w:r>
        <w:rPr>
          <w:i/>
        </w:rPr>
        <w:t xml:space="preserve">z </w:t>
      </w:r>
      <w:r>
        <w:t xml:space="preserve">scores for the A-DMC’s 103 individual items and .83 across the </w:t>
      </w:r>
      <w:r>
        <w:rPr>
          <w:i/>
        </w:rPr>
        <w:t xml:space="preserve">z </w:t>
      </w:r>
      <w:r>
        <w:t xml:space="preserve">scores for the seven A-DMC components, using Nunnally and Bernstein’s (1994) computation for linear combinations of measures. Excluding Path Independence leaves these values unchanged. The unweighted average across </w:t>
      </w:r>
      <w:r>
        <w:rPr>
          <w:i/>
        </w:rPr>
        <w:t xml:space="preserve">z </w:t>
      </w:r>
      <w:r>
        <w:t>scores for the seven A-DMC components scores also shows good test–retest reliability (</w:t>
      </w:r>
      <w:proofErr w:type="gramStart"/>
      <w:r>
        <w:rPr>
          <w:i/>
        </w:rPr>
        <w:t xml:space="preserve">r </w:t>
      </w:r>
      <w:r>
        <w:rPr>
          <w:rFonts w:ascii="Calibri" w:eastAsia="Calibri" w:hAnsi="Calibri" w:cs="Calibri"/>
        </w:rPr>
        <w:t xml:space="preserve"> </w:t>
      </w:r>
      <w:r>
        <w:t>.</w:t>
      </w:r>
      <w:proofErr w:type="gramEnd"/>
      <w:r>
        <w:t xml:space="preserve">68, </w:t>
      </w:r>
      <w:r>
        <w:rPr>
          <w:i/>
        </w:rPr>
        <w:t xml:space="preserve">p </w:t>
      </w:r>
      <w:r>
        <w:rPr>
          <w:rFonts w:ascii="Calibri" w:eastAsia="Calibri" w:hAnsi="Calibri" w:cs="Calibri"/>
        </w:rPr>
        <w:t xml:space="preserve"> </w:t>
      </w:r>
      <w:r>
        <w:t>.001). Without Path Independence, the aggregate measure has a test–retest reliability of .73 (</w:t>
      </w:r>
      <w:proofErr w:type="gramStart"/>
      <w:r>
        <w:rPr>
          <w:i/>
        </w:rPr>
        <w:t xml:space="preserve">p </w:t>
      </w:r>
      <w:r>
        <w:rPr>
          <w:rFonts w:ascii="Calibri" w:eastAsia="Calibri" w:hAnsi="Calibri" w:cs="Calibri"/>
        </w:rPr>
        <w:t xml:space="preserve"> </w:t>
      </w:r>
      <w:r>
        <w:t>.</w:t>
      </w:r>
      <w:proofErr w:type="gramEnd"/>
      <w:r>
        <w:t>001).</w:t>
      </w:r>
    </w:p>
    <w:p w:rsidR="00157A70" w:rsidRDefault="00316F15">
      <w:pPr>
        <w:pStyle w:val="2"/>
        <w:ind w:left="-5"/>
      </w:pPr>
      <w:r>
        <w:t>Aim 2: Assess the Nomological Validity of the A-DMC</w:t>
      </w:r>
    </w:p>
    <w:p w:rsidR="00157A70" w:rsidRDefault="00316F15">
      <w:pPr>
        <w:spacing w:after="433"/>
        <w:ind w:left="-15" w:right="0"/>
      </w:pPr>
      <w:r>
        <w:rPr>
          <w:i/>
        </w:rPr>
        <w:t xml:space="preserve">Aim 2a: SES. </w:t>
      </w:r>
      <w:r>
        <w:t>Our two measures of SES are (a) whether (1) or not (0) participants were recruited through a social service organization serving low-SES communities and (b) participants’ high-</w:t>
      </w:r>
    </w:p>
    <w:p w:rsidR="00157A70" w:rsidRDefault="00316F15">
      <w:pPr>
        <w:ind w:left="-15" w:right="0" w:firstLine="0"/>
      </w:pPr>
      <w:r>
        <w:t>Table 4</w:t>
      </w:r>
    </w:p>
    <w:p w:rsidR="00157A70" w:rsidRDefault="00316F15">
      <w:pPr>
        <w:spacing w:after="0" w:line="259" w:lineRule="auto"/>
        <w:ind w:right="0" w:firstLine="0"/>
        <w:jc w:val="left"/>
      </w:pPr>
      <w:r>
        <w:rPr>
          <w:i/>
        </w:rPr>
        <w:t>Factor Analyses of the A-DMC Measures</w:t>
      </w:r>
    </w:p>
    <w:tbl>
      <w:tblPr>
        <w:tblStyle w:val="TableGrid"/>
        <w:tblW w:w="4800" w:type="dxa"/>
        <w:tblInd w:w="0" w:type="dxa"/>
        <w:tblCellMar>
          <w:top w:w="17" w:type="dxa"/>
          <w:bottom w:w="17" w:type="dxa"/>
          <w:right w:w="10" w:type="dxa"/>
        </w:tblCellMar>
        <w:tblLook w:val="04A0" w:firstRow="1" w:lastRow="0" w:firstColumn="1" w:lastColumn="0" w:noHBand="0" w:noVBand="1"/>
      </w:tblPr>
      <w:tblGrid>
        <w:gridCol w:w="2459"/>
        <w:gridCol w:w="1098"/>
        <w:gridCol w:w="819"/>
        <w:gridCol w:w="424"/>
      </w:tblGrid>
      <w:tr w:rsidR="00157A70">
        <w:trPr>
          <w:trHeight w:val="725"/>
        </w:trPr>
        <w:tc>
          <w:tcPr>
            <w:tcW w:w="2460" w:type="dxa"/>
            <w:tcBorders>
              <w:top w:val="single" w:sz="8" w:space="0" w:color="181717"/>
              <w:left w:val="nil"/>
              <w:bottom w:val="single" w:sz="4" w:space="0" w:color="181717"/>
              <w:right w:val="nil"/>
            </w:tcBorders>
            <w:vAlign w:val="bottom"/>
          </w:tcPr>
          <w:p w:rsidR="00157A70" w:rsidRDefault="00316F15">
            <w:pPr>
              <w:spacing w:after="0" w:line="259" w:lineRule="auto"/>
              <w:ind w:left="383" w:right="0" w:firstLine="0"/>
              <w:jc w:val="left"/>
            </w:pPr>
            <w:r>
              <w:rPr>
                <w:sz w:val="16"/>
              </w:rPr>
              <w:t>A-DMC component</w:t>
            </w:r>
          </w:p>
        </w:tc>
        <w:tc>
          <w:tcPr>
            <w:tcW w:w="1098" w:type="dxa"/>
            <w:tcBorders>
              <w:top w:val="single" w:sz="8" w:space="0" w:color="181717"/>
              <w:left w:val="nil"/>
              <w:bottom w:val="single" w:sz="4" w:space="0" w:color="181717"/>
              <w:right w:val="nil"/>
            </w:tcBorders>
            <w:vAlign w:val="bottom"/>
          </w:tcPr>
          <w:p w:rsidR="00157A70" w:rsidRDefault="00316F15">
            <w:pPr>
              <w:spacing w:after="0" w:line="259" w:lineRule="auto"/>
              <w:ind w:left="146" w:right="0" w:hanging="146"/>
              <w:jc w:val="left"/>
            </w:pPr>
            <w:r>
              <w:rPr>
                <w:sz w:val="16"/>
              </w:rPr>
              <w:t>One-factor model</w:t>
            </w:r>
          </w:p>
        </w:tc>
        <w:tc>
          <w:tcPr>
            <w:tcW w:w="1242" w:type="dxa"/>
            <w:gridSpan w:val="2"/>
            <w:tcBorders>
              <w:top w:val="single" w:sz="8" w:space="0" w:color="181717"/>
              <w:left w:val="nil"/>
              <w:bottom w:val="single" w:sz="4" w:space="0" w:color="181717"/>
              <w:right w:val="nil"/>
            </w:tcBorders>
          </w:tcPr>
          <w:p w:rsidR="00157A70" w:rsidRDefault="00316F15">
            <w:pPr>
              <w:spacing w:after="0" w:line="259" w:lineRule="auto"/>
              <w:ind w:left="3" w:right="0" w:hanging="3"/>
              <w:jc w:val="center"/>
            </w:pPr>
            <w:r>
              <w:rPr>
                <w:sz w:val="16"/>
              </w:rPr>
              <w:t>Two-factor model (</w:t>
            </w:r>
            <w:proofErr w:type="spellStart"/>
            <w:r>
              <w:rPr>
                <w:sz w:val="16"/>
              </w:rPr>
              <w:t>oblimin</w:t>
            </w:r>
            <w:proofErr w:type="spellEnd"/>
            <w:r>
              <w:rPr>
                <w:sz w:val="16"/>
              </w:rPr>
              <w:t xml:space="preserve"> rotation structure matrix)</w:t>
            </w:r>
          </w:p>
        </w:tc>
      </w:tr>
      <w:tr w:rsidR="00157A70">
        <w:trPr>
          <w:trHeight w:val="306"/>
        </w:trPr>
        <w:tc>
          <w:tcPr>
            <w:tcW w:w="2460" w:type="dxa"/>
            <w:tcBorders>
              <w:top w:val="single" w:sz="4" w:space="0" w:color="181717"/>
              <w:left w:val="nil"/>
              <w:bottom w:val="nil"/>
              <w:right w:val="nil"/>
            </w:tcBorders>
            <w:vAlign w:val="bottom"/>
          </w:tcPr>
          <w:p w:rsidR="00157A70" w:rsidRDefault="00316F15">
            <w:pPr>
              <w:spacing w:after="0" w:line="259" w:lineRule="auto"/>
              <w:ind w:right="0" w:firstLine="0"/>
              <w:jc w:val="left"/>
            </w:pPr>
            <w:r>
              <w:rPr>
                <w:sz w:val="16"/>
              </w:rPr>
              <w:t>Resistance to Framing</w:t>
            </w:r>
          </w:p>
        </w:tc>
        <w:tc>
          <w:tcPr>
            <w:tcW w:w="1098" w:type="dxa"/>
            <w:tcBorders>
              <w:top w:val="single" w:sz="4" w:space="0" w:color="181717"/>
              <w:left w:val="nil"/>
              <w:bottom w:val="nil"/>
              <w:right w:val="nil"/>
            </w:tcBorders>
            <w:vAlign w:val="bottom"/>
          </w:tcPr>
          <w:p w:rsidR="00157A70" w:rsidRDefault="00316F15">
            <w:pPr>
              <w:spacing w:after="0" w:line="259" w:lineRule="auto"/>
              <w:ind w:left="300" w:right="0" w:firstLine="0"/>
              <w:jc w:val="left"/>
            </w:pPr>
            <w:r>
              <w:rPr>
                <w:sz w:val="16"/>
              </w:rPr>
              <w:t>.48</w:t>
            </w:r>
          </w:p>
        </w:tc>
        <w:tc>
          <w:tcPr>
            <w:tcW w:w="819" w:type="dxa"/>
            <w:tcBorders>
              <w:top w:val="single" w:sz="4" w:space="0" w:color="181717"/>
              <w:left w:val="nil"/>
              <w:bottom w:val="nil"/>
              <w:right w:val="nil"/>
            </w:tcBorders>
            <w:vAlign w:val="bottom"/>
          </w:tcPr>
          <w:p w:rsidR="00157A70" w:rsidRDefault="00316F15">
            <w:pPr>
              <w:spacing w:after="0" w:line="259" w:lineRule="auto"/>
              <w:ind w:left="160" w:right="0" w:firstLine="0"/>
              <w:jc w:val="left"/>
            </w:pPr>
            <w:r>
              <w:rPr>
                <w:sz w:val="16"/>
                <w:u w:val="single" w:color="181717"/>
              </w:rPr>
              <w:t>.51</w:t>
            </w:r>
          </w:p>
        </w:tc>
        <w:tc>
          <w:tcPr>
            <w:tcW w:w="423" w:type="dxa"/>
            <w:tcBorders>
              <w:top w:val="single" w:sz="4" w:space="0" w:color="181717"/>
              <w:left w:val="nil"/>
              <w:bottom w:val="nil"/>
              <w:right w:val="nil"/>
            </w:tcBorders>
            <w:vAlign w:val="bottom"/>
          </w:tcPr>
          <w:p w:rsidR="00157A70" w:rsidRDefault="00316F15">
            <w:pPr>
              <w:spacing w:after="0" w:line="259" w:lineRule="auto"/>
              <w:ind w:right="53" w:firstLine="0"/>
              <w:jc w:val="right"/>
            </w:pPr>
            <w:r>
              <w:rPr>
                <w:sz w:val="16"/>
              </w:rPr>
              <w:t>.15</w:t>
            </w:r>
          </w:p>
        </w:tc>
      </w:tr>
      <w:tr w:rsidR="00157A70">
        <w:trPr>
          <w:trHeight w:val="180"/>
        </w:trPr>
        <w:tc>
          <w:tcPr>
            <w:tcW w:w="2460" w:type="dxa"/>
            <w:tcBorders>
              <w:top w:val="nil"/>
              <w:left w:val="nil"/>
              <w:bottom w:val="nil"/>
              <w:right w:val="nil"/>
            </w:tcBorders>
          </w:tcPr>
          <w:p w:rsidR="00157A70" w:rsidRDefault="00316F15">
            <w:pPr>
              <w:spacing w:after="0" w:line="259" w:lineRule="auto"/>
              <w:ind w:right="0" w:firstLine="0"/>
              <w:jc w:val="left"/>
            </w:pPr>
            <w:r>
              <w:rPr>
                <w:sz w:val="16"/>
              </w:rPr>
              <w:t>Recognizing Social Norms</w:t>
            </w:r>
          </w:p>
        </w:tc>
        <w:tc>
          <w:tcPr>
            <w:tcW w:w="1098" w:type="dxa"/>
            <w:tcBorders>
              <w:top w:val="nil"/>
              <w:left w:val="nil"/>
              <w:bottom w:val="nil"/>
              <w:right w:val="nil"/>
            </w:tcBorders>
          </w:tcPr>
          <w:p w:rsidR="00157A70" w:rsidRDefault="00316F15">
            <w:pPr>
              <w:spacing w:after="0" w:line="259" w:lineRule="auto"/>
              <w:ind w:left="300" w:right="0" w:firstLine="0"/>
              <w:jc w:val="left"/>
            </w:pPr>
            <w:r>
              <w:rPr>
                <w:sz w:val="16"/>
              </w:rPr>
              <w:t>.40</w:t>
            </w:r>
          </w:p>
        </w:tc>
        <w:tc>
          <w:tcPr>
            <w:tcW w:w="819" w:type="dxa"/>
            <w:tcBorders>
              <w:top w:val="nil"/>
              <w:left w:val="nil"/>
              <w:bottom w:val="nil"/>
              <w:right w:val="nil"/>
            </w:tcBorders>
          </w:tcPr>
          <w:p w:rsidR="00157A70" w:rsidRDefault="00316F15">
            <w:pPr>
              <w:spacing w:after="0" w:line="259" w:lineRule="auto"/>
              <w:ind w:left="160" w:right="0" w:firstLine="0"/>
              <w:jc w:val="left"/>
            </w:pPr>
            <w:r>
              <w:rPr>
                <w:sz w:val="16"/>
              </w:rPr>
              <w:t>.35</w:t>
            </w:r>
          </w:p>
        </w:tc>
        <w:tc>
          <w:tcPr>
            <w:tcW w:w="423" w:type="dxa"/>
            <w:tcBorders>
              <w:top w:val="nil"/>
              <w:left w:val="nil"/>
              <w:bottom w:val="nil"/>
              <w:right w:val="nil"/>
            </w:tcBorders>
          </w:tcPr>
          <w:p w:rsidR="00157A70" w:rsidRDefault="00316F15">
            <w:pPr>
              <w:spacing w:after="0" w:line="259" w:lineRule="auto"/>
              <w:ind w:right="53" w:firstLine="0"/>
              <w:jc w:val="right"/>
            </w:pPr>
            <w:r>
              <w:rPr>
                <w:sz w:val="16"/>
                <w:u w:val="single" w:color="181717"/>
              </w:rPr>
              <w:t>.38</w:t>
            </w:r>
          </w:p>
        </w:tc>
      </w:tr>
      <w:tr w:rsidR="00157A70">
        <w:trPr>
          <w:trHeight w:val="180"/>
        </w:trPr>
        <w:tc>
          <w:tcPr>
            <w:tcW w:w="2460" w:type="dxa"/>
            <w:tcBorders>
              <w:top w:val="nil"/>
              <w:left w:val="nil"/>
              <w:bottom w:val="nil"/>
              <w:right w:val="nil"/>
            </w:tcBorders>
          </w:tcPr>
          <w:p w:rsidR="00157A70" w:rsidRDefault="00316F15">
            <w:pPr>
              <w:spacing w:after="0" w:line="259" w:lineRule="auto"/>
              <w:ind w:right="0" w:firstLine="0"/>
              <w:jc w:val="left"/>
            </w:pPr>
            <w:r>
              <w:rPr>
                <w:sz w:val="16"/>
              </w:rPr>
              <w:t>Under/overconfidence</w:t>
            </w:r>
          </w:p>
        </w:tc>
        <w:tc>
          <w:tcPr>
            <w:tcW w:w="1098" w:type="dxa"/>
            <w:tcBorders>
              <w:top w:val="nil"/>
              <w:left w:val="nil"/>
              <w:bottom w:val="nil"/>
              <w:right w:val="nil"/>
            </w:tcBorders>
          </w:tcPr>
          <w:p w:rsidR="00157A70" w:rsidRDefault="00316F15">
            <w:pPr>
              <w:spacing w:after="0" w:line="259" w:lineRule="auto"/>
              <w:ind w:left="300" w:right="0" w:firstLine="0"/>
              <w:jc w:val="left"/>
            </w:pPr>
            <w:r>
              <w:rPr>
                <w:sz w:val="16"/>
              </w:rPr>
              <w:t>.35</w:t>
            </w:r>
          </w:p>
        </w:tc>
        <w:tc>
          <w:tcPr>
            <w:tcW w:w="819" w:type="dxa"/>
            <w:tcBorders>
              <w:top w:val="nil"/>
              <w:left w:val="nil"/>
              <w:bottom w:val="nil"/>
              <w:right w:val="nil"/>
            </w:tcBorders>
          </w:tcPr>
          <w:p w:rsidR="00157A70" w:rsidRDefault="00316F15">
            <w:pPr>
              <w:spacing w:after="0" w:line="259" w:lineRule="auto"/>
              <w:ind w:left="160" w:right="0" w:firstLine="0"/>
              <w:jc w:val="left"/>
            </w:pPr>
            <w:r>
              <w:rPr>
                <w:sz w:val="16"/>
                <w:u w:val="single" w:color="181717"/>
              </w:rPr>
              <w:t>.41</w:t>
            </w:r>
          </w:p>
        </w:tc>
        <w:tc>
          <w:tcPr>
            <w:tcW w:w="423" w:type="dxa"/>
            <w:tcBorders>
              <w:top w:val="nil"/>
              <w:left w:val="nil"/>
              <w:bottom w:val="nil"/>
              <w:right w:val="nil"/>
            </w:tcBorders>
          </w:tcPr>
          <w:p w:rsidR="00157A70" w:rsidRDefault="00316F15">
            <w:pPr>
              <w:spacing w:after="0" w:line="259" w:lineRule="auto"/>
              <w:ind w:right="53" w:firstLine="0"/>
              <w:jc w:val="right"/>
            </w:pPr>
            <w:r>
              <w:rPr>
                <w:sz w:val="16"/>
              </w:rPr>
              <w:t>.01</w:t>
            </w:r>
          </w:p>
        </w:tc>
      </w:tr>
      <w:tr w:rsidR="00157A70">
        <w:trPr>
          <w:trHeight w:val="180"/>
        </w:trPr>
        <w:tc>
          <w:tcPr>
            <w:tcW w:w="2460" w:type="dxa"/>
            <w:tcBorders>
              <w:top w:val="nil"/>
              <w:left w:val="nil"/>
              <w:bottom w:val="nil"/>
              <w:right w:val="nil"/>
            </w:tcBorders>
          </w:tcPr>
          <w:p w:rsidR="00157A70" w:rsidRDefault="00316F15">
            <w:pPr>
              <w:spacing w:after="0" w:line="259" w:lineRule="auto"/>
              <w:ind w:right="0" w:firstLine="0"/>
              <w:jc w:val="left"/>
            </w:pPr>
            <w:r>
              <w:rPr>
                <w:sz w:val="16"/>
              </w:rPr>
              <w:t>Applying Decision Rules</w:t>
            </w:r>
          </w:p>
        </w:tc>
        <w:tc>
          <w:tcPr>
            <w:tcW w:w="1098" w:type="dxa"/>
            <w:tcBorders>
              <w:top w:val="nil"/>
              <w:left w:val="nil"/>
              <w:bottom w:val="nil"/>
              <w:right w:val="nil"/>
            </w:tcBorders>
          </w:tcPr>
          <w:p w:rsidR="00157A70" w:rsidRDefault="00316F15">
            <w:pPr>
              <w:spacing w:after="0" w:line="259" w:lineRule="auto"/>
              <w:ind w:left="300" w:right="0" w:firstLine="0"/>
              <w:jc w:val="left"/>
            </w:pPr>
            <w:r>
              <w:rPr>
                <w:sz w:val="16"/>
              </w:rPr>
              <w:t>.80</w:t>
            </w:r>
          </w:p>
        </w:tc>
        <w:tc>
          <w:tcPr>
            <w:tcW w:w="819" w:type="dxa"/>
            <w:tcBorders>
              <w:top w:val="nil"/>
              <w:left w:val="nil"/>
              <w:bottom w:val="nil"/>
              <w:right w:val="nil"/>
            </w:tcBorders>
          </w:tcPr>
          <w:p w:rsidR="00157A70" w:rsidRDefault="00316F15">
            <w:pPr>
              <w:spacing w:after="0" w:line="259" w:lineRule="auto"/>
              <w:ind w:left="160" w:right="0" w:firstLine="0"/>
              <w:jc w:val="left"/>
            </w:pPr>
            <w:r>
              <w:rPr>
                <w:sz w:val="16"/>
                <w:u w:val="single" w:color="181717"/>
              </w:rPr>
              <w:t>.79</w:t>
            </w:r>
          </w:p>
        </w:tc>
        <w:tc>
          <w:tcPr>
            <w:tcW w:w="423" w:type="dxa"/>
            <w:tcBorders>
              <w:top w:val="nil"/>
              <w:left w:val="nil"/>
              <w:bottom w:val="nil"/>
              <w:right w:val="nil"/>
            </w:tcBorders>
          </w:tcPr>
          <w:p w:rsidR="00157A70" w:rsidRDefault="00316F15">
            <w:pPr>
              <w:spacing w:after="0" w:line="259" w:lineRule="auto"/>
              <w:ind w:right="53" w:firstLine="0"/>
              <w:jc w:val="right"/>
            </w:pPr>
            <w:r>
              <w:rPr>
                <w:sz w:val="16"/>
              </w:rPr>
              <w:t>.35</w:t>
            </w:r>
          </w:p>
        </w:tc>
      </w:tr>
      <w:tr w:rsidR="00157A70">
        <w:trPr>
          <w:trHeight w:val="180"/>
        </w:trPr>
        <w:tc>
          <w:tcPr>
            <w:tcW w:w="2460" w:type="dxa"/>
            <w:tcBorders>
              <w:top w:val="nil"/>
              <w:left w:val="nil"/>
              <w:bottom w:val="nil"/>
              <w:right w:val="nil"/>
            </w:tcBorders>
          </w:tcPr>
          <w:p w:rsidR="00157A70" w:rsidRDefault="00316F15">
            <w:pPr>
              <w:spacing w:after="0" w:line="259" w:lineRule="auto"/>
              <w:ind w:right="0" w:firstLine="0"/>
              <w:jc w:val="left"/>
            </w:pPr>
            <w:r>
              <w:rPr>
                <w:sz w:val="16"/>
              </w:rPr>
              <w:t>Consistency in Risk Perception</w:t>
            </w:r>
          </w:p>
        </w:tc>
        <w:tc>
          <w:tcPr>
            <w:tcW w:w="1098" w:type="dxa"/>
            <w:tcBorders>
              <w:top w:val="nil"/>
              <w:left w:val="nil"/>
              <w:bottom w:val="nil"/>
              <w:right w:val="nil"/>
            </w:tcBorders>
          </w:tcPr>
          <w:p w:rsidR="00157A70" w:rsidRDefault="00316F15">
            <w:pPr>
              <w:spacing w:after="0" w:line="259" w:lineRule="auto"/>
              <w:ind w:left="300" w:right="0" w:firstLine="0"/>
              <w:jc w:val="left"/>
            </w:pPr>
            <w:r>
              <w:rPr>
                <w:sz w:val="16"/>
              </w:rPr>
              <w:t>.49</w:t>
            </w:r>
          </w:p>
        </w:tc>
        <w:tc>
          <w:tcPr>
            <w:tcW w:w="819" w:type="dxa"/>
            <w:tcBorders>
              <w:top w:val="nil"/>
              <w:left w:val="nil"/>
              <w:bottom w:val="nil"/>
              <w:right w:val="nil"/>
            </w:tcBorders>
          </w:tcPr>
          <w:p w:rsidR="00157A70" w:rsidRDefault="00316F15">
            <w:pPr>
              <w:spacing w:after="0" w:line="259" w:lineRule="auto"/>
              <w:ind w:left="160" w:right="0" w:firstLine="0"/>
              <w:jc w:val="left"/>
            </w:pPr>
            <w:r>
              <w:rPr>
                <w:sz w:val="16"/>
                <w:u w:val="single" w:color="181717"/>
              </w:rPr>
              <w:t>.46</w:t>
            </w:r>
          </w:p>
        </w:tc>
        <w:tc>
          <w:tcPr>
            <w:tcW w:w="423" w:type="dxa"/>
            <w:tcBorders>
              <w:top w:val="nil"/>
              <w:left w:val="nil"/>
              <w:bottom w:val="nil"/>
              <w:right w:val="nil"/>
            </w:tcBorders>
          </w:tcPr>
          <w:p w:rsidR="00157A70" w:rsidRDefault="00316F15">
            <w:pPr>
              <w:spacing w:after="0" w:line="259" w:lineRule="auto"/>
              <w:ind w:right="53" w:firstLine="0"/>
              <w:jc w:val="right"/>
            </w:pPr>
            <w:r>
              <w:rPr>
                <w:sz w:val="16"/>
              </w:rPr>
              <w:t>.30</w:t>
            </w:r>
          </w:p>
        </w:tc>
      </w:tr>
      <w:tr w:rsidR="00157A70">
        <w:trPr>
          <w:trHeight w:val="180"/>
        </w:trPr>
        <w:tc>
          <w:tcPr>
            <w:tcW w:w="2460" w:type="dxa"/>
            <w:tcBorders>
              <w:top w:val="nil"/>
              <w:left w:val="nil"/>
              <w:bottom w:val="nil"/>
              <w:right w:val="nil"/>
            </w:tcBorders>
          </w:tcPr>
          <w:p w:rsidR="00157A70" w:rsidRDefault="00316F15">
            <w:pPr>
              <w:spacing w:after="0" w:line="259" w:lineRule="auto"/>
              <w:ind w:right="0" w:firstLine="0"/>
              <w:jc w:val="left"/>
            </w:pPr>
            <w:r>
              <w:rPr>
                <w:sz w:val="16"/>
              </w:rPr>
              <w:t>Resistance to Sunk Costs</w:t>
            </w:r>
          </w:p>
        </w:tc>
        <w:tc>
          <w:tcPr>
            <w:tcW w:w="1098" w:type="dxa"/>
            <w:tcBorders>
              <w:top w:val="nil"/>
              <w:left w:val="nil"/>
              <w:bottom w:val="nil"/>
              <w:right w:val="nil"/>
            </w:tcBorders>
          </w:tcPr>
          <w:p w:rsidR="00157A70" w:rsidRDefault="00316F15">
            <w:pPr>
              <w:spacing w:after="0" w:line="259" w:lineRule="auto"/>
              <w:ind w:left="300" w:right="0" w:firstLine="0"/>
              <w:jc w:val="left"/>
            </w:pPr>
            <w:r>
              <w:rPr>
                <w:sz w:val="16"/>
              </w:rPr>
              <w:t>.23</w:t>
            </w:r>
          </w:p>
        </w:tc>
        <w:tc>
          <w:tcPr>
            <w:tcW w:w="819" w:type="dxa"/>
            <w:tcBorders>
              <w:top w:val="nil"/>
              <w:left w:val="nil"/>
              <w:bottom w:val="nil"/>
              <w:right w:val="nil"/>
            </w:tcBorders>
          </w:tcPr>
          <w:p w:rsidR="00157A70" w:rsidRDefault="00316F15">
            <w:pPr>
              <w:spacing w:after="0" w:line="259" w:lineRule="auto"/>
              <w:ind w:left="160" w:right="0" w:firstLine="0"/>
              <w:jc w:val="left"/>
            </w:pPr>
            <w:r>
              <w:rPr>
                <w:sz w:val="16"/>
              </w:rPr>
              <w:t>.14</w:t>
            </w:r>
          </w:p>
        </w:tc>
        <w:tc>
          <w:tcPr>
            <w:tcW w:w="423" w:type="dxa"/>
            <w:tcBorders>
              <w:top w:val="nil"/>
              <w:left w:val="nil"/>
              <w:bottom w:val="nil"/>
              <w:right w:val="nil"/>
            </w:tcBorders>
          </w:tcPr>
          <w:p w:rsidR="00157A70" w:rsidRDefault="00316F15">
            <w:pPr>
              <w:spacing w:after="0" w:line="259" w:lineRule="auto"/>
              <w:ind w:right="53" w:firstLine="0"/>
              <w:jc w:val="right"/>
            </w:pPr>
            <w:r>
              <w:rPr>
                <w:sz w:val="16"/>
                <w:u w:val="single" w:color="181717"/>
              </w:rPr>
              <w:t>.50</w:t>
            </w:r>
          </w:p>
        </w:tc>
      </w:tr>
      <w:tr w:rsidR="00157A70">
        <w:trPr>
          <w:trHeight w:val="270"/>
        </w:trPr>
        <w:tc>
          <w:tcPr>
            <w:tcW w:w="2460" w:type="dxa"/>
            <w:tcBorders>
              <w:top w:val="nil"/>
              <w:left w:val="nil"/>
              <w:bottom w:val="nil"/>
              <w:right w:val="nil"/>
            </w:tcBorders>
          </w:tcPr>
          <w:p w:rsidR="00157A70" w:rsidRDefault="00316F15">
            <w:pPr>
              <w:spacing w:after="0" w:line="259" w:lineRule="auto"/>
              <w:ind w:right="0" w:firstLine="0"/>
              <w:jc w:val="left"/>
            </w:pPr>
            <w:r>
              <w:rPr>
                <w:sz w:val="16"/>
              </w:rPr>
              <w:t>Path Independence</w:t>
            </w:r>
          </w:p>
        </w:tc>
        <w:tc>
          <w:tcPr>
            <w:tcW w:w="1098" w:type="dxa"/>
            <w:tcBorders>
              <w:top w:val="nil"/>
              <w:left w:val="nil"/>
              <w:bottom w:val="nil"/>
              <w:right w:val="nil"/>
            </w:tcBorders>
          </w:tcPr>
          <w:p w:rsidR="00157A70" w:rsidRDefault="00316F15">
            <w:pPr>
              <w:spacing w:after="0" w:line="259" w:lineRule="auto"/>
              <w:ind w:left="300" w:right="0" w:firstLine="0"/>
              <w:jc w:val="left"/>
            </w:pPr>
            <w:r>
              <w:rPr>
                <w:sz w:val="16"/>
              </w:rPr>
              <w:t>.10</w:t>
            </w:r>
          </w:p>
        </w:tc>
        <w:tc>
          <w:tcPr>
            <w:tcW w:w="819" w:type="dxa"/>
            <w:tcBorders>
              <w:top w:val="nil"/>
              <w:left w:val="nil"/>
              <w:bottom w:val="nil"/>
              <w:right w:val="nil"/>
            </w:tcBorders>
          </w:tcPr>
          <w:p w:rsidR="00157A70" w:rsidRDefault="00316F15">
            <w:pPr>
              <w:spacing w:after="0" w:line="259" w:lineRule="auto"/>
              <w:ind w:left="160" w:right="0" w:firstLine="0"/>
              <w:jc w:val="left"/>
            </w:pPr>
            <w:r>
              <w:rPr>
                <w:sz w:val="16"/>
              </w:rPr>
              <w:t>.05</w:t>
            </w:r>
          </w:p>
        </w:tc>
        <w:tc>
          <w:tcPr>
            <w:tcW w:w="423" w:type="dxa"/>
            <w:tcBorders>
              <w:top w:val="nil"/>
              <w:left w:val="nil"/>
              <w:bottom w:val="nil"/>
              <w:right w:val="nil"/>
            </w:tcBorders>
          </w:tcPr>
          <w:p w:rsidR="00157A70" w:rsidRDefault="00316F15">
            <w:pPr>
              <w:spacing w:after="0" w:line="259" w:lineRule="auto"/>
              <w:ind w:right="53" w:firstLine="0"/>
              <w:jc w:val="right"/>
            </w:pPr>
            <w:r>
              <w:rPr>
                <w:sz w:val="16"/>
                <w:u w:val="single" w:color="181717"/>
              </w:rPr>
              <w:t>.20</w:t>
            </w:r>
          </w:p>
        </w:tc>
      </w:tr>
      <w:tr w:rsidR="00157A70">
        <w:trPr>
          <w:trHeight w:val="270"/>
        </w:trPr>
        <w:tc>
          <w:tcPr>
            <w:tcW w:w="2460" w:type="dxa"/>
            <w:tcBorders>
              <w:top w:val="nil"/>
              <w:left w:val="nil"/>
              <w:bottom w:val="nil"/>
              <w:right w:val="nil"/>
            </w:tcBorders>
          </w:tcPr>
          <w:p w:rsidR="00157A70" w:rsidRDefault="00316F15">
            <w:pPr>
              <w:spacing w:after="0" w:line="259" w:lineRule="auto"/>
              <w:ind w:right="0" w:firstLine="0"/>
              <w:jc w:val="left"/>
            </w:pPr>
            <w:r>
              <w:rPr>
                <w:sz w:val="16"/>
              </w:rPr>
              <w:t>Eigenvalue</w:t>
            </w:r>
          </w:p>
        </w:tc>
        <w:tc>
          <w:tcPr>
            <w:tcW w:w="1098" w:type="dxa"/>
            <w:tcBorders>
              <w:top w:val="nil"/>
              <w:left w:val="nil"/>
              <w:bottom w:val="nil"/>
              <w:right w:val="nil"/>
            </w:tcBorders>
          </w:tcPr>
          <w:p w:rsidR="00157A70" w:rsidRDefault="00316F15">
            <w:pPr>
              <w:spacing w:after="0" w:line="259" w:lineRule="auto"/>
              <w:ind w:left="220" w:right="0" w:firstLine="0"/>
              <w:jc w:val="left"/>
            </w:pPr>
            <w:r>
              <w:rPr>
                <w:sz w:val="16"/>
              </w:rPr>
              <w:t>2.11</w:t>
            </w:r>
          </w:p>
        </w:tc>
        <w:tc>
          <w:tcPr>
            <w:tcW w:w="819" w:type="dxa"/>
            <w:tcBorders>
              <w:top w:val="nil"/>
              <w:left w:val="nil"/>
              <w:bottom w:val="nil"/>
              <w:right w:val="nil"/>
            </w:tcBorders>
          </w:tcPr>
          <w:p w:rsidR="00157A70" w:rsidRDefault="00316F15">
            <w:pPr>
              <w:spacing w:after="0" w:line="259" w:lineRule="auto"/>
              <w:ind w:left="80" w:right="0" w:firstLine="0"/>
              <w:jc w:val="left"/>
            </w:pPr>
            <w:r>
              <w:rPr>
                <w:sz w:val="16"/>
              </w:rPr>
              <w:t>2.11</w:t>
            </w:r>
          </w:p>
        </w:tc>
        <w:tc>
          <w:tcPr>
            <w:tcW w:w="423" w:type="dxa"/>
            <w:tcBorders>
              <w:top w:val="nil"/>
              <w:left w:val="nil"/>
              <w:bottom w:val="nil"/>
              <w:right w:val="nil"/>
            </w:tcBorders>
          </w:tcPr>
          <w:p w:rsidR="00157A70" w:rsidRDefault="00316F15">
            <w:pPr>
              <w:spacing w:after="0" w:line="259" w:lineRule="auto"/>
              <w:ind w:left="80" w:right="0" w:firstLine="0"/>
              <w:jc w:val="left"/>
            </w:pPr>
            <w:r>
              <w:rPr>
                <w:sz w:val="16"/>
              </w:rPr>
              <w:t>1.13</w:t>
            </w:r>
          </w:p>
        </w:tc>
      </w:tr>
      <w:tr w:rsidR="00157A70">
        <w:trPr>
          <w:trHeight w:val="224"/>
        </w:trPr>
        <w:tc>
          <w:tcPr>
            <w:tcW w:w="2460" w:type="dxa"/>
            <w:tcBorders>
              <w:top w:val="nil"/>
              <w:left w:val="nil"/>
              <w:bottom w:val="single" w:sz="4" w:space="0" w:color="181717"/>
              <w:right w:val="nil"/>
            </w:tcBorders>
          </w:tcPr>
          <w:p w:rsidR="00157A70" w:rsidRDefault="00316F15">
            <w:pPr>
              <w:spacing w:after="0" w:line="259" w:lineRule="auto"/>
              <w:ind w:right="0" w:firstLine="0"/>
              <w:jc w:val="left"/>
            </w:pPr>
            <w:r>
              <w:rPr>
                <w:sz w:val="16"/>
              </w:rPr>
              <w:t>Variance explained</w:t>
            </w:r>
          </w:p>
        </w:tc>
        <w:tc>
          <w:tcPr>
            <w:tcW w:w="1098" w:type="dxa"/>
            <w:tcBorders>
              <w:top w:val="nil"/>
              <w:left w:val="nil"/>
              <w:bottom w:val="single" w:sz="4" w:space="0" w:color="181717"/>
              <w:right w:val="nil"/>
            </w:tcBorders>
          </w:tcPr>
          <w:p w:rsidR="00157A70" w:rsidRDefault="00316F15">
            <w:pPr>
              <w:spacing w:after="0" w:line="259" w:lineRule="auto"/>
              <w:ind w:left="140" w:right="0" w:firstLine="0"/>
              <w:jc w:val="left"/>
            </w:pPr>
            <w:r>
              <w:rPr>
                <w:sz w:val="16"/>
              </w:rPr>
              <w:t>30.1%</w:t>
            </w:r>
          </w:p>
        </w:tc>
        <w:tc>
          <w:tcPr>
            <w:tcW w:w="819" w:type="dxa"/>
            <w:tcBorders>
              <w:top w:val="nil"/>
              <w:left w:val="nil"/>
              <w:bottom w:val="single" w:sz="4" w:space="0" w:color="181717"/>
              <w:right w:val="nil"/>
            </w:tcBorders>
          </w:tcPr>
          <w:p w:rsidR="00157A70" w:rsidRDefault="00316F15">
            <w:pPr>
              <w:spacing w:after="0" w:line="259" w:lineRule="auto"/>
              <w:ind w:right="0" w:firstLine="0"/>
              <w:jc w:val="left"/>
            </w:pPr>
            <w:r>
              <w:rPr>
                <w:sz w:val="16"/>
              </w:rPr>
              <w:t>30.1%</w:t>
            </w:r>
          </w:p>
        </w:tc>
        <w:tc>
          <w:tcPr>
            <w:tcW w:w="423" w:type="dxa"/>
            <w:tcBorders>
              <w:top w:val="nil"/>
              <w:left w:val="nil"/>
              <w:bottom w:val="single" w:sz="4" w:space="0" w:color="181717"/>
              <w:right w:val="nil"/>
            </w:tcBorders>
          </w:tcPr>
          <w:p w:rsidR="00157A70" w:rsidRDefault="00316F15">
            <w:pPr>
              <w:spacing w:after="0" w:line="259" w:lineRule="auto"/>
              <w:ind w:right="0" w:firstLine="0"/>
            </w:pPr>
            <w:r>
              <w:rPr>
                <w:sz w:val="16"/>
              </w:rPr>
              <w:t>16.1%</w:t>
            </w:r>
          </w:p>
        </w:tc>
      </w:tr>
    </w:tbl>
    <w:p w:rsidR="00157A70" w:rsidRDefault="00316F15">
      <w:pPr>
        <w:spacing w:line="278" w:lineRule="auto"/>
        <w:ind w:left="-15" w:right="0" w:firstLine="0"/>
      </w:pPr>
      <w:r>
        <w:rPr>
          <w:i/>
          <w:sz w:val="16"/>
        </w:rPr>
        <w:t xml:space="preserve">Note. </w:t>
      </w:r>
      <w:r>
        <w:rPr>
          <w:sz w:val="16"/>
        </w:rPr>
        <w:t>For each variable, underlined values indicate the factor with the largest loading in the two-factor solution. A-</w:t>
      </w:r>
      <w:proofErr w:type="gramStart"/>
      <w:r>
        <w:rPr>
          <w:sz w:val="16"/>
        </w:rPr>
        <w:t xml:space="preserve">DMC </w:t>
      </w:r>
      <w:r>
        <w:rPr>
          <w:rFonts w:ascii="Calibri" w:eastAsia="Calibri" w:hAnsi="Calibri" w:cs="Calibri"/>
          <w:sz w:val="16"/>
        </w:rPr>
        <w:t xml:space="preserve"> </w:t>
      </w:r>
      <w:r>
        <w:rPr>
          <w:sz w:val="16"/>
        </w:rPr>
        <w:t>Adult</w:t>
      </w:r>
      <w:proofErr w:type="gramEnd"/>
      <w:r>
        <w:rPr>
          <w:sz w:val="16"/>
        </w:rPr>
        <w:t xml:space="preserve"> </w:t>
      </w:r>
      <w:proofErr w:type="spellStart"/>
      <w:r>
        <w:rPr>
          <w:sz w:val="16"/>
        </w:rPr>
        <w:t>DecisionMaking</w:t>
      </w:r>
      <w:proofErr w:type="spellEnd"/>
      <w:r>
        <w:rPr>
          <w:sz w:val="16"/>
        </w:rPr>
        <w:t xml:space="preserve"> Competence.</w:t>
      </w:r>
    </w:p>
    <w:p w:rsidR="00157A70" w:rsidRDefault="00316F15">
      <w:pPr>
        <w:ind w:left="-15" w:right="0" w:firstLine="0"/>
      </w:pPr>
      <w:proofErr w:type="spellStart"/>
      <w:r>
        <w:t>est</w:t>
      </w:r>
      <w:proofErr w:type="spellEnd"/>
      <w:r>
        <w:t xml:space="preserve"> level of education completed. These two measures are negatively correlated (</w:t>
      </w:r>
      <w:r>
        <w:rPr>
          <w:i/>
        </w:rPr>
        <w:t xml:space="preserve">r </w:t>
      </w:r>
      <w:r>
        <w:t xml:space="preserve">.42, </w:t>
      </w:r>
      <w:proofErr w:type="gramStart"/>
      <w:r>
        <w:rPr>
          <w:i/>
        </w:rPr>
        <w:t xml:space="preserve">p </w:t>
      </w:r>
      <w:r>
        <w:rPr>
          <w:rFonts w:ascii="Calibri" w:eastAsia="Calibri" w:hAnsi="Calibri" w:cs="Calibri"/>
        </w:rPr>
        <w:t xml:space="preserve"> </w:t>
      </w:r>
      <w:r>
        <w:t>.</w:t>
      </w:r>
      <w:proofErr w:type="gramEnd"/>
      <w:r>
        <w:t>001).</w:t>
      </w:r>
    </w:p>
    <w:p w:rsidR="00157A70" w:rsidRDefault="00316F15">
      <w:pPr>
        <w:ind w:left="-15" w:right="0"/>
      </w:pPr>
      <w:r>
        <w:t xml:space="preserve">The first row in Table 5 shows that participants recruited through social service organizations had lower scores on each A-DMC task, </w:t>
      </w:r>
      <w:r>
        <w:lastRenderedPageBreak/>
        <w:t xml:space="preserve">except on Path Independence. The second row shows that those who had completed more education perform significantly better on each A-DMC component, except on Path Independence and Resistance to Sunk Costs. Both sets of correlations are in the expected direction (shown </w:t>
      </w:r>
      <w:proofErr w:type="gramStart"/>
      <w:r>
        <w:t xml:space="preserve">as </w:t>
      </w:r>
      <w:r>
        <w:rPr>
          <w:rFonts w:ascii="Calibri" w:eastAsia="Calibri" w:hAnsi="Calibri" w:cs="Calibri"/>
        </w:rPr>
        <w:t xml:space="preserve"> </w:t>
      </w:r>
      <w:r>
        <w:t>or</w:t>
      </w:r>
      <w:proofErr w:type="gramEnd"/>
      <w:r>
        <w:t xml:space="preserve"> ). To examine whether the overall relationship between the A-DMC components and SES is in the expected direction, and to reduce the number of statistical tests necessary to evaluate Aim 2a, we report </w:t>
      </w:r>
      <w:proofErr w:type="spellStart"/>
      <w:r>
        <w:t>Strube’s</w:t>
      </w:r>
      <w:proofErr w:type="spellEnd"/>
      <w:r>
        <w:t xml:space="preserve"> analysis for combining two or more </w:t>
      </w:r>
      <w:proofErr w:type="spellStart"/>
      <w:r>
        <w:t>nonindependent</w:t>
      </w:r>
      <w:proofErr w:type="spellEnd"/>
      <w:r>
        <w:t xml:space="preserve"> statistics (</w:t>
      </w:r>
      <w:proofErr w:type="spellStart"/>
      <w:r>
        <w:t>Strube</w:t>
      </w:r>
      <w:proofErr w:type="spellEnd"/>
      <w:r>
        <w:t>, 1985).</w:t>
      </w:r>
      <w:r>
        <w:rPr>
          <w:vertAlign w:val="superscript"/>
        </w:rPr>
        <w:footnoteReference w:id="8"/>
      </w:r>
      <w:r>
        <w:rPr>
          <w:vertAlign w:val="superscript"/>
        </w:rPr>
        <w:t xml:space="preserve"> </w:t>
      </w:r>
      <w:r>
        <w:t>The result, in the third row, indicates that, overall, higher SES is linked with better A-DMC component scores, except for Path Independence.</w:t>
      </w:r>
    </w:p>
    <w:p w:rsidR="00157A70" w:rsidRDefault="00316F15">
      <w:pPr>
        <w:ind w:left="-15" w:right="0"/>
      </w:pPr>
      <w:r>
        <w:t xml:space="preserve">The overall A-DMC score is also significantly lower for participants recruited through social service organizations and higher for those reporting more education. The overall </w:t>
      </w:r>
      <w:proofErr w:type="spellStart"/>
      <w:r>
        <w:t>Strube</w:t>
      </w:r>
      <w:proofErr w:type="spellEnd"/>
      <w:r>
        <w:t xml:space="preserve"> analysis suggests that the A-DMC is positively related with SES.</w:t>
      </w:r>
    </w:p>
    <w:p w:rsidR="00157A70" w:rsidRDefault="00316F15">
      <w:pPr>
        <w:ind w:left="-15" w:right="0"/>
      </w:pPr>
      <w:r>
        <w:rPr>
          <w:i/>
        </w:rPr>
        <w:t xml:space="preserve">Aim 2b: Age. </w:t>
      </w:r>
      <w:r>
        <w:t>The fourth row of Table 5 shows correlations of A-DMC components with participants’ age.</w:t>
      </w:r>
      <w:r>
        <w:rPr>
          <w:vertAlign w:val="superscript"/>
        </w:rPr>
        <w:footnoteReference w:id="9"/>
      </w:r>
      <w:r>
        <w:rPr>
          <w:vertAlign w:val="superscript"/>
        </w:rPr>
        <w:t xml:space="preserve"> </w:t>
      </w:r>
      <w:r>
        <w:t>Age is not significantly correlated with performance on Under/overconfidence, Consistency in Risk Perception, or Path Independence. Older adults show lower scores on Resistance to Framing and Applying Decision Rules. However, performance on Recognizing Social Norms and Resistance to Sunk Costs improves with age. Perhaps as a result, there is no significant correlation between overall A-DMC and age.</w:t>
      </w:r>
    </w:p>
    <w:p w:rsidR="00157A70" w:rsidRDefault="00316F15">
      <w:pPr>
        <w:ind w:left="-15" w:right="0"/>
      </w:pPr>
      <w:r>
        <w:rPr>
          <w:i/>
        </w:rPr>
        <w:t xml:space="preserve">Aim 2c: Cognitive ability. </w:t>
      </w:r>
      <w:r>
        <w:t>Although Raven SPM is designed to measure general fluid intelligence and the Nelson-Denny Reading Comprehension subtest crystallized intelligence, performance on their abbreviated versions is significantly correlated (</w:t>
      </w:r>
      <w:proofErr w:type="gramStart"/>
      <w:r>
        <w:rPr>
          <w:i/>
        </w:rPr>
        <w:t xml:space="preserve">r </w:t>
      </w:r>
      <w:r>
        <w:rPr>
          <w:rFonts w:ascii="Calibri" w:eastAsia="Calibri" w:hAnsi="Calibri" w:cs="Calibri"/>
        </w:rPr>
        <w:t xml:space="preserve"> </w:t>
      </w:r>
      <w:r>
        <w:t>.</w:t>
      </w:r>
      <w:proofErr w:type="gramEnd"/>
      <w:r>
        <w:t xml:space="preserve">57, </w:t>
      </w:r>
      <w:r>
        <w:rPr>
          <w:i/>
        </w:rPr>
        <w:t xml:space="preserve">p </w:t>
      </w:r>
    </w:p>
    <w:tbl>
      <w:tblPr>
        <w:tblStyle w:val="TableGrid"/>
        <w:tblpPr w:vertAnchor="text" w:horzAnchor="margin"/>
        <w:tblOverlap w:val="never"/>
        <w:tblW w:w="9961" w:type="dxa"/>
        <w:tblInd w:w="0" w:type="dxa"/>
        <w:tblLook w:val="04A0" w:firstRow="1" w:lastRow="0" w:firstColumn="1" w:lastColumn="0" w:noHBand="0" w:noVBand="1"/>
      </w:tblPr>
      <w:tblGrid>
        <w:gridCol w:w="9961"/>
      </w:tblGrid>
      <w:tr w:rsidR="00157A70">
        <w:trPr>
          <w:trHeight w:val="6875"/>
        </w:trPr>
        <w:tc>
          <w:tcPr>
            <w:tcW w:w="9961" w:type="dxa"/>
            <w:tcBorders>
              <w:top w:val="nil"/>
              <w:left w:val="nil"/>
              <w:bottom w:val="nil"/>
              <w:right w:val="nil"/>
            </w:tcBorders>
          </w:tcPr>
          <w:p w:rsidR="00157A70" w:rsidRDefault="00316F15">
            <w:pPr>
              <w:spacing w:after="0" w:line="259" w:lineRule="auto"/>
              <w:ind w:right="0" w:firstLine="0"/>
              <w:jc w:val="left"/>
            </w:pPr>
            <w:r>
              <w:t>Table 5</w:t>
            </w:r>
          </w:p>
          <w:p w:rsidR="00157A70" w:rsidRDefault="00316F15">
            <w:pPr>
              <w:spacing w:after="0" w:line="259" w:lineRule="auto"/>
              <w:ind w:right="0" w:firstLine="0"/>
              <w:jc w:val="left"/>
            </w:pPr>
            <w:r>
              <w:rPr>
                <w:i/>
              </w:rPr>
              <w:t>Correlations Between A-DMC Tasks and Cognitive Ability, Decision-Making Styles, and Experienced Decision Outcomes</w:t>
            </w:r>
          </w:p>
          <w:tbl>
            <w:tblPr>
              <w:tblStyle w:val="TableGrid"/>
              <w:tblW w:w="9960" w:type="dxa"/>
              <w:tblInd w:w="0" w:type="dxa"/>
              <w:tblCellMar>
                <w:top w:w="14" w:type="dxa"/>
                <w:bottom w:w="6" w:type="dxa"/>
                <w:right w:w="10" w:type="dxa"/>
              </w:tblCellMar>
              <w:tblLook w:val="04A0" w:firstRow="1" w:lastRow="0" w:firstColumn="1" w:lastColumn="0" w:noHBand="0" w:noVBand="1"/>
            </w:tblPr>
            <w:tblGrid>
              <w:gridCol w:w="2375"/>
              <w:gridCol w:w="824"/>
              <w:gridCol w:w="1122"/>
              <w:gridCol w:w="842"/>
              <w:gridCol w:w="811"/>
              <w:gridCol w:w="922"/>
              <w:gridCol w:w="975"/>
              <w:gridCol w:w="642"/>
              <w:gridCol w:w="837"/>
              <w:gridCol w:w="610"/>
            </w:tblGrid>
            <w:tr w:rsidR="00157A70">
              <w:trPr>
                <w:trHeight w:val="725"/>
              </w:trPr>
              <w:tc>
                <w:tcPr>
                  <w:tcW w:w="2375" w:type="dxa"/>
                  <w:tcBorders>
                    <w:top w:val="single" w:sz="8" w:space="0" w:color="181717"/>
                    <w:left w:val="nil"/>
                    <w:bottom w:val="single" w:sz="4" w:space="0" w:color="181717"/>
                    <w:right w:val="nil"/>
                  </w:tcBorders>
                  <w:vAlign w:val="bottom"/>
                </w:tcPr>
                <w:p w:rsidR="00157A70" w:rsidRDefault="00316F15" w:rsidP="00E25B31">
                  <w:pPr>
                    <w:framePr w:wrap="around" w:vAnchor="text" w:hAnchor="margin"/>
                    <w:spacing w:after="0" w:line="259" w:lineRule="auto"/>
                    <w:ind w:left="792" w:right="0" w:firstLine="0"/>
                    <w:suppressOverlap/>
                    <w:jc w:val="left"/>
                  </w:pPr>
                  <w:r>
                    <w:rPr>
                      <w:sz w:val="16"/>
                    </w:rPr>
                    <w:t>Measure</w:t>
                  </w:r>
                </w:p>
              </w:tc>
              <w:tc>
                <w:tcPr>
                  <w:tcW w:w="824" w:type="dxa"/>
                  <w:tcBorders>
                    <w:top w:val="single" w:sz="8" w:space="0" w:color="181717"/>
                    <w:left w:val="nil"/>
                    <w:bottom w:val="single" w:sz="4" w:space="0" w:color="181717"/>
                    <w:right w:val="nil"/>
                  </w:tcBorders>
                  <w:vAlign w:val="bottom"/>
                </w:tcPr>
                <w:p w:rsidR="00157A70" w:rsidRDefault="00316F15" w:rsidP="00E25B31">
                  <w:pPr>
                    <w:framePr w:wrap="around" w:vAnchor="text" w:hAnchor="margin"/>
                    <w:spacing w:after="0" w:line="259" w:lineRule="auto"/>
                    <w:ind w:left="167" w:right="16" w:hanging="151"/>
                    <w:suppressOverlap/>
                    <w:jc w:val="left"/>
                  </w:pPr>
                  <w:r>
                    <w:rPr>
                      <w:sz w:val="16"/>
                    </w:rPr>
                    <w:t>Framing ()</w:t>
                  </w:r>
                </w:p>
              </w:tc>
              <w:tc>
                <w:tcPr>
                  <w:tcW w:w="1122" w:type="dxa"/>
                  <w:tcBorders>
                    <w:top w:val="single" w:sz="8" w:space="0" w:color="181717"/>
                    <w:left w:val="nil"/>
                    <w:bottom w:val="single" w:sz="4" w:space="0" w:color="181717"/>
                    <w:right w:val="nil"/>
                  </w:tcBorders>
                  <w:vAlign w:val="bottom"/>
                </w:tcPr>
                <w:p w:rsidR="00157A70" w:rsidRDefault="00316F15" w:rsidP="00E25B31">
                  <w:pPr>
                    <w:framePr w:wrap="around" w:vAnchor="text" w:hAnchor="margin"/>
                    <w:spacing w:after="0" w:line="259" w:lineRule="auto"/>
                    <w:ind w:left="324" w:right="0" w:hanging="324"/>
                    <w:suppressOverlap/>
                    <w:jc w:val="left"/>
                  </w:pPr>
                  <w:r>
                    <w:rPr>
                      <w:sz w:val="16"/>
                    </w:rPr>
                    <w:t>Social Norms ()</w:t>
                  </w:r>
                </w:p>
              </w:tc>
              <w:tc>
                <w:tcPr>
                  <w:tcW w:w="842" w:type="dxa"/>
                  <w:tcBorders>
                    <w:top w:val="single" w:sz="8" w:space="0" w:color="181717"/>
                    <w:left w:val="nil"/>
                    <w:bottom w:val="single" w:sz="4" w:space="0" w:color="181717"/>
                    <w:right w:val="nil"/>
                  </w:tcBorders>
                </w:tcPr>
                <w:p w:rsidR="00157A70" w:rsidRDefault="00316F15" w:rsidP="00E25B31">
                  <w:pPr>
                    <w:framePr w:wrap="around" w:vAnchor="text" w:hAnchor="margin"/>
                    <w:spacing w:after="8" w:line="233" w:lineRule="auto"/>
                    <w:ind w:right="0" w:firstLine="82"/>
                    <w:suppressOverlap/>
                    <w:jc w:val="left"/>
                  </w:pPr>
                  <w:r>
                    <w:rPr>
                      <w:sz w:val="16"/>
                    </w:rPr>
                    <w:t xml:space="preserve">Under/ </w:t>
                  </w:r>
                  <w:proofErr w:type="spellStart"/>
                  <w:r>
                    <w:rPr>
                      <w:sz w:val="16"/>
                    </w:rPr>
                    <w:t>overconf</w:t>
                  </w:r>
                  <w:proofErr w:type="spellEnd"/>
                  <w:r>
                    <w:rPr>
                      <w:sz w:val="16"/>
                    </w:rPr>
                    <w:t>.</w:t>
                  </w:r>
                </w:p>
                <w:p w:rsidR="00157A70" w:rsidRDefault="00316F15" w:rsidP="00E25B31">
                  <w:pPr>
                    <w:framePr w:wrap="around" w:vAnchor="text" w:hAnchor="margin"/>
                    <w:spacing w:after="0" w:line="259" w:lineRule="auto"/>
                    <w:ind w:left="184" w:right="0" w:firstLine="0"/>
                    <w:suppressOverlap/>
                    <w:jc w:val="left"/>
                  </w:pPr>
                  <w:r>
                    <w:rPr>
                      <w:sz w:val="16"/>
                    </w:rPr>
                    <w:t>()</w:t>
                  </w:r>
                </w:p>
              </w:tc>
              <w:tc>
                <w:tcPr>
                  <w:tcW w:w="811" w:type="dxa"/>
                  <w:tcBorders>
                    <w:top w:val="single" w:sz="8" w:space="0" w:color="181717"/>
                    <w:left w:val="nil"/>
                    <w:bottom w:val="single" w:sz="4" w:space="0" w:color="181717"/>
                    <w:right w:val="nil"/>
                  </w:tcBorders>
                </w:tcPr>
                <w:p w:rsidR="00157A70" w:rsidRDefault="00316F15" w:rsidP="00E25B31">
                  <w:pPr>
                    <w:framePr w:wrap="around" w:vAnchor="text" w:hAnchor="margin"/>
                    <w:spacing w:after="0" w:line="259" w:lineRule="auto"/>
                    <w:ind w:left="2" w:right="0" w:firstLine="0"/>
                    <w:suppressOverlap/>
                    <w:jc w:val="left"/>
                  </w:pPr>
                  <w:r>
                    <w:rPr>
                      <w:sz w:val="16"/>
                    </w:rPr>
                    <w:t>Decision</w:t>
                  </w:r>
                </w:p>
                <w:p w:rsidR="00157A70" w:rsidRDefault="00316F15" w:rsidP="00E25B31">
                  <w:pPr>
                    <w:framePr w:wrap="around" w:vAnchor="text" w:hAnchor="margin"/>
                    <w:spacing w:after="0" w:line="259" w:lineRule="auto"/>
                    <w:ind w:left="104" w:right="0" w:firstLine="0"/>
                    <w:suppressOverlap/>
                    <w:jc w:val="left"/>
                  </w:pPr>
                  <w:r>
                    <w:rPr>
                      <w:sz w:val="16"/>
                    </w:rPr>
                    <w:t>Rules</w:t>
                  </w:r>
                </w:p>
                <w:p w:rsidR="00157A70" w:rsidRDefault="00316F15" w:rsidP="00E25B31">
                  <w:pPr>
                    <w:framePr w:wrap="around" w:vAnchor="text" w:hAnchor="margin"/>
                    <w:spacing w:after="0" w:line="259" w:lineRule="auto"/>
                    <w:ind w:left="167" w:right="0" w:firstLine="0"/>
                    <w:suppressOverlap/>
                    <w:jc w:val="left"/>
                  </w:pPr>
                  <w:r>
                    <w:rPr>
                      <w:sz w:val="16"/>
                    </w:rPr>
                    <w:t>()</w:t>
                  </w:r>
                </w:p>
              </w:tc>
              <w:tc>
                <w:tcPr>
                  <w:tcW w:w="922" w:type="dxa"/>
                  <w:tcBorders>
                    <w:top w:val="single" w:sz="8" w:space="0" w:color="181717"/>
                    <w:left w:val="nil"/>
                    <w:bottom w:val="single" w:sz="4" w:space="0" w:color="181717"/>
                    <w:right w:val="nil"/>
                  </w:tcBorders>
                </w:tcPr>
                <w:p w:rsidR="00157A70" w:rsidRDefault="00316F15" w:rsidP="00E25B31">
                  <w:pPr>
                    <w:framePr w:wrap="around" w:vAnchor="text" w:hAnchor="margin"/>
                    <w:spacing w:after="0" w:line="259" w:lineRule="auto"/>
                    <w:ind w:left="195" w:right="0" w:firstLine="0"/>
                    <w:suppressOverlap/>
                    <w:jc w:val="left"/>
                  </w:pPr>
                  <w:r>
                    <w:rPr>
                      <w:sz w:val="16"/>
                    </w:rPr>
                    <w:t>Risk</w:t>
                  </w:r>
                </w:p>
                <w:p w:rsidR="00157A70" w:rsidRDefault="00316F15" w:rsidP="00E25B31">
                  <w:pPr>
                    <w:framePr w:wrap="around" w:vAnchor="text" w:hAnchor="margin"/>
                    <w:spacing w:after="0" w:line="259" w:lineRule="auto"/>
                    <w:ind w:right="0" w:firstLine="0"/>
                    <w:suppressOverlap/>
                    <w:jc w:val="left"/>
                  </w:pPr>
                  <w:r>
                    <w:rPr>
                      <w:sz w:val="16"/>
                    </w:rPr>
                    <w:t>Perception</w:t>
                  </w:r>
                </w:p>
                <w:p w:rsidR="00157A70" w:rsidRDefault="00316F15" w:rsidP="00E25B31">
                  <w:pPr>
                    <w:framePr w:wrap="around" w:vAnchor="text" w:hAnchor="margin"/>
                    <w:spacing w:after="0" w:line="259" w:lineRule="auto"/>
                    <w:ind w:left="222" w:right="0" w:firstLine="0"/>
                    <w:suppressOverlap/>
                    <w:jc w:val="left"/>
                  </w:pPr>
                  <w:r>
                    <w:rPr>
                      <w:sz w:val="16"/>
                    </w:rPr>
                    <w:t>()</w:t>
                  </w:r>
                </w:p>
              </w:tc>
              <w:tc>
                <w:tcPr>
                  <w:tcW w:w="975" w:type="dxa"/>
                  <w:tcBorders>
                    <w:top w:val="single" w:sz="8" w:space="0" w:color="181717"/>
                    <w:left w:val="nil"/>
                    <w:bottom w:val="single" w:sz="4" w:space="0" w:color="181717"/>
                    <w:right w:val="nil"/>
                  </w:tcBorders>
                  <w:vAlign w:val="bottom"/>
                </w:tcPr>
                <w:p w:rsidR="00157A70" w:rsidRDefault="00316F15" w:rsidP="00E25B31">
                  <w:pPr>
                    <w:framePr w:wrap="around" w:vAnchor="text" w:hAnchor="margin"/>
                    <w:spacing w:after="0" w:line="259" w:lineRule="auto"/>
                    <w:ind w:left="249" w:right="0" w:hanging="249"/>
                    <w:suppressOverlap/>
                    <w:jc w:val="left"/>
                  </w:pPr>
                  <w:r>
                    <w:rPr>
                      <w:sz w:val="16"/>
                    </w:rPr>
                    <w:t>Sunk Costs ()</w:t>
                  </w:r>
                </w:p>
              </w:tc>
              <w:tc>
                <w:tcPr>
                  <w:tcW w:w="642" w:type="dxa"/>
                  <w:tcBorders>
                    <w:top w:val="single" w:sz="8" w:space="0" w:color="181717"/>
                    <w:left w:val="nil"/>
                    <w:bottom w:val="single" w:sz="4" w:space="0" w:color="181717"/>
                    <w:right w:val="nil"/>
                  </w:tcBorders>
                </w:tcPr>
                <w:p w:rsidR="00157A70" w:rsidRDefault="00316F15" w:rsidP="00E25B31">
                  <w:pPr>
                    <w:framePr w:wrap="around" w:vAnchor="text" w:hAnchor="margin"/>
                    <w:spacing w:after="8" w:line="233" w:lineRule="auto"/>
                    <w:ind w:right="0" w:firstLine="60"/>
                    <w:suppressOverlap/>
                    <w:jc w:val="left"/>
                  </w:pPr>
                  <w:r>
                    <w:rPr>
                      <w:sz w:val="16"/>
                    </w:rPr>
                    <w:t xml:space="preserve">Path </w:t>
                  </w:r>
                  <w:proofErr w:type="spellStart"/>
                  <w:r>
                    <w:rPr>
                      <w:sz w:val="16"/>
                    </w:rPr>
                    <w:t>Indep</w:t>
                  </w:r>
                  <w:proofErr w:type="spellEnd"/>
                  <w:r>
                    <w:rPr>
                      <w:sz w:val="16"/>
                    </w:rPr>
                    <w:t>.</w:t>
                  </w:r>
                </w:p>
                <w:p w:rsidR="00157A70" w:rsidRDefault="00316F15" w:rsidP="00E25B31">
                  <w:pPr>
                    <w:framePr w:wrap="around" w:vAnchor="text" w:hAnchor="margin"/>
                    <w:spacing w:after="0" w:line="259" w:lineRule="auto"/>
                    <w:ind w:left="82" w:right="0" w:firstLine="0"/>
                    <w:suppressOverlap/>
                    <w:jc w:val="left"/>
                  </w:pPr>
                  <w:r>
                    <w:rPr>
                      <w:sz w:val="16"/>
                    </w:rPr>
                    <w:t>()</w:t>
                  </w:r>
                </w:p>
              </w:tc>
              <w:tc>
                <w:tcPr>
                  <w:tcW w:w="837" w:type="dxa"/>
                  <w:tcBorders>
                    <w:top w:val="single" w:sz="8" w:space="0" w:color="181717"/>
                    <w:left w:val="nil"/>
                    <w:bottom w:val="single" w:sz="4" w:space="0" w:color="181717"/>
                    <w:right w:val="nil"/>
                  </w:tcBorders>
                </w:tcPr>
                <w:p w:rsidR="00157A70" w:rsidRDefault="00316F15" w:rsidP="00E25B31">
                  <w:pPr>
                    <w:framePr w:wrap="around" w:vAnchor="text" w:hAnchor="margin"/>
                    <w:spacing w:after="0" w:line="259" w:lineRule="auto"/>
                    <w:ind w:left="60" w:right="0" w:firstLine="0"/>
                    <w:suppressOverlap/>
                    <w:jc w:val="left"/>
                  </w:pPr>
                  <w:r>
                    <w:rPr>
                      <w:sz w:val="16"/>
                    </w:rPr>
                    <w:t>Overall</w:t>
                  </w:r>
                </w:p>
                <w:p w:rsidR="00157A70" w:rsidRDefault="00316F15" w:rsidP="00E25B31">
                  <w:pPr>
                    <w:framePr w:wrap="around" w:vAnchor="text" w:hAnchor="margin"/>
                    <w:spacing w:after="0" w:line="259" w:lineRule="auto"/>
                    <w:ind w:left="33" w:right="0" w:firstLine="0"/>
                    <w:suppressOverlap/>
                    <w:jc w:val="left"/>
                  </w:pPr>
                  <w:r>
                    <w:rPr>
                      <w:sz w:val="16"/>
                    </w:rPr>
                    <w:t>A-DMC</w:t>
                  </w:r>
                </w:p>
                <w:p w:rsidR="00157A70" w:rsidRDefault="00316F15" w:rsidP="00E25B31">
                  <w:pPr>
                    <w:framePr w:wrap="around" w:vAnchor="text" w:hAnchor="margin"/>
                    <w:spacing w:after="0" w:line="259" w:lineRule="auto"/>
                    <w:ind w:left="180" w:right="0" w:firstLine="0"/>
                    <w:suppressOverlap/>
                    <w:jc w:val="left"/>
                  </w:pPr>
                  <w:r>
                    <w:rPr>
                      <w:sz w:val="16"/>
                    </w:rPr>
                    <w:t>()</w:t>
                  </w:r>
                </w:p>
              </w:tc>
              <w:tc>
                <w:tcPr>
                  <w:tcW w:w="610" w:type="dxa"/>
                  <w:tcBorders>
                    <w:top w:val="single" w:sz="8" w:space="0" w:color="181717"/>
                    <w:left w:val="nil"/>
                    <w:bottom w:val="single" w:sz="4" w:space="0" w:color="181717"/>
                    <w:right w:val="nil"/>
                  </w:tcBorders>
                  <w:vAlign w:val="bottom"/>
                </w:tcPr>
                <w:p w:rsidR="00157A70" w:rsidRDefault="00316F15" w:rsidP="00E25B31">
                  <w:pPr>
                    <w:framePr w:wrap="around" w:vAnchor="text" w:hAnchor="margin"/>
                    <w:spacing w:after="0" w:line="259" w:lineRule="auto"/>
                    <w:ind w:left="11" w:right="0" w:firstLine="0"/>
                    <w:suppressOverlap/>
                  </w:pPr>
                  <w:r>
                    <w:rPr>
                      <w:sz w:val="16"/>
                    </w:rPr>
                    <w:t>DOI ()</w:t>
                  </w:r>
                </w:p>
              </w:tc>
            </w:tr>
            <w:tr w:rsidR="00157A70">
              <w:trPr>
                <w:trHeight w:val="477"/>
              </w:trPr>
              <w:tc>
                <w:tcPr>
                  <w:tcW w:w="2375" w:type="dxa"/>
                  <w:tcBorders>
                    <w:top w:val="single" w:sz="4" w:space="0" w:color="181717"/>
                    <w:left w:val="nil"/>
                    <w:bottom w:val="nil"/>
                    <w:right w:val="nil"/>
                  </w:tcBorders>
                  <w:vAlign w:val="bottom"/>
                </w:tcPr>
                <w:p w:rsidR="00157A70" w:rsidRDefault="00316F15" w:rsidP="00E25B31">
                  <w:pPr>
                    <w:framePr w:wrap="around" w:vAnchor="text" w:hAnchor="margin"/>
                    <w:spacing w:after="0" w:line="259" w:lineRule="auto"/>
                    <w:ind w:left="160" w:right="143" w:hanging="160"/>
                    <w:suppressOverlap/>
                    <w:jc w:val="left"/>
                  </w:pPr>
                  <w:r>
                    <w:rPr>
                      <w:sz w:val="16"/>
                    </w:rPr>
                    <w:t>Socioeconomic status (SES) Using social services ()</w:t>
                  </w:r>
                </w:p>
              </w:tc>
              <w:tc>
                <w:tcPr>
                  <w:tcW w:w="824" w:type="dxa"/>
                  <w:tcBorders>
                    <w:top w:val="single" w:sz="4" w:space="0" w:color="181717"/>
                    <w:left w:val="nil"/>
                    <w:bottom w:val="nil"/>
                    <w:right w:val="nil"/>
                  </w:tcBorders>
                  <w:vAlign w:val="bottom"/>
                </w:tcPr>
                <w:p w:rsidR="00157A70" w:rsidRDefault="00316F15" w:rsidP="00E25B31">
                  <w:pPr>
                    <w:framePr w:wrap="around" w:vAnchor="text" w:hAnchor="margin"/>
                    <w:spacing w:after="0" w:line="259" w:lineRule="auto"/>
                    <w:ind w:left="30" w:right="0" w:firstLine="0"/>
                    <w:suppressOverlap/>
                    <w:jc w:val="left"/>
                  </w:pPr>
                  <w:r>
                    <w:rPr>
                      <w:sz w:val="16"/>
                    </w:rPr>
                    <w:t>.29</w:t>
                  </w:r>
                  <w:r>
                    <w:rPr>
                      <w:sz w:val="10"/>
                    </w:rPr>
                    <w:t>***</w:t>
                  </w:r>
                </w:p>
              </w:tc>
              <w:tc>
                <w:tcPr>
                  <w:tcW w:w="1122" w:type="dxa"/>
                  <w:tcBorders>
                    <w:top w:val="single" w:sz="4" w:space="0" w:color="181717"/>
                    <w:left w:val="nil"/>
                    <w:bottom w:val="nil"/>
                    <w:right w:val="nil"/>
                  </w:tcBorders>
                  <w:vAlign w:val="bottom"/>
                </w:tcPr>
                <w:p w:rsidR="00157A70" w:rsidRDefault="00316F15" w:rsidP="00E25B31">
                  <w:pPr>
                    <w:framePr w:wrap="around" w:vAnchor="text" w:hAnchor="margin"/>
                    <w:spacing w:after="0" w:line="259" w:lineRule="auto"/>
                    <w:ind w:left="188" w:right="0" w:firstLine="0"/>
                    <w:suppressOverlap/>
                    <w:jc w:val="left"/>
                  </w:pPr>
                  <w:r>
                    <w:rPr>
                      <w:sz w:val="16"/>
                    </w:rPr>
                    <w:t>.26</w:t>
                  </w:r>
                  <w:r>
                    <w:rPr>
                      <w:sz w:val="10"/>
                    </w:rPr>
                    <w:t>***</w:t>
                  </w:r>
                </w:p>
              </w:tc>
              <w:tc>
                <w:tcPr>
                  <w:tcW w:w="842" w:type="dxa"/>
                  <w:tcBorders>
                    <w:top w:val="single" w:sz="4" w:space="0" w:color="181717"/>
                    <w:left w:val="nil"/>
                    <w:bottom w:val="nil"/>
                    <w:right w:val="nil"/>
                  </w:tcBorders>
                  <w:vAlign w:val="bottom"/>
                </w:tcPr>
                <w:p w:rsidR="00157A70" w:rsidRDefault="00316F15" w:rsidP="00E25B31">
                  <w:pPr>
                    <w:framePr w:wrap="around" w:vAnchor="text" w:hAnchor="margin"/>
                    <w:spacing w:after="0" w:line="259" w:lineRule="auto"/>
                    <w:ind w:left="48" w:right="0" w:firstLine="0"/>
                    <w:suppressOverlap/>
                    <w:jc w:val="left"/>
                  </w:pPr>
                  <w:r>
                    <w:rPr>
                      <w:sz w:val="16"/>
                    </w:rPr>
                    <w:t>.33</w:t>
                  </w:r>
                  <w:r>
                    <w:rPr>
                      <w:sz w:val="10"/>
                    </w:rPr>
                    <w:t>***</w:t>
                  </w:r>
                </w:p>
              </w:tc>
              <w:tc>
                <w:tcPr>
                  <w:tcW w:w="811" w:type="dxa"/>
                  <w:tcBorders>
                    <w:top w:val="single" w:sz="4" w:space="0" w:color="181717"/>
                    <w:left w:val="nil"/>
                    <w:bottom w:val="nil"/>
                    <w:right w:val="nil"/>
                  </w:tcBorders>
                  <w:vAlign w:val="bottom"/>
                </w:tcPr>
                <w:p w:rsidR="00157A70" w:rsidRDefault="00316F15" w:rsidP="00E25B31">
                  <w:pPr>
                    <w:framePr w:wrap="around" w:vAnchor="text" w:hAnchor="margin"/>
                    <w:spacing w:after="0" w:line="259" w:lineRule="auto"/>
                    <w:ind w:left="30" w:right="0" w:firstLine="0"/>
                    <w:suppressOverlap/>
                    <w:jc w:val="left"/>
                  </w:pPr>
                  <w:r>
                    <w:rPr>
                      <w:sz w:val="16"/>
                    </w:rPr>
                    <w:t>.50</w:t>
                  </w:r>
                  <w:r>
                    <w:rPr>
                      <w:sz w:val="10"/>
                    </w:rPr>
                    <w:t>***</w:t>
                  </w:r>
                </w:p>
              </w:tc>
              <w:tc>
                <w:tcPr>
                  <w:tcW w:w="922" w:type="dxa"/>
                  <w:tcBorders>
                    <w:top w:val="single" w:sz="4" w:space="0" w:color="181717"/>
                    <w:left w:val="nil"/>
                    <w:bottom w:val="nil"/>
                    <w:right w:val="nil"/>
                  </w:tcBorders>
                  <w:vAlign w:val="bottom"/>
                </w:tcPr>
                <w:p w:rsidR="00157A70" w:rsidRDefault="00316F15" w:rsidP="00E25B31">
                  <w:pPr>
                    <w:framePr w:wrap="around" w:vAnchor="text" w:hAnchor="margin"/>
                    <w:spacing w:after="0" w:line="259" w:lineRule="auto"/>
                    <w:ind w:left="85" w:right="0" w:firstLine="0"/>
                    <w:suppressOverlap/>
                    <w:jc w:val="left"/>
                  </w:pPr>
                  <w:r>
                    <w:rPr>
                      <w:sz w:val="16"/>
                    </w:rPr>
                    <w:t>.38</w:t>
                  </w:r>
                  <w:r>
                    <w:rPr>
                      <w:sz w:val="10"/>
                    </w:rPr>
                    <w:t>***</w:t>
                  </w:r>
                </w:p>
              </w:tc>
              <w:tc>
                <w:tcPr>
                  <w:tcW w:w="975" w:type="dxa"/>
                  <w:tcBorders>
                    <w:top w:val="single" w:sz="4" w:space="0" w:color="181717"/>
                    <w:left w:val="nil"/>
                    <w:bottom w:val="nil"/>
                    <w:right w:val="nil"/>
                  </w:tcBorders>
                  <w:vAlign w:val="bottom"/>
                </w:tcPr>
                <w:p w:rsidR="00157A70" w:rsidRDefault="00316F15" w:rsidP="00E25B31">
                  <w:pPr>
                    <w:framePr w:wrap="around" w:vAnchor="text" w:hAnchor="margin"/>
                    <w:spacing w:after="0" w:line="259" w:lineRule="auto"/>
                    <w:ind w:left="112" w:right="0" w:firstLine="0"/>
                    <w:suppressOverlap/>
                    <w:jc w:val="left"/>
                  </w:pPr>
                  <w:r>
                    <w:rPr>
                      <w:sz w:val="16"/>
                    </w:rPr>
                    <w:t>.14</w:t>
                  </w:r>
                  <w:r>
                    <w:rPr>
                      <w:sz w:val="16"/>
                      <w:vertAlign w:val="superscript"/>
                    </w:rPr>
                    <w:t>*</w:t>
                  </w:r>
                </w:p>
              </w:tc>
              <w:tc>
                <w:tcPr>
                  <w:tcW w:w="642" w:type="dxa"/>
                  <w:tcBorders>
                    <w:top w:val="single" w:sz="4" w:space="0" w:color="181717"/>
                    <w:left w:val="nil"/>
                    <w:bottom w:val="nil"/>
                    <w:right w:val="nil"/>
                  </w:tcBorders>
                  <w:vAlign w:val="bottom"/>
                </w:tcPr>
                <w:p w:rsidR="00157A70" w:rsidRDefault="00316F15" w:rsidP="00E25B31">
                  <w:pPr>
                    <w:framePr w:wrap="around" w:vAnchor="text" w:hAnchor="margin"/>
                    <w:spacing w:after="0" w:line="259" w:lineRule="auto"/>
                    <w:ind w:left="36" w:right="0" w:firstLine="0"/>
                    <w:suppressOverlap/>
                    <w:jc w:val="left"/>
                  </w:pPr>
                  <w:r>
                    <w:rPr>
                      <w:sz w:val="16"/>
                    </w:rPr>
                    <w:t>.05</w:t>
                  </w:r>
                </w:p>
              </w:tc>
              <w:tc>
                <w:tcPr>
                  <w:tcW w:w="837" w:type="dxa"/>
                  <w:tcBorders>
                    <w:top w:val="single" w:sz="4" w:space="0" w:color="181717"/>
                    <w:left w:val="nil"/>
                    <w:bottom w:val="nil"/>
                    <w:right w:val="nil"/>
                  </w:tcBorders>
                  <w:vAlign w:val="bottom"/>
                </w:tcPr>
                <w:p w:rsidR="00157A70" w:rsidRDefault="00316F15" w:rsidP="00E25B31">
                  <w:pPr>
                    <w:framePr w:wrap="around" w:vAnchor="text" w:hAnchor="margin"/>
                    <w:spacing w:after="0" w:line="259" w:lineRule="auto"/>
                    <w:ind w:left="43" w:right="0" w:firstLine="0"/>
                    <w:suppressOverlap/>
                    <w:jc w:val="left"/>
                  </w:pPr>
                  <w:r>
                    <w:rPr>
                      <w:sz w:val="16"/>
                    </w:rPr>
                    <w:t>.54</w:t>
                  </w:r>
                  <w:r>
                    <w:rPr>
                      <w:sz w:val="10"/>
                    </w:rPr>
                    <w:t>***</w:t>
                  </w:r>
                </w:p>
              </w:tc>
              <w:tc>
                <w:tcPr>
                  <w:tcW w:w="610" w:type="dxa"/>
                  <w:tcBorders>
                    <w:top w:val="single" w:sz="4" w:space="0" w:color="181717"/>
                    <w:left w:val="nil"/>
                    <w:bottom w:val="nil"/>
                    <w:right w:val="nil"/>
                  </w:tcBorders>
                  <w:vAlign w:val="bottom"/>
                </w:tcPr>
                <w:p w:rsidR="00157A70" w:rsidRDefault="00316F15" w:rsidP="00E25B31">
                  <w:pPr>
                    <w:framePr w:wrap="around" w:vAnchor="text" w:hAnchor="margin"/>
                    <w:spacing w:after="0" w:line="259" w:lineRule="auto"/>
                    <w:ind w:left="43" w:right="0" w:firstLine="0"/>
                    <w:suppressOverlap/>
                  </w:pPr>
                  <w:r>
                    <w:rPr>
                      <w:sz w:val="16"/>
                    </w:rPr>
                    <w:t>.28</w:t>
                  </w:r>
                  <w:r>
                    <w:rPr>
                      <w:sz w:val="10"/>
                    </w:rPr>
                    <w:t>***</w:t>
                  </w:r>
                </w:p>
              </w:tc>
            </w:tr>
            <w:tr w:rsidR="00157A70">
              <w:trPr>
                <w:trHeight w:val="182"/>
              </w:trPr>
              <w:tc>
                <w:tcPr>
                  <w:tcW w:w="2375" w:type="dxa"/>
                  <w:tcBorders>
                    <w:top w:val="nil"/>
                    <w:left w:val="nil"/>
                    <w:bottom w:val="nil"/>
                    <w:right w:val="nil"/>
                  </w:tcBorders>
                </w:tcPr>
                <w:p w:rsidR="00157A70" w:rsidRDefault="00316F15" w:rsidP="00E25B31">
                  <w:pPr>
                    <w:framePr w:wrap="around" w:vAnchor="text" w:hAnchor="margin"/>
                    <w:spacing w:after="0" w:line="259" w:lineRule="auto"/>
                    <w:ind w:left="160" w:right="0" w:firstLine="0"/>
                    <w:suppressOverlap/>
                    <w:jc w:val="left"/>
                  </w:pPr>
                  <w:r>
                    <w:rPr>
                      <w:sz w:val="16"/>
                    </w:rPr>
                    <w:t>Education ()</w:t>
                  </w:r>
                </w:p>
              </w:tc>
              <w:tc>
                <w:tcPr>
                  <w:tcW w:w="824" w:type="dxa"/>
                  <w:tcBorders>
                    <w:top w:val="nil"/>
                    <w:left w:val="nil"/>
                    <w:bottom w:val="nil"/>
                    <w:right w:val="nil"/>
                  </w:tcBorders>
                </w:tcPr>
                <w:p w:rsidR="00157A70" w:rsidRDefault="00316F15" w:rsidP="00E25B31">
                  <w:pPr>
                    <w:framePr w:wrap="around" w:vAnchor="text" w:hAnchor="margin"/>
                    <w:spacing w:after="0" w:line="259" w:lineRule="auto"/>
                    <w:ind w:left="163" w:right="0" w:firstLine="0"/>
                    <w:suppressOverlap/>
                    <w:jc w:val="left"/>
                  </w:pPr>
                  <w:r>
                    <w:rPr>
                      <w:sz w:val="16"/>
                    </w:rPr>
                    <w:t>.35</w:t>
                  </w:r>
                  <w:r>
                    <w:rPr>
                      <w:sz w:val="10"/>
                    </w:rPr>
                    <w:t>***</w:t>
                  </w:r>
                </w:p>
              </w:tc>
              <w:tc>
                <w:tcPr>
                  <w:tcW w:w="1122" w:type="dxa"/>
                  <w:tcBorders>
                    <w:top w:val="nil"/>
                    <w:left w:val="nil"/>
                    <w:bottom w:val="nil"/>
                    <w:right w:val="nil"/>
                  </w:tcBorders>
                </w:tcPr>
                <w:p w:rsidR="00157A70" w:rsidRDefault="00316F15" w:rsidP="00E25B31">
                  <w:pPr>
                    <w:framePr w:wrap="around" w:vAnchor="text" w:hAnchor="margin"/>
                    <w:spacing w:after="0" w:line="259" w:lineRule="auto"/>
                    <w:ind w:left="321" w:right="0" w:firstLine="0"/>
                    <w:suppressOverlap/>
                    <w:jc w:val="left"/>
                  </w:pPr>
                  <w:r>
                    <w:rPr>
                      <w:sz w:val="16"/>
                    </w:rPr>
                    <w:t>.18</w:t>
                  </w:r>
                  <w:r>
                    <w:rPr>
                      <w:sz w:val="16"/>
                      <w:vertAlign w:val="superscript"/>
                    </w:rPr>
                    <w:t>**</w:t>
                  </w:r>
                </w:p>
              </w:tc>
              <w:tc>
                <w:tcPr>
                  <w:tcW w:w="842" w:type="dxa"/>
                  <w:tcBorders>
                    <w:top w:val="nil"/>
                    <w:left w:val="nil"/>
                    <w:bottom w:val="nil"/>
                    <w:right w:val="nil"/>
                  </w:tcBorders>
                </w:tcPr>
                <w:p w:rsidR="00157A70" w:rsidRDefault="00316F15" w:rsidP="00E25B31">
                  <w:pPr>
                    <w:framePr w:wrap="around" w:vAnchor="text" w:hAnchor="margin"/>
                    <w:spacing w:after="0" w:line="259" w:lineRule="auto"/>
                    <w:ind w:left="181" w:right="0" w:firstLine="0"/>
                    <w:suppressOverlap/>
                    <w:jc w:val="left"/>
                  </w:pPr>
                  <w:r>
                    <w:rPr>
                      <w:sz w:val="16"/>
                    </w:rPr>
                    <w:t>.32</w:t>
                  </w:r>
                  <w:r>
                    <w:rPr>
                      <w:sz w:val="10"/>
                    </w:rPr>
                    <w:t>***</w:t>
                  </w:r>
                </w:p>
              </w:tc>
              <w:tc>
                <w:tcPr>
                  <w:tcW w:w="811" w:type="dxa"/>
                  <w:tcBorders>
                    <w:top w:val="nil"/>
                    <w:left w:val="nil"/>
                    <w:bottom w:val="nil"/>
                    <w:right w:val="nil"/>
                  </w:tcBorders>
                </w:tcPr>
                <w:p w:rsidR="00157A70" w:rsidRDefault="00316F15" w:rsidP="00E25B31">
                  <w:pPr>
                    <w:framePr w:wrap="around" w:vAnchor="text" w:hAnchor="margin"/>
                    <w:spacing w:after="0" w:line="259" w:lineRule="auto"/>
                    <w:ind w:left="163" w:right="0" w:firstLine="0"/>
                    <w:suppressOverlap/>
                    <w:jc w:val="left"/>
                  </w:pPr>
                  <w:r>
                    <w:rPr>
                      <w:sz w:val="16"/>
                    </w:rPr>
                    <w:t>.45</w:t>
                  </w:r>
                  <w:r>
                    <w:rPr>
                      <w:sz w:val="10"/>
                    </w:rPr>
                    <w:t>***</w:t>
                  </w:r>
                </w:p>
              </w:tc>
              <w:tc>
                <w:tcPr>
                  <w:tcW w:w="922" w:type="dxa"/>
                  <w:tcBorders>
                    <w:top w:val="nil"/>
                    <w:left w:val="nil"/>
                    <w:bottom w:val="nil"/>
                    <w:right w:val="nil"/>
                  </w:tcBorders>
                </w:tcPr>
                <w:p w:rsidR="00157A70" w:rsidRDefault="00316F15" w:rsidP="00E25B31">
                  <w:pPr>
                    <w:framePr w:wrap="around" w:vAnchor="text" w:hAnchor="margin"/>
                    <w:spacing w:after="0" w:line="259" w:lineRule="auto"/>
                    <w:ind w:left="219" w:right="0" w:firstLine="0"/>
                    <w:suppressOverlap/>
                    <w:jc w:val="left"/>
                  </w:pPr>
                  <w:r>
                    <w:rPr>
                      <w:sz w:val="16"/>
                    </w:rPr>
                    <w:t>.28</w:t>
                  </w:r>
                  <w:r>
                    <w:rPr>
                      <w:sz w:val="10"/>
                    </w:rPr>
                    <w:t>***</w:t>
                  </w:r>
                </w:p>
              </w:tc>
              <w:tc>
                <w:tcPr>
                  <w:tcW w:w="975" w:type="dxa"/>
                  <w:tcBorders>
                    <w:top w:val="nil"/>
                    <w:left w:val="nil"/>
                    <w:bottom w:val="nil"/>
                    <w:right w:val="nil"/>
                  </w:tcBorders>
                </w:tcPr>
                <w:p w:rsidR="00157A70" w:rsidRDefault="00316F15" w:rsidP="00E25B31">
                  <w:pPr>
                    <w:framePr w:wrap="around" w:vAnchor="text" w:hAnchor="margin"/>
                    <w:spacing w:after="0" w:line="259" w:lineRule="auto"/>
                    <w:ind w:left="246" w:right="0" w:firstLine="0"/>
                    <w:suppressOverlap/>
                    <w:jc w:val="left"/>
                  </w:pPr>
                  <w:r>
                    <w:rPr>
                      <w:sz w:val="16"/>
                    </w:rPr>
                    <w:t>.04</w:t>
                  </w:r>
                </w:p>
              </w:tc>
              <w:tc>
                <w:tcPr>
                  <w:tcW w:w="642" w:type="dxa"/>
                  <w:tcBorders>
                    <w:top w:val="nil"/>
                    <w:left w:val="nil"/>
                    <w:bottom w:val="nil"/>
                    <w:right w:val="nil"/>
                  </w:tcBorders>
                </w:tcPr>
                <w:p w:rsidR="00157A70" w:rsidRDefault="00316F15" w:rsidP="00E25B31">
                  <w:pPr>
                    <w:framePr w:wrap="around" w:vAnchor="text" w:hAnchor="margin"/>
                    <w:spacing w:after="0" w:line="259" w:lineRule="auto"/>
                    <w:ind w:left="169" w:right="0" w:firstLine="0"/>
                    <w:suppressOverlap/>
                    <w:jc w:val="left"/>
                  </w:pPr>
                  <w:r>
                    <w:rPr>
                      <w:sz w:val="16"/>
                    </w:rPr>
                    <w:t>.09</w:t>
                  </w:r>
                </w:p>
              </w:tc>
              <w:tc>
                <w:tcPr>
                  <w:tcW w:w="837" w:type="dxa"/>
                  <w:tcBorders>
                    <w:top w:val="nil"/>
                    <w:left w:val="nil"/>
                    <w:bottom w:val="nil"/>
                    <w:right w:val="nil"/>
                  </w:tcBorders>
                </w:tcPr>
                <w:p w:rsidR="00157A70" w:rsidRDefault="00316F15" w:rsidP="00E25B31">
                  <w:pPr>
                    <w:framePr w:wrap="around" w:vAnchor="text" w:hAnchor="margin"/>
                    <w:spacing w:after="0" w:line="259" w:lineRule="auto"/>
                    <w:ind w:left="177" w:right="0" w:firstLine="0"/>
                    <w:suppressOverlap/>
                    <w:jc w:val="left"/>
                  </w:pPr>
                  <w:r>
                    <w:rPr>
                      <w:sz w:val="16"/>
                    </w:rPr>
                    <w:t>.47</w:t>
                  </w:r>
                  <w:r>
                    <w:rPr>
                      <w:sz w:val="10"/>
                    </w:rPr>
                    <w:t>***</w:t>
                  </w:r>
                </w:p>
              </w:tc>
              <w:tc>
                <w:tcPr>
                  <w:tcW w:w="610" w:type="dxa"/>
                  <w:tcBorders>
                    <w:top w:val="nil"/>
                    <w:left w:val="nil"/>
                    <w:bottom w:val="nil"/>
                    <w:right w:val="nil"/>
                  </w:tcBorders>
                </w:tcPr>
                <w:p w:rsidR="00157A70" w:rsidRDefault="00316F15" w:rsidP="00E25B31">
                  <w:pPr>
                    <w:framePr w:wrap="around" w:vAnchor="text" w:hAnchor="margin"/>
                    <w:spacing w:after="0" w:line="259" w:lineRule="auto"/>
                    <w:ind w:left="177" w:right="0" w:firstLine="0"/>
                    <w:suppressOverlap/>
                    <w:jc w:val="left"/>
                  </w:pPr>
                  <w:r>
                    <w:rPr>
                      <w:sz w:val="16"/>
                    </w:rPr>
                    <w:t>.08</w:t>
                  </w:r>
                </w:p>
              </w:tc>
            </w:tr>
            <w:tr w:rsidR="00157A70">
              <w:trPr>
                <w:trHeight w:val="178"/>
              </w:trPr>
              <w:tc>
                <w:tcPr>
                  <w:tcW w:w="2375" w:type="dxa"/>
                  <w:tcBorders>
                    <w:top w:val="nil"/>
                    <w:left w:val="nil"/>
                    <w:bottom w:val="nil"/>
                    <w:right w:val="nil"/>
                  </w:tcBorders>
                </w:tcPr>
                <w:p w:rsidR="00157A70" w:rsidRDefault="00316F15" w:rsidP="00E25B31">
                  <w:pPr>
                    <w:framePr w:wrap="around" w:vAnchor="text" w:hAnchor="margin"/>
                    <w:spacing w:after="0" w:line="259" w:lineRule="auto"/>
                    <w:ind w:left="320" w:right="0" w:firstLine="0"/>
                    <w:suppressOverlap/>
                    <w:jc w:val="left"/>
                  </w:pPr>
                  <w:r>
                    <w:rPr>
                      <w:sz w:val="16"/>
                    </w:rPr>
                    <w:t>Overall</w:t>
                  </w:r>
                </w:p>
              </w:tc>
              <w:tc>
                <w:tcPr>
                  <w:tcW w:w="824"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proofErr w:type="gramStart"/>
                  <w:r>
                    <w:rPr>
                      <w:i/>
                      <w:sz w:val="16"/>
                    </w:rPr>
                    <w:t xml:space="preserve">p </w:t>
                  </w:r>
                  <w:r>
                    <w:rPr>
                      <w:rFonts w:ascii="Calibri" w:eastAsia="Calibri" w:hAnsi="Calibri" w:cs="Calibri"/>
                      <w:sz w:val="16"/>
                    </w:rPr>
                    <w:t xml:space="preserve"> </w:t>
                  </w:r>
                  <w:r>
                    <w:rPr>
                      <w:sz w:val="16"/>
                    </w:rPr>
                    <w:t>.</w:t>
                  </w:r>
                  <w:proofErr w:type="gramEnd"/>
                  <w:r>
                    <w:rPr>
                      <w:sz w:val="16"/>
                    </w:rPr>
                    <w:t>001</w:t>
                  </w:r>
                </w:p>
              </w:tc>
              <w:tc>
                <w:tcPr>
                  <w:tcW w:w="1122" w:type="dxa"/>
                  <w:tcBorders>
                    <w:top w:val="nil"/>
                    <w:left w:val="nil"/>
                    <w:bottom w:val="nil"/>
                    <w:right w:val="nil"/>
                  </w:tcBorders>
                </w:tcPr>
                <w:p w:rsidR="00157A70" w:rsidRDefault="00316F15" w:rsidP="00E25B31">
                  <w:pPr>
                    <w:framePr w:wrap="around" w:vAnchor="text" w:hAnchor="margin"/>
                    <w:spacing w:after="0" w:line="259" w:lineRule="auto"/>
                    <w:ind w:left="158" w:right="0" w:firstLine="0"/>
                    <w:suppressOverlap/>
                    <w:jc w:val="left"/>
                  </w:pPr>
                  <w:proofErr w:type="gramStart"/>
                  <w:r>
                    <w:rPr>
                      <w:i/>
                      <w:sz w:val="16"/>
                    </w:rPr>
                    <w:t xml:space="preserve">p </w:t>
                  </w:r>
                  <w:r>
                    <w:rPr>
                      <w:rFonts w:ascii="Calibri" w:eastAsia="Calibri" w:hAnsi="Calibri" w:cs="Calibri"/>
                      <w:sz w:val="16"/>
                    </w:rPr>
                    <w:t xml:space="preserve"> </w:t>
                  </w:r>
                  <w:r>
                    <w:rPr>
                      <w:sz w:val="16"/>
                    </w:rPr>
                    <w:t>.</w:t>
                  </w:r>
                  <w:proofErr w:type="gramEnd"/>
                  <w:r>
                    <w:rPr>
                      <w:sz w:val="16"/>
                    </w:rPr>
                    <w:t>001</w:t>
                  </w:r>
                </w:p>
              </w:tc>
              <w:tc>
                <w:tcPr>
                  <w:tcW w:w="842" w:type="dxa"/>
                  <w:tcBorders>
                    <w:top w:val="nil"/>
                    <w:left w:val="nil"/>
                    <w:bottom w:val="nil"/>
                    <w:right w:val="nil"/>
                  </w:tcBorders>
                </w:tcPr>
                <w:p w:rsidR="00157A70" w:rsidRDefault="00316F15" w:rsidP="00E25B31">
                  <w:pPr>
                    <w:framePr w:wrap="around" w:vAnchor="text" w:hAnchor="margin"/>
                    <w:spacing w:after="0" w:line="259" w:lineRule="auto"/>
                    <w:ind w:left="18" w:right="0" w:firstLine="0"/>
                    <w:suppressOverlap/>
                    <w:jc w:val="left"/>
                  </w:pPr>
                  <w:proofErr w:type="gramStart"/>
                  <w:r>
                    <w:rPr>
                      <w:i/>
                      <w:sz w:val="16"/>
                    </w:rPr>
                    <w:t xml:space="preserve">p </w:t>
                  </w:r>
                  <w:r>
                    <w:rPr>
                      <w:rFonts w:ascii="Calibri" w:eastAsia="Calibri" w:hAnsi="Calibri" w:cs="Calibri"/>
                      <w:sz w:val="16"/>
                    </w:rPr>
                    <w:t xml:space="preserve"> </w:t>
                  </w:r>
                  <w:r>
                    <w:rPr>
                      <w:sz w:val="16"/>
                    </w:rPr>
                    <w:t>.</w:t>
                  </w:r>
                  <w:proofErr w:type="gramEnd"/>
                  <w:r>
                    <w:rPr>
                      <w:sz w:val="16"/>
                    </w:rPr>
                    <w:t>001</w:t>
                  </w:r>
                </w:p>
              </w:tc>
              <w:tc>
                <w:tcPr>
                  <w:tcW w:w="811"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proofErr w:type="gramStart"/>
                  <w:r>
                    <w:rPr>
                      <w:i/>
                      <w:sz w:val="16"/>
                    </w:rPr>
                    <w:t xml:space="preserve">p </w:t>
                  </w:r>
                  <w:r>
                    <w:rPr>
                      <w:rFonts w:ascii="Calibri" w:eastAsia="Calibri" w:hAnsi="Calibri" w:cs="Calibri"/>
                      <w:sz w:val="16"/>
                    </w:rPr>
                    <w:t xml:space="preserve"> </w:t>
                  </w:r>
                  <w:r>
                    <w:rPr>
                      <w:sz w:val="16"/>
                    </w:rPr>
                    <w:t>.</w:t>
                  </w:r>
                  <w:proofErr w:type="gramEnd"/>
                  <w:r>
                    <w:rPr>
                      <w:sz w:val="16"/>
                    </w:rPr>
                    <w:t>001</w:t>
                  </w:r>
                </w:p>
              </w:tc>
              <w:tc>
                <w:tcPr>
                  <w:tcW w:w="922" w:type="dxa"/>
                  <w:tcBorders>
                    <w:top w:val="nil"/>
                    <w:left w:val="nil"/>
                    <w:bottom w:val="nil"/>
                    <w:right w:val="nil"/>
                  </w:tcBorders>
                </w:tcPr>
                <w:p w:rsidR="00157A70" w:rsidRDefault="00316F15" w:rsidP="00E25B31">
                  <w:pPr>
                    <w:framePr w:wrap="around" w:vAnchor="text" w:hAnchor="margin"/>
                    <w:spacing w:after="0" w:line="259" w:lineRule="auto"/>
                    <w:ind w:left="55" w:right="0" w:firstLine="0"/>
                    <w:suppressOverlap/>
                    <w:jc w:val="left"/>
                  </w:pPr>
                  <w:proofErr w:type="gramStart"/>
                  <w:r>
                    <w:rPr>
                      <w:i/>
                      <w:sz w:val="16"/>
                    </w:rPr>
                    <w:t xml:space="preserve">p </w:t>
                  </w:r>
                  <w:r>
                    <w:rPr>
                      <w:rFonts w:ascii="Calibri" w:eastAsia="Calibri" w:hAnsi="Calibri" w:cs="Calibri"/>
                      <w:sz w:val="16"/>
                    </w:rPr>
                    <w:t xml:space="preserve"> </w:t>
                  </w:r>
                  <w:r>
                    <w:rPr>
                      <w:sz w:val="16"/>
                    </w:rPr>
                    <w:t>.</w:t>
                  </w:r>
                  <w:proofErr w:type="gramEnd"/>
                  <w:r>
                    <w:rPr>
                      <w:sz w:val="16"/>
                    </w:rPr>
                    <w:t>001</w:t>
                  </w:r>
                </w:p>
              </w:tc>
              <w:tc>
                <w:tcPr>
                  <w:tcW w:w="975" w:type="dxa"/>
                  <w:tcBorders>
                    <w:top w:val="nil"/>
                    <w:left w:val="nil"/>
                    <w:bottom w:val="nil"/>
                    <w:right w:val="nil"/>
                  </w:tcBorders>
                </w:tcPr>
                <w:p w:rsidR="00157A70" w:rsidRDefault="00316F15" w:rsidP="00E25B31">
                  <w:pPr>
                    <w:framePr w:wrap="around" w:vAnchor="text" w:hAnchor="margin"/>
                    <w:spacing w:after="0" w:line="259" w:lineRule="auto"/>
                    <w:ind w:left="122" w:right="0" w:firstLine="0"/>
                    <w:suppressOverlap/>
                    <w:jc w:val="left"/>
                  </w:pPr>
                  <w:proofErr w:type="gramStart"/>
                  <w:r>
                    <w:rPr>
                      <w:i/>
                      <w:sz w:val="16"/>
                    </w:rPr>
                    <w:t xml:space="preserve">p </w:t>
                  </w:r>
                  <w:r>
                    <w:rPr>
                      <w:rFonts w:ascii="Calibri" w:eastAsia="Calibri" w:hAnsi="Calibri" w:cs="Calibri"/>
                      <w:sz w:val="16"/>
                    </w:rPr>
                    <w:t xml:space="preserve"> </w:t>
                  </w:r>
                  <w:r>
                    <w:rPr>
                      <w:sz w:val="16"/>
                    </w:rPr>
                    <w:t>.</w:t>
                  </w:r>
                  <w:proofErr w:type="gramEnd"/>
                  <w:r>
                    <w:rPr>
                      <w:sz w:val="16"/>
                    </w:rPr>
                    <w:t>05</w:t>
                  </w:r>
                </w:p>
              </w:tc>
              <w:tc>
                <w:tcPr>
                  <w:tcW w:w="642" w:type="dxa"/>
                  <w:tcBorders>
                    <w:top w:val="nil"/>
                    <w:left w:val="nil"/>
                    <w:bottom w:val="nil"/>
                    <w:right w:val="nil"/>
                  </w:tcBorders>
                </w:tcPr>
                <w:p w:rsidR="00157A70" w:rsidRDefault="00316F15" w:rsidP="00E25B31">
                  <w:pPr>
                    <w:framePr w:wrap="around" w:vAnchor="text" w:hAnchor="margin"/>
                    <w:spacing w:after="0" w:line="259" w:lineRule="auto"/>
                    <w:ind w:left="131" w:right="0" w:firstLine="0"/>
                    <w:suppressOverlap/>
                    <w:jc w:val="left"/>
                  </w:pPr>
                  <w:r>
                    <w:rPr>
                      <w:i/>
                      <w:sz w:val="16"/>
                    </w:rPr>
                    <w:t>ns</w:t>
                  </w:r>
                </w:p>
              </w:tc>
              <w:tc>
                <w:tcPr>
                  <w:tcW w:w="837" w:type="dxa"/>
                  <w:tcBorders>
                    <w:top w:val="nil"/>
                    <w:left w:val="nil"/>
                    <w:bottom w:val="nil"/>
                    <w:right w:val="nil"/>
                  </w:tcBorders>
                </w:tcPr>
                <w:p w:rsidR="00157A70" w:rsidRDefault="00316F15" w:rsidP="00E25B31">
                  <w:pPr>
                    <w:framePr w:wrap="around" w:vAnchor="text" w:hAnchor="margin"/>
                    <w:spacing w:after="0" w:line="259" w:lineRule="auto"/>
                    <w:ind w:left="13" w:right="0" w:firstLine="0"/>
                    <w:suppressOverlap/>
                    <w:jc w:val="left"/>
                  </w:pPr>
                  <w:proofErr w:type="gramStart"/>
                  <w:r>
                    <w:rPr>
                      <w:i/>
                      <w:sz w:val="16"/>
                    </w:rPr>
                    <w:t xml:space="preserve">p </w:t>
                  </w:r>
                  <w:r>
                    <w:rPr>
                      <w:rFonts w:ascii="Calibri" w:eastAsia="Calibri" w:hAnsi="Calibri" w:cs="Calibri"/>
                      <w:sz w:val="16"/>
                    </w:rPr>
                    <w:t xml:space="preserve"> </w:t>
                  </w:r>
                  <w:r>
                    <w:rPr>
                      <w:sz w:val="16"/>
                    </w:rPr>
                    <w:t>.</w:t>
                  </w:r>
                  <w:proofErr w:type="gramEnd"/>
                  <w:r>
                    <w:rPr>
                      <w:sz w:val="16"/>
                    </w:rPr>
                    <w:t>001</w:t>
                  </w:r>
                </w:p>
              </w:tc>
              <w:tc>
                <w:tcPr>
                  <w:tcW w:w="610" w:type="dxa"/>
                  <w:tcBorders>
                    <w:top w:val="nil"/>
                    <w:left w:val="nil"/>
                    <w:bottom w:val="nil"/>
                    <w:right w:val="nil"/>
                  </w:tcBorders>
                </w:tcPr>
                <w:p w:rsidR="00157A70" w:rsidRDefault="00316F15" w:rsidP="00E25B31">
                  <w:pPr>
                    <w:framePr w:wrap="around" w:vAnchor="text" w:hAnchor="margin"/>
                    <w:spacing w:after="0" w:line="259" w:lineRule="auto"/>
                    <w:ind w:left="13" w:right="0" w:firstLine="0"/>
                    <w:suppressOverlap/>
                  </w:pPr>
                  <w:proofErr w:type="gramStart"/>
                  <w:r>
                    <w:rPr>
                      <w:i/>
                      <w:sz w:val="16"/>
                    </w:rPr>
                    <w:t xml:space="preserve">p </w:t>
                  </w:r>
                  <w:r>
                    <w:rPr>
                      <w:rFonts w:ascii="Calibri" w:eastAsia="Calibri" w:hAnsi="Calibri" w:cs="Calibri"/>
                      <w:sz w:val="16"/>
                    </w:rPr>
                    <w:t xml:space="preserve"> </w:t>
                  </w:r>
                  <w:r>
                    <w:rPr>
                      <w:sz w:val="16"/>
                    </w:rPr>
                    <w:t>.</w:t>
                  </w:r>
                  <w:proofErr w:type="gramEnd"/>
                  <w:r>
                    <w:rPr>
                      <w:sz w:val="16"/>
                    </w:rPr>
                    <w:t>001</w:t>
                  </w:r>
                </w:p>
              </w:tc>
            </w:tr>
            <w:tr w:rsidR="00157A70">
              <w:trPr>
                <w:trHeight w:val="192"/>
              </w:trPr>
              <w:tc>
                <w:tcPr>
                  <w:tcW w:w="2375" w:type="dxa"/>
                  <w:tcBorders>
                    <w:top w:val="nil"/>
                    <w:left w:val="nil"/>
                    <w:bottom w:val="nil"/>
                    <w:right w:val="nil"/>
                  </w:tcBorders>
                </w:tcPr>
                <w:p w:rsidR="00157A70" w:rsidRDefault="00316F15" w:rsidP="00E25B31">
                  <w:pPr>
                    <w:framePr w:wrap="around" w:vAnchor="text" w:hAnchor="margin"/>
                    <w:spacing w:after="0" w:line="259" w:lineRule="auto"/>
                    <w:ind w:left="320" w:right="0" w:firstLine="0"/>
                    <w:suppressOverlap/>
                    <w:jc w:val="left"/>
                  </w:pPr>
                  <w:r>
                    <w:rPr>
                      <w:sz w:val="16"/>
                    </w:rPr>
                    <w:t>Age ()</w:t>
                  </w:r>
                </w:p>
              </w:tc>
              <w:tc>
                <w:tcPr>
                  <w:tcW w:w="824" w:type="dxa"/>
                  <w:tcBorders>
                    <w:top w:val="nil"/>
                    <w:left w:val="nil"/>
                    <w:bottom w:val="nil"/>
                    <w:right w:val="nil"/>
                  </w:tcBorders>
                </w:tcPr>
                <w:p w:rsidR="00157A70" w:rsidRDefault="00316F15" w:rsidP="00E25B31">
                  <w:pPr>
                    <w:framePr w:wrap="around" w:vAnchor="text" w:hAnchor="margin"/>
                    <w:spacing w:after="0" w:line="259" w:lineRule="auto"/>
                    <w:ind w:left="30" w:right="0" w:firstLine="0"/>
                    <w:suppressOverlap/>
                    <w:jc w:val="left"/>
                  </w:pPr>
                  <w:r>
                    <w:rPr>
                      <w:sz w:val="16"/>
                    </w:rPr>
                    <w:t>.20</w:t>
                  </w:r>
                  <w:r>
                    <w:rPr>
                      <w:sz w:val="10"/>
                    </w:rPr>
                    <w:t>***</w:t>
                  </w:r>
                </w:p>
              </w:tc>
              <w:tc>
                <w:tcPr>
                  <w:tcW w:w="1122" w:type="dxa"/>
                  <w:tcBorders>
                    <w:top w:val="nil"/>
                    <w:left w:val="nil"/>
                    <w:bottom w:val="nil"/>
                    <w:right w:val="nil"/>
                  </w:tcBorders>
                </w:tcPr>
                <w:p w:rsidR="00157A70" w:rsidRDefault="00316F15" w:rsidP="00E25B31">
                  <w:pPr>
                    <w:framePr w:wrap="around" w:vAnchor="text" w:hAnchor="margin"/>
                    <w:spacing w:after="0" w:line="259" w:lineRule="auto"/>
                    <w:ind w:left="321" w:right="0" w:firstLine="0"/>
                    <w:suppressOverlap/>
                    <w:jc w:val="left"/>
                  </w:pPr>
                  <w:r>
                    <w:rPr>
                      <w:sz w:val="16"/>
                    </w:rPr>
                    <w:t>.12</w:t>
                  </w:r>
                  <w:r>
                    <w:rPr>
                      <w:sz w:val="16"/>
                      <w:vertAlign w:val="superscript"/>
                    </w:rPr>
                    <w:t>*</w:t>
                  </w:r>
                </w:p>
              </w:tc>
              <w:tc>
                <w:tcPr>
                  <w:tcW w:w="842" w:type="dxa"/>
                  <w:tcBorders>
                    <w:top w:val="nil"/>
                    <w:left w:val="nil"/>
                    <w:bottom w:val="nil"/>
                    <w:right w:val="nil"/>
                  </w:tcBorders>
                </w:tcPr>
                <w:p w:rsidR="00157A70" w:rsidRDefault="00316F15" w:rsidP="00E25B31">
                  <w:pPr>
                    <w:framePr w:wrap="around" w:vAnchor="text" w:hAnchor="margin"/>
                    <w:spacing w:after="0" w:line="259" w:lineRule="auto"/>
                    <w:ind w:left="181" w:right="0" w:firstLine="0"/>
                    <w:suppressOverlap/>
                    <w:jc w:val="left"/>
                  </w:pPr>
                  <w:r>
                    <w:rPr>
                      <w:sz w:val="16"/>
                    </w:rPr>
                    <w:t>.07</w:t>
                  </w:r>
                </w:p>
              </w:tc>
              <w:tc>
                <w:tcPr>
                  <w:tcW w:w="811" w:type="dxa"/>
                  <w:tcBorders>
                    <w:top w:val="nil"/>
                    <w:left w:val="nil"/>
                    <w:bottom w:val="nil"/>
                    <w:right w:val="nil"/>
                  </w:tcBorders>
                </w:tcPr>
                <w:p w:rsidR="00157A70" w:rsidRDefault="00316F15" w:rsidP="00E25B31">
                  <w:pPr>
                    <w:framePr w:wrap="around" w:vAnchor="text" w:hAnchor="margin"/>
                    <w:spacing w:after="0" w:line="259" w:lineRule="auto"/>
                    <w:ind w:left="30" w:right="0" w:firstLine="0"/>
                    <w:suppressOverlap/>
                    <w:jc w:val="left"/>
                  </w:pPr>
                  <w:r>
                    <w:rPr>
                      <w:sz w:val="16"/>
                    </w:rPr>
                    <w:t>.18</w:t>
                  </w:r>
                  <w:r>
                    <w:rPr>
                      <w:sz w:val="16"/>
                      <w:vertAlign w:val="superscript"/>
                    </w:rPr>
                    <w:t>**</w:t>
                  </w:r>
                </w:p>
              </w:tc>
              <w:tc>
                <w:tcPr>
                  <w:tcW w:w="922" w:type="dxa"/>
                  <w:tcBorders>
                    <w:top w:val="nil"/>
                    <w:left w:val="nil"/>
                    <w:bottom w:val="nil"/>
                    <w:right w:val="nil"/>
                  </w:tcBorders>
                </w:tcPr>
                <w:p w:rsidR="00157A70" w:rsidRDefault="00316F15" w:rsidP="00E25B31">
                  <w:pPr>
                    <w:framePr w:wrap="around" w:vAnchor="text" w:hAnchor="margin"/>
                    <w:spacing w:after="0" w:line="259" w:lineRule="auto"/>
                    <w:ind w:left="85" w:right="0" w:firstLine="0"/>
                    <w:suppressOverlap/>
                    <w:jc w:val="left"/>
                  </w:pPr>
                  <w:r>
                    <w:rPr>
                      <w:sz w:val="16"/>
                    </w:rPr>
                    <w:t>.01</w:t>
                  </w:r>
                </w:p>
              </w:tc>
              <w:tc>
                <w:tcPr>
                  <w:tcW w:w="975" w:type="dxa"/>
                  <w:tcBorders>
                    <w:top w:val="nil"/>
                    <w:left w:val="nil"/>
                    <w:bottom w:val="nil"/>
                    <w:right w:val="nil"/>
                  </w:tcBorders>
                </w:tcPr>
                <w:p w:rsidR="00157A70" w:rsidRDefault="00316F15" w:rsidP="00E25B31">
                  <w:pPr>
                    <w:framePr w:wrap="around" w:vAnchor="text" w:hAnchor="margin"/>
                    <w:spacing w:after="0" w:line="259" w:lineRule="auto"/>
                    <w:ind w:left="246" w:right="0" w:firstLine="0"/>
                    <w:suppressOverlap/>
                    <w:jc w:val="left"/>
                  </w:pPr>
                  <w:r>
                    <w:rPr>
                      <w:sz w:val="16"/>
                    </w:rPr>
                    <w:t>.28</w:t>
                  </w:r>
                  <w:r>
                    <w:rPr>
                      <w:sz w:val="10"/>
                    </w:rPr>
                    <w:t>***</w:t>
                  </w:r>
                </w:p>
              </w:tc>
              <w:tc>
                <w:tcPr>
                  <w:tcW w:w="642" w:type="dxa"/>
                  <w:tcBorders>
                    <w:top w:val="nil"/>
                    <w:left w:val="nil"/>
                    <w:bottom w:val="nil"/>
                    <w:right w:val="nil"/>
                  </w:tcBorders>
                </w:tcPr>
                <w:p w:rsidR="00157A70" w:rsidRDefault="00316F15" w:rsidP="00E25B31">
                  <w:pPr>
                    <w:framePr w:wrap="around" w:vAnchor="text" w:hAnchor="margin"/>
                    <w:spacing w:after="0" w:line="259" w:lineRule="auto"/>
                    <w:ind w:left="169" w:right="0" w:firstLine="0"/>
                    <w:suppressOverlap/>
                    <w:jc w:val="left"/>
                  </w:pPr>
                  <w:r>
                    <w:rPr>
                      <w:sz w:val="16"/>
                    </w:rPr>
                    <w:t>.10</w:t>
                  </w:r>
                </w:p>
              </w:tc>
              <w:tc>
                <w:tcPr>
                  <w:tcW w:w="837" w:type="dxa"/>
                  <w:tcBorders>
                    <w:top w:val="nil"/>
                    <w:left w:val="nil"/>
                    <w:bottom w:val="nil"/>
                    <w:right w:val="nil"/>
                  </w:tcBorders>
                </w:tcPr>
                <w:p w:rsidR="00157A70" w:rsidRDefault="00316F15" w:rsidP="00E25B31">
                  <w:pPr>
                    <w:framePr w:wrap="around" w:vAnchor="text" w:hAnchor="margin"/>
                    <w:spacing w:after="0" w:line="259" w:lineRule="auto"/>
                    <w:ind w:left="43" w:right="0" w:firstLine="0"/>
                    <w:suppressOverlap/>
                    <w:jc w:val="left"/>
                  </w:pPr>
                  <w:r>
                    <w:rPr>
                      <w:sz w:val="16"/>
                    </w:rPr>
                    <w:t>.03</w:t>
                  </w:r>
                </w:p>
              </w:tc>
              <w:tc>
                <w:tcPr>
                  <w:tcW w:w="610" w:type="dxa"/>
                  <w:tcBorders>
                    <w:top w:val="nil"/>
                    <w:left w:val="nil"/>
                    <w:bottom w:val="nil"/>
                    <w:right w:val="nil"/>
                  </w:tcBorders>
                </w:tcPr>
                <w:p w:rsidR="00157A70" w:rsidRDefault="00316F15" w:rsidP="00E25B31">
                  <w:pPr>
                    <w:framePr w:wrap="around" w:vAnchor="text" w:hAnchor="margin"/>
                    <w:spacing w:after="0" w:line="259" w:lineRule="auto"/>
                    <w:ind w:right="43" w:firstLine="0"/>
                    <w:suppressOverlap/>
                    <w:jc w:val="right"/>
                  </w:pPr>
                  <w:r>
                    <w:rPr>
                      <w:sz w:val="16"/>
                    </w:rPr>
                    <w:t>.33</w:t>
                  </w:r>
                  <w:r>
                    <w:rPr>
                      <w:sz w:val="10"/>
                    </w:rPr>
                    <w:t>***</w:t>
                  </w:r>
                </w:p>
              </w:tc>
            </w:tr>
            <w:tr w:rsidR="00157A70">
              <w:trPr>
                <w:trHeight w:val="348"/>
              </w:trPr>
              <w:tc>
                <w:tcPr>
                  <w:tcW w:w="2375" w:type="dxa"/>
                  <w:tcBorders>
                    <w:top w:val="nil"/>
                    <w:left w:val="nil"/>
                    <w:bottom w:val="nil"/>
                    <w:right w:val="nil"/>
                  </w:tcBorders>
                </w:tcPr>
                <w:p w:rsidR="00157A70" w:rsidRDefault="00316F15" w:rsidP="00E25B31">
                  <w:pPr>
                    <w:framePr w:wrap="around" w:vAnchor="text" w:hAnchor="margin"/>
                    <w:spacing w:after="0" w:line="259" w:lineRule="auto"/>
                    <w:ind w:left="160" w:right="863" w:hanging="160"/>
                    <w:suppressOverlap/>
                    <w:jc w:val="left"/>
                  </w:pPr>
                  <w:r>
                    <w:rPr>
                      <w:sz w:val="16"/>
                    </w:rPr>
                    <w:t>Cognitive ability Raven ()</w:t>
                  </w:r>
                </w:p>
              </w:tc>
              <w:tc>
                <w:tcPr>
                  <w:tcW w:w="824" w:type="dxa"/>
                  <w:tcBorders>
                    <w:top w:val="nil"/>
                    <w:left w:val="nil"/>
                    <w:bottom w:val="nil"/>
                    <w:right w:val="nil"/>
                  </w:tcBorders>
                  <w:vAlign w:val="bottom"/>
                </w:tcPr>
                <w:p w:rsidR="00157A70" w:rsidRDefault="00316F15" w:rsidP="00E25B31">
                  <w:pPr>
                    <w:framePr w:wrap="around" w:vAnchor="text" w:hAnchor="margin"/>
                    <w:spacing w:after="0" w:line="259" w:lineRule="auto"/>
                    <w:ind w:left="163" w:right="0" w:firstLine="0"/>
                    <w:suppressOverlap/>
                    <w:jc w:val="left"/>
                  </w:pPr>
                  <w:r>
                    <w:rPr>
                      <w:sz w:val="16"/>
                    </w:rPr>
                    <w:t>.37</w:t>
                  </w:r>
                  <w:r>
                    <w:rPr>
                      <w:sz w:val="10"/>
                    </w:rPr>
                    <w:t>***</w:t>
                  </w:r>
                </w:p>
              </w:tc>
              <w:tc>
                <w:tcPr>
                  <w:tcW w:w="1122" w:type="dxa"/>
                  <w:tcBorders>
                    <w:top w:val="nil"/>
                    <w:left w:val="nil"/>
                    <w:bottom w:val="nil"/>
                    <w:right w:val="nil"/>
                  </w:tcBorders>
                  <w:vAlign w:val="bottom"/>
                </w:tcPr>
                <w:p w:rsidR="00157A70" w:rsidRDefault="00316F15" w:rsidP="00E25B31">
                  <w:pPr>
                    <w:framePr w:wrap="around" w:vAnchor="text" w:hAnchor="margin"/>
                    <w:spacing w:after="0" w:line="259" w:lineRule="auto"/>
                    <w:ind w:left="321" w:right="0" w:firstLine="0"/>
                    <w:suppressOverlap/>
                    <w:jc w:val="left"/>
                  </w:pPr>
                  <w:r>
                    <w:rPr>
                      <w:sz w:val="16"/>
                    </w:rPr>
                    <w:t>.29</w:t>
                  </w:r>
                  <w:r>
                    <w:rPr>
                      <w:sz w:val="10"/>
                    </w:rPr>
                    <w:t>***</w:t>
                  </w:r>
                </w:p>
              </w:tc>
              <w:tc>
                <w:tcPr>
                  <w:tcW w:w="842" w:type="dxa"/>
                  <w:tcBorders>
                    <w:top w:val="nil"/>
                    <w:left w:val="nil"/>
                    <w:bottom w:val="nil"/>
                    <w:right w:val="nil"/>
                  </w:tcBorders>
                  <w:vAlign w:val="bottom"/>
                </w:tcPr>
                <w:p w:rsidR="00157A70" w:rsidRDefault="00316F15" w:rsidP="00E25B31">
                  <w:pPr>
                    <w:framePr w:wrap="around" w:vAnchor="text" w:hAnchor="margin"/>
                    <w:spacing w:after="0" w:line="259" w:lineRule="auto"/>
                    <w:ind w:left="181" w:right="0" w:firstLine="0"/>
                    <w:suppressOverlap/>
                    <w:jc w:val="left"/>
                  </w:pPr>
                  <w:r>
                    <w:rPr>
                      <w:sz w:val="16"/>
                    </w:rPr>
                    <w:t>.29</w:t>
                  </w:r>
                  <w:r>
                    <w:rPr>
                      <w:sz w:val="10"/>
                    </w:rPr>
                    <w:t>***</w:t>
                  </w:r>
                </w:p>
              </w:tc>
              <w:tc>
                <w:tcPr>
                  <w:tcW w:w="811" w:type="dxa"/>
                  <w:tcBorders>
                    <w:top w:val="nil"/>
                    <w:left w:val="nil"/>
                    <w:bottom w:val="nil"/>
                    <w:right w:val="nil"/>
                  </w:tcBorders>
                  <w:vAlign w:val="bottom"/>
                </w:tcPr>
                <w:p w:rsidR="00157A70" w:rsidRDefault="00316F15" w:rsidP="00E25B31">
                  <w:pPr>
                    <w:framePr w:wrap="around" w:vAnchor="text" w:hAnchor="margin"/>
                    <w:spacing w:after="0" w:line="259" w:lineRule="auto"/>
                    <w:ind w:left="163" w:right="0" w:firstLine="0"/>
                    <w:suppressOverlap/>
                    <w:jc w:val="left"/>
                  </w:pPr>
                  <w:r>
                    <w:rPr>
                      <w:sz w:val="16"/>
                    </w:rPr>
                    <w:t>.65</w:t>
                  </w:r>
                  <w:r>
                    <w:rPr>
                      <w:sz w:val="10"/>
                    </w:rPr>
                    <w:t>***</w:t>
                  </w:r>
                </w:p>
              </w:tc>
              <w:tc>
                <w:tcPr>
                  <w:tcW w:w="922" w:type="dxa"/>
                  <w:tcBorders>
                    <w:top w:val="nil"/>
                    <w:left w:val="nil"/>
                    <w:bottom w:val="nil"/>
                    <w:right w:val="nil"/>
                  </w:tcBorders>
                  <w:vAlign w:val="bottom"/>
                </w:tcPr>
                <w:p w:rsidR="00157A70" w:rsidRDefault="00316F15" w:rsidP="00E25B31">
                  <w:pPr>
                    <w:framePr w:wrap="around" w:vAnchor="text" w:hAnchor="margin"/>
                    <w:spacing w:after="0" w:line="259" w:lineRule="auto"/>
                    <w:ind w:left="219" w:right="0" w:firstLine="0"/>
                    <w:suppressOverlap/>
                    <w:jc w:val="left"/>
                  </w:pPr>
                  <w:r>
                    <w:rPr>
                      <w:sz w:val="16"/>
                    </w:rPr>
                    <w:t>.40</w:t>
                  </w:r>
                  <w:r>
                    <w:rPr>
                      <w:sz w:val="10"/>
                    </w:rPr>
                    <w:t>***</w:t>
                  </w:r>
                </w:p>
              </w:tc>
              <w:tc>
                <w:tcPr>
                  <w:tcW w:w="975" w:type="dxa"/>
                  <w:tcBorders>
                    <w:top w:val="nil"/>
                    <w:left w:val="nil"/>
                    <w:bottom w:val="nil"/>
                    <w:right w:val="nil"/>
                  </w:tcBorders>
                  <w:vAlign w:val="bottom"/>
                </w:tcPr>
                <w:p w:rsidR="00157A70" w:rsidRDefault="00316F15" w:rsidP="00E25B31">
                  <w:pPr>
                    <w:framePr w:wrap="around" w:vAnchor="text" w:hAnchor="margin"/>
                    <w:spacing w:after="0" w:line="259" w:lineRule="auto"/>
                    <w:ind w:left="246" w:right="0" w:firstLine="0"/>
                    <w:suppressOverlap/>
                    <w:jc w:val="left"/>
                  </w:pPr>
                  <w:r>
                    <w:rPr>
                      <w:sz w:val="16"/>
                    </w:rPr>
                    <w:t>.17</w:t>
                  </w:r>
                  <w:r>
                    <w:rPr>
                      <w:sz w:val="10"/>
                    </w:rPr>
                    <w:t>***</w:t>
                  </w:r>
                </w:p>
              </w:tc>
              <w:tc>
                <w:tcPr>
                  <w:tcW w:w="642" w:type="dxa"/>
                  <w:tcBorders>
                    <w:top w:val="nil"/>
                    <w:left w:val="nil"/>
                    <w:bottom w:val="nil"/>
                    <w:right w:val="nil"/>
                  </w:tcBorders>
                  <w:vAlign w:val="bottom"/>
                </w:tcPr>
                <w:p w:rsidR="00157A70" w:rsidRDefault="00316F15" w:rsidP="00E25B31">
                  <w:pPr>
                    <w:framePr w:wrap="around" w:vAnchor="text" w:hAnchor="margin"/>
                    <w:spacing w:after="0" w:line="259" w:lineRule="auto"/>
                    <w:ind w:left="169" w:right="0" w:firstLine="0"/>
                    <w:suppressOverlap/>
                    <w:jc w:val="left"/>
                  </w:pPr>
                  <w:r>
                    <w:rPr>
                      <w:sz w:val="16"/>
                    </w:rPr>
                    <w:t>.10</w:t>
                  </w:r>
                </w:p>
              </w:tc>
              <w:tc>
                <w:tcPr>
                  <w:tcW w:w="837" w:type="dxa"/>
                  <w:tcBorders>
                    <w:top w:val="nil"/>
                    <w:left w:val="nil"/>
                    <w:bottom w:val="nil"/>
                    <w:right w:val="nil"/>
                  </w:tcBorders>
                  <w:vAlign w:val="bottom"/>
                </w:tcPr>
                <w:p w:rsidR="00157A70" w:rsidRDefault="00316F15" w:rsidP="00E25B31">
                  <w:pPr>
                    <w:framePr w:wrap="around" w:vAnchor="text" w:hAnchor="margin"/>
                    <w:spacing w:after="0" w:line="259" w:lineRule="auto"/>
                    <w:ind w:left="177" w:right="0" w:firstLine="0"/>
                    <w:suppressOverlap/>
                    <w:jc w:val="left"/>
                  </w:pPr>
                  <w:r>
                    <w:rPr>
                      <w:sz w:val="16"/>
                    </w:rPr>
                    <w:t>.61</w:t>
                  </w:r>
                  <w:r>
                    <w:rPr>
                      <w:sz w:val="10"/>
                    </w:rPr>
                    <w:t>***</w:t>
                  </w:r>
                </w:p>
              </w:tc>
              <w:tc>
                <w:tcPr>
                  <w:tcW w:w="610" w:type="dxa"/>
                  <w:tcBorders>
                    <w:top w:val="nil"/>
                    <w:left w:val="nil"/>
                    <w:bottom w:val="nil"/>
                    <w:right w:val="nil"/>
                  </w:tcBorders>
                  <w:vAlign w:val="bottom"/>
                </w:tcPr>
                <w:p w:rsidR="00157A70" w:rsidRDefault="00316F15" w:rsidP="00E25B31">
                  <w:pPr>
                    <w:framePr w:wrap="around" w:vAnchor="text" w:hAnchor="margin"/>
                    <w:spacing w:after="0" w:line="259" w:lineRule="auto"/>
                    <w:ind w:left="13" w:right="0" w:firstLine="0"/>
                    <w:suppressOverlap/>
                    <w:jc w:val="center"/>
                  </w:pPr>
                  <w:r>
                    <w:rPr>
                      <w:sz w:val="16"/>
                    </w:rPr>
                    <w:t>.13</w:t>
                  </w:r>
                  <w:r>
                    <w:rPr>
                      <w:sz w:val="16"/>
                      <w:vertAlign w:val="superscript"/>
                    </w:rPr>
                    <w:t>*</w:t>
                  </w:r>
                </w:p>
              </w:tc>
            </w:tr>
            <w:tr w:rsidR="00157A70">
              <w:trPr>
                <w:trHeight w:val="182"/>
              </w:trPr>
              <w:tc>
                <w:tcPr>
                  <w:tcW w:w="2375" w:type="dxa"/>
                  <w:tcBorders>
                    <w:top w:val="nil"/>
                    <w:left w:val="nil"/>
                    <w:bottom w:val="nil"/>
                    <w:right w:val="nil"/>
                  </w:tcBorders>
                </w:tcPr>
                <w:p w:rsidR="00157A70" w:rsidRDefault="00316F15" w:rsidP="00E25B31">
                  <w:pPr>
                    <w:framePr w:wrap="around" w:vAnchor="text" w:hAnchor="margin"/>
                    <w:spacing w:after="0" w:line="259" w:lineRule="auto"/>
                    <w:ind w:left="160" w:right="0" w:firstLine="0"/>
                    <w:suppressOverlap/>
                    <w:jc w:val="left"/>
                  </w:pPr>
                  <w:r>
                    <w:rPr>
                      <w:sz w:val="16"/>
                    </w:rPr>
                    <w:t>Nelson-Denny ()</w:t>
                  </w:r>
                </w:p>
              </w:tc>
              <w:tc>
                <w:tcPr>
                  <w:tcW w:w="824" w:type="dxa"/>
                  <w:tcBorders>
                    <w:top w:val="nil"/>
                    <w:left w:val="nil"/>
                    <w:bottom w:val="nil"/>
                    <w:right w:val="nil"/>
                  </w:tcBorders>
                </w:tcPr>
                <w:p w:rsidR="00157A70" w:rsidRDefault="00316F15" w:rsidP="00E25B31">
                  <w:pPr>
                    <w:framePr w:wrap="around" w:vAnchor="text" w:hAnchor="margin"/>
                    <w:spacing w:after="0" w:line="259" w:lineRule="auto"/>
                    <w:ind w:left="163" w:right="0" w:firstLine="0"/>
                    <w:suppressOverlap/>
                    <w:jc w:val="left"/>
                  </w:pPr>
                  <w:r>
                    <w:rPr>
                      <w:sz w:val="16"/>
                    </w:rPr>
                    <w:t>.30</w:t>
                  </w:r>
                  <w:r>
                    <w:rPr>
                      <w:sz w:val="10"/>
                    </w:rPr>
                    <w:t>***</w:t>
                  </w:r>
                </w:p>
              </w:tc>
              <w:tc>
                <w:tcPr>
                  <w:tcW w:w="1122" w:type="dxa"/>
                  <w:tcBorders>
                    <w:top w:val="nil"/>
                    <w:left w:val="nil"/>
                    <w:bottom w:val="nil"/>
                    <w:right w:val="nil"/>
                  </w:tcBorders>
                </w:tcPr>
                <w:p w:rsidR="00157A70" w:rsidRDefault="00316F15" w:rsidP="00E25B31">
                  <w:pPr>
                    <w:framePr w:wrap="around" w:vAnchor="text" w:hAnchor="margin"/>
                    <w:spacing w:after="0" w:line="259" w:lineRule="auto"/>
                    <w:ind w:left="321" w:right="0" w:firstLine="0"/>
                    <w:suppressOverlap/>
                    <w:jc w:val="left"/>
                  </w:pPr>
                  <w:r>
                    <w:rPr>
                      <w:sz w:val="16"/>
                    </w:rPr>
                    <w:t>.22</w:t>
                  </w:r>
                  <w:r>
                    <w:rPr>
                      <w:sz w:val="16"/>
                      <w:vertAlign w:val="superscript"/>
                    </w:rPr>
                    <w:t>**</w:t>
                  </w:r>
                </w:p>
              </w:tc>
              <w:tc>
                <w:tcPr>
                  <w:tcW w:w="842" w:type="dxa"/>
                  <w:tcBorders>
                    <w:top w:val="nil"/>
                    <w:left w:val="nil"/>
                    <w:bottom w:val="nil"/>
                    <w:right w:val="nil"/>
                  </w:tcBorders>
                </w:tcPr>
                <w:p w:rsidR="00157A70" w:rsidRDefault="00316F15" w:rsidP="00E25B31">
                  <w:pPr>
                    <w:framePr w:wrap="around" w:vAnchor="text" w:hAnchor="margin"/>
                    <w:spacing w:after="0" w:line="259" w:lineRule="auto"/>
                    <w:ind w:left="181" w:right="0" w:firstLine="0"/>
                    <w:suppressOverlap/>
                    <w:jc w:val="left"/>
                  </w:pPr>
                  <w:r>
                    <w:rPr>
                      <w:sz w:val="16"/>
                    </w:rPr>
                    <w:t>.27</w:t>
                  </w:r>
                  <w:r>
                    <w:rPr>
                      <w:sz w:val="10"/>
                    </w:rPr>
                    <w:t>***</w:t>
                  </w:r>
                </w:p>
              </w:tc>
              <w:tc>
                <w:tcPr>
                  <w:tcW w:w="811" w:type="dxa"/>
                  <w:tcBorders>
                    <w:top w:val="nil"/>
                    <w:left w:val="nil"/>
                    <w:bottom w:val="nil"/>
                    <w:right w:val="nil"/>
                  </w:tcBorders>
                </w:tcPr>
                <w:p w:rsidR="00157A70" w:rsidRDefault="00316F15" w:rsidP="00E25B31">
                  <w:pPr>
                    <w:framePr w:wrap="around" w:vAnchor="text" w:hAnchor="margin"/>
                    <w:spacing w:after="0" w:line="259" w:lineRule="auto"/>
                    <w:ind w:left="163" w:right="0" w:firstLine="0"/>
                    <w:suppressOverlap/>
                    <w:jc w:val="left"/>
                  </w:pPr>
                  <w:r>
                    <w:rPr>
                      <w:sz w:val="16"/>
                    </w:rPr>
                    <w:t>.51</w:t>
                  </w:r>
                  <w:r>
                    <w:rPr>
                      <w:sz w:val="10"/>
                    </w:rPr>
                    <w:t>***</w:t>
                  </w:r>
                </w:p>
              </w:tc>
              <w:tc>
                <w:tcPr>
                  <w:tcW w:w="922" w:type="dxa"/>
                  <w:tcBorders>
                    <w:top w:val="nil"/>
                    <w:left w:val="nil"/>
                    <w:bottom w:val="nil"/>
                    <w:right w:val="nil"/>
                  </w:tcBorders>
                </w:tcPr>
                <w:p w:rsidR="00157A70" w:rsidRDefault="00316F15" w:rsidP="00E25B31">
                  <w:pPr>
                    <w:framePr w:wrap="around" w:vAnchor="text" w:hAnchor="margin"/>
                    <w:spacing w:after="0" w:line="259" w:lineRule="auto"/>
                    <w:ind w:left="219" w:right="0" w:firstLine="0"/>
                    <w:suppressOverlap/>
                    <w:jc w:val="left"/>
                  </w:pPr>
                  <w:r>
                    <w:rPr>
                      <w:sz w:val="16"/>
                    </w:rPr>
                    <w:t>.33</w:t>
                  </w:r>
                  <w:r>
                    <w:rPr>
                      <w:sz w:val="10"/>
                    </w:rPr>
                    <w:t>***</w:t>
                  </w:r>
                </w:p>
              </w:tc>
              <w:tc>
                <w:tcPr>
                  <w:tcW w:w="975" w:type="dxa"/>
                  <w:tcBorders>
                    <w:top w:val="nil"/>
                    <w:left w:val="nil"/>
                    <w:bottom w:val="nil"/>
                    <w:right w:val="nil"/>
                  </w:tcBorders>
                </w:tcPr>
                <w:p w:rsidR="00157A70" w:rsidRDefault="00316F15" w:rsidP="00E25B31">
                  <w:pPr>
                    <w:framePr w:wrap="around" w:vAnchor="text" w:hAnchor="margin"/>
                    <w:spacing w:after="0" w:line="259" w:lineRule="auto"/>
                    <w:ind w:left="246" w:right="0" w:firstLine="0"/>
                    <w:suppressOverlap/>
                    <w:jc w:val="left"/>
                  </w:pPr>
                  <w:r>
                    <w:rPr>
                      <w:sz w:val="16"/>
                    </w:rPr>
                    <w:t>.04</w:t>
                  </w:r>
                </w:p>
              </w:tc>
              <w:tc>
                <w:tcPr>
                  <w:tcW w:w="642" w:type="dxa"/>
                  <w:tcBorders>
                    <w:top w:val="nil"/>
                    <w:left w:val="nil"/>
                    <w:bottom w:val="nil"/>
                    <w:right w:val="nil"/>
                  </w:tcBorders>
                </w:tcPr>
                <w:p w:rsidR="00157A70" w:rsidRDefault="00316F15" w:rsidP="00E25B31">
                  <w:pPr>
                    <w:framePr w:wrap="around" w:vAnchor="text" w:hAnchor="margin"/>
                    <w:spacing w:after="0" w:line="259" w:lineRule="auto"/>
                    <w:ind w:left="169" w:right="0" w:firstLine="0"/>
                    <w:suppressOverlap/>
                    <w:jc w:val="left"/>
                  </w:pPr>
                  <w:r>
                    <w:rPr>
                      <w:sz w:val="16"/>
                    </w:rPr>
                    <w:t>.02</w:t>
                  </w:r>
                </w:p>
              </w:tc>
              <w:tc>
                <w:tcPr>
                  <w:tcW w:w="837" w:type="dxa"/>
                  <w:tcBorders>
                    <w:top w:val="nil"/>
                    <w:left w:val="nil"/>
                    <w:bottom w:val="nil"/>
                    <w:right w:val="nil"/>
                  </w:tcBorders>
                </w:tcPr>
                <w:p w:rsidR="00157A70" w:rsidRDefault="00316F15" w:rsidP="00E25B31">
                  <w:pPr>
                    <w:framePr w:wrap="around" w:vAnchor="text" w:hAnchor="margin"/>
                    <w:spacing w:after="0" w:line="259" w:lineRule="auto"/>
                    <w:ind w:left="177" w:right="0" w:firstLine="0"/>
                    <w:suppressOverlap/>
                    <w:jc w:val="left"/>
                  </w:pPr>
                  <w:r>
                    <w:rPr>
                      <w:sz w:val="16"/>
                    </w:rPr>
                    <w:t>.50</w:t>
                  </w:r>
                  <w:r>
                    <w:rPr>
                      <w:sz w:val="10"/>
                    </w:rPr>
                    <w:t>***</w:t>
                  </w:r>
                </w:p>
              </w:tc>
              <w:tc>
                <w:tcPr>
                  <w:tcW w:w="610" w:type="dxa"/>
                  <w:tcBorders>
                    <w:top w:val="nil"/>
                    <w:left w:val="nil"/>
                    <w:bottom w:val="nil"/>
                    <w:right w:val="nil"/>
                  </w:tcBorders>
                </w:tcPr>
                <w:p w:rsidR="00157A70" w:rsidRDefault="00316F15" w:rsidP="00E25B31">
                  <w:pPr>
                    <w:framePr w:wrap="around" w:vAnchor="text" w:hAnchor="margin"/>
                    <w:spacing w:after="0" w:line="259" w:lineRule="auto"/>
                    <w:ind w:left="73" w:right="0" w:firstLine="0"/>
                    <w:suppressOverlap/>
                    <w:jc w:val="center"/>
                  </w:pPr>
                  <w:r>
                    <w:rPr>
                      <w:sz w:val="16"/>
                    </w:rPr>
                    <w:t>.15</w:t>
                  </w:r>
                  <w:r>
                    <w:rPr>
                      <w:sz w:val="16"/>
                      <w:vertAlign w:val="superscript"/>
                    </w:rPr>
                    <w:t>**</w:t>
                  </w:r>
                </w:p>
              </w:tc>
            </w:tr>
            <w:tr w:rsidR="00157A70">
              <w:trPr>
                <w:trHeight w:val="189"/>
              </w:trPr>
              <w:tc>
                <w:tcPr>
                  <w:tcW w:w="2375" w:type="dxa"/>
                  <w:tcBorders>
                    <w:top w:val="nil"/>
                    <w:left w:val="nil"/>
                    <w:bottom w:val="nil"/>
                    <w:right w:val="nil"/>
                  </w:tcBorders>
                </w:tcPr>
                <w:p w:rsidR="00157A70" w:rsidRDefault="00316F15" w:rsidP="00E25B31">
                  <w:pPr>
                    <w:framePr w:wrap="around" w:vAnchor="text" w:hAnchor="margin"/>
                    <w:spacing w:after="0" w:line="259" w:lineRule="auto"/>
                    <w:ind w:left="320" w:right="0" w:firstLine="0"/>
                    <w:suppressOverlap/>
                    <w:jc w:val="left"/>
                  </w:pPr>
                  <w:r>
                    <w:rPr>
                      <w:sz w:val="16"/>
                    </w:rPr>
                    <w:t>Overall</w:t>
                  </w:r>
                </w:p>
              </w:tc>
              <w:tc>
                <w:tcPr>
                  <w:tcW w:w="824"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proofErr w:type="gramStart"/>
                  <w:r>
                    <w:rPr>
                      <w:i/>
                      <w:sz w:val="16"/>
                    </w:rPr>
                    <w:t xml:space="preserve">p </w:t>
                  </w:r>
                  <w:r>
                    <w:rPr>
                      <w:rFonts w:ascii="Calibri" w:eastAsia="Calibri" w:hAnsi="Calibri" w:cs="Calibri"/>
                      <w:sz w:val="16"/>
                    </w:rPr>
                    <w:t xml:space="preserve"> </w:t>
                  </w:r>
                  <w:r>
                    <w:rPr>
                      <w:sz w:val="16"/>
                    </w:rPr>
                    <w:t>.</w:t>
                  </w:r>
                  <w:proofErr w:type="gramEnd"/>
                  <w:r>
                    <w:rPr>
                      <w:sz w:val="16"/>
                    </w:rPr>
                    <w:t>001</w:t>
                  </w:r>
                </w:p>
              </w:tc>
              <w:tc>
                <w:tcPr>
                  <w:tcW w:w="1122" w:type="dxa"/>
                  <w:tcBorders>
                    <w:top w:val="nil"/>
                    <w:left w:val="nil"/>
                    <w:bottom w:val="nil"/>
                    <w:right w:val="nil"/>
                  </w:tcBorders>
                </w:tcPr>
                <w:p w:rsidR="00157A70" w:rsidRDefault="00316F15" w:rsidP="00E25B31">
                  <w:pPr>
                    <w:framePr w:wrap="around" w:vAnchor="text" w:hAnchor="margin"/>
                    <w:spacing w:after="0" w:line="259" w:lineRule="auto"/>
                    <w:ind w:left="158" w:right="0" w:firstLine="0"/>
                    <w:suppressOverlap/>
                    <w:jc w:val="left"/>
                  </w:pPr>
                  <w:proofErr w:type="gramStart"/>
                  <w:r>
                    <w:rPr>
                      <w:i/>
                      <w:sz w:val="16"/>
                    </w:rPr>
                    <w:t xml:space="preserve">p </w:t>
                  </w:r>
                  <w:r>
                    <w:rPr>
                      <w:rFonts w:ascii="Calibri" w:eastAsia="Calibri" w:hAnsi="Calibri" w:cs="Calibri"/>
                      <w:sz w:val="16"/>
                    </w:rPr>
                    <w:t xml:space="preserve"> </w:t>
                  </w:r>
                  <w:r>
                    <w:rPr>
                      <w:sz w:val="16"/>
                    </w:rPr>
                    <w:t>.</w:t>
                  </w:r>
                  <w:proofErr w:type="gramEnd"/>
                  <w:r>
                    <w:rPr>
                      <w:sz w:val="16"/>
                    </w:rPr>
                    <w:t>001</w:t>
                  </w:r>
                </w:p>
              </w:tc>
              <w:tc>
                <w:tcPr>
                  <w:tcW w:w="842" w:type="dxa"/>
                  <w:tcBorders>
                    <w:top w:val="nil"/>
                    <w:left w:val="nil"/>
                    <w:bottom w:val="nil"/>
                    <w:right w:val="nil"/>
                  </w:tcBorders>
                </w:tcPr>
                <w:p w:rsidR="00157A70" w:rsidRDefault="00316F15" w:rsidP="00E25B31">
                  <w:pPr>
                    <w:framePr w:wrap="around" w:vAnchor="text" w:hAnchor="margin"/>
                    <w:spacing w:after="0" w:line="259" w:lineRule="auto"/>
                    <w:ind w:left="18" w:right="0" w:firstLine="0"/>
                    <w:suppressOverlap/>
                    <w:jc w:val="left"/>
                  </w:pPr>
                  <w:proofErr w:type="gramStart"/>
                  <w:r>
                    <w:rPr>
                      <w:i/>
                      <w:sz w:val="16"/>
                    </w:rPr>
                    <w:t xml:space="preserve">p </w:t>
                  </w:r>
                  <w:r>
                    <w:rPr>
                      <w:rFonts w:ascii="Calibri" w:eastAsia="Calibri" w:hAnsi="Calibri" w:cs="Calibri"/>
                      <w:sz w:val="16"/>
                    </w:rPr>
                    <w:t xml:space="preserve"> </w:t>
                  </w:r>
                  <w:r>
                    <w:rPr>
                      <w:sz w:val="16"/>
                    </w:rPr>
                    <w:t>.</w:t>
                  </w:r>
                  <w:proofErr w:type="gramEnd"/>
                  <w:r>
                    <w:rPr>
                      <w:sz w:val="16"/>
                    </w:rPr>
                    <w:t>001</w:t>
                  </w:r>
                </w:p>
              </w:tc>
              <w:tc>
                <w:tcPr>
                  <w:tcW w:w="811"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proofErr w:type="gramStart"/>
                  <w:r>
                    <w:rPr>
                      <w:i/>
                      <w:sz w:val="16"/>
                    </w:rPr>
                    <w:t xml:space="preserve">p </w:t>
                  </w:r>
                  <w:r>
                    <w:rPr>
                      <w:rFonts w:ascii="Calibri" w:eastAsia="Calibri" w:hAnsi="Calibri" w:cs="Calibri"/>
                      <w:sz w:val="16"/>
                    </w:rPr>
                    <w:t xml:space="preserve"> </w:t>
                  </w:r>
                  <w:r>
                    <w:rPr>
                      <w:sz w:val="16"/>
                    </w:rPr>
                    <w:t>.</w:t>
                  </w:r>
                  <w:proofErr w:type="gramEnd"/>
                  <w:r>
                    <w:rPr>
                      <w:sz w:val="16"/>
                    </w:rPr>
                    <w:t>001</w:t>
                  </w:r>
                </w:p>
              </w:tc>
              <w:tc>
                <w:tcPr>
                  <w:tcW w:w="922" w:type="dxa"/>
                  <w:tcBorders>
                    <w:top w:val="nil"/>
                    <w:left w:val="nil"/>
                    <w:bottom w:val="nil"/>
                    <w:right w:val="nil"/>
                  </w:tcBorders>
                </w:tcPr>
                <w:p w:rsidR="00157A70" w:rsidRDefault="00316F15" w:rsidP="00E25B31">
                  <w:pPr>
                    <w:framePr w:wrap="around" w:vAnchor="text" w:hAnchor="margin"/>
                    <w:spacing w:after="0" w:line="259" w:lineRule="auto"/>
                    <w:ind w:left="55" w:right="0" w:firstLine="0"/>
                    <w:suppressOverlap/>
                    <w:jc w:val="left"/>
                  </w:pPr>
                  <w:proofErr w:type="gramStart"/>
                  <w:r>
                    <w:rPr>
                      <w:i/>
                      <w:sz w:val="16"/>
                    </w:rPr>
                    <w:t xml:space="preserve">p </w:t>
                  </w:r>
                  <w:r>
                    <w:rPr>
                      <w:rFonts w:ascii="Calibri" w:eastAsia="Calibri" w:hAnsi="Calibri" w:cs="Calibri"/>
                      <w:sz w:val="16"/>
                    </w:rPr>
                    <w:t xml:space="preserve"> </w:t>
                  </w:r>
                  <w:r>
                    <w:rPr>
                      <w:sz w:val="16"/>
                    </w:rPr>
                    <w:t>.</w:t>
                  </w:r>
                  <w:proofErr w:type="gramEnd"/>
                  <w:r>
                    <w:rPr>
                      <w:sz w:val="16"/>
                    </w:rPr>
                    <w:t>001</w:t>
                  </w:r>
                </w:p>
              </w:tc>
              <w:tc>
                <w:tcPr>
                  <w:tcW w:w="975" w:type="dxa"/>
                  <w:tcBorders>
                    <w:top w:val="nil"/>
                    <w:left w:val="nil"/>
                    <w:bottom w:val="nil"/>
                    <w:right w:val="nil"/>
                  </w:tcBorders>
                </w:tcPr>
                <w:p w:rsidR="00157A70" w:rsidRDefault="00316F15" w:rsidP="00E25B31">
                  <w:pPr>
                    <w:framePr w:wrap="around" w:vAnchor="text" w:hAnchor="margin"/>
                    <w:spacing w:after="0" w:line="259" w:lineRule="auto"/>
                    <w:ind w:left="122" w:right="0" w:firstLine="0"/>
                    <w:suppressOverlap/>
                    <w:jc w:val="left"/>
                  </w:pPr>
                  <w:proofErr w:type="gramStart"/>
                  <w:r>
                    <w:rPr>
                      <w:i/>
                      <w:sz w:val="16"/>
                    </w:rPr>
                    <w:t xml:space="preserve">p </w:t>
                  </w:r>
                  <w:r>
                    <w:rPr>
                      <w:rFonts w:ascii="Calibri" w:eastAsia="Calibri" w:hAnsi="Calibri" w:cs="Calibri"/>
                      <w:sz w:val="16"/>
                    </w:rPr>
                    <w:t xml:space="preserve"> </w:t>
                  </w:r>
                  <w:r>
                    <w:rPr>
                      <w:sz w:val="16"/>
                    </w:rPr>
                    <w:t>.</w:t>
                  </w:r>
                  <w:proofErr w:type="gramEnd"/>
                  <w:r>
                    <w:rPr>
                      <w:sz w:val="16"/>
                    </w:rPr>
                    <w:t>05</w:t>
                  </w:r>
                </w:p>
              </w:tc>
              <w:tc>
                <w:tcPr>
                  <w:tcW w:w="642" w:type="dxa"/>
                  <w:tcBorders>
                    <w:top w:val="nil"/>
                    <w:left w:val="nil"/>
                    <w:bottom w:val="nil"/>
                    <w:right w:val="nil"/>
                  </w:tcBorders>
                </w:tcPr>
                <w:p w:rsidR="00157A70" w:rsidRDefault="00316F15" w:rsidP="00E25B31">
                  <w:pPr>
                    <w:framePr w:wrap="around" w:vAnchor="text" w:hAnchor="margin"/>
                    <w:spacing w:after="0" w:line="259" w:lineRule="auto"/>
                    <w:ind w:left="131" w:right="0" w:firstLine="0"/>
                    <w:suppressOverlap/>
                    <w:jc w:val="left"/>
                  </w:pPr>
                  <w:r>
                    <w:rPr>
                      <w:i/>
                      <w:sz w:val="16"/>
                    </w:rPr>
                    <w:t>ns</w:t>
                  </w:r>
                </w:p>
              </w:tc>
              <w:tc>
                <w:tcPr>
                  <w:tcW w:w="837" w:type="dxa"/>
                  <w:tcBorders>
                    <w:top w:val="nil"/>
                    <w:left w:val="nil"/>
                    <w:bottom w:val="nil"/>
                    <w:right w:val="nil"/>
                  </w:tcBorders>
                </w:tcPr>
                <w:p w:rsidR="00157A70" w:rsidRDefault="00316F15" w:rsidP="00E25B31">
                  <w:pPr>
                    <w:framePr w:wrap="around" w:vAnchor="text" w:hAnchor="margin"/>
                    <w:spacing w:after="0" w:line="259" w:lineRule="auto"/>
                    <w:ind w:left="13" w:right="0" w:firstLine="0"/>
                    <w:suppressOverlap/>
                    <w:jc w:val="left"/>
                  </w:pPr>
                  <w:proofErr w:type="gramStart"/>
                  <w:r>
                    <w:rPr>
                      <w:i/>
                      <w:sz w:val="16"/>
                    </w:rPr>
                    <w:t xml:space="preserve">p </w:t>
                  </w:r>
                  <w:r>
                    <w:rPr>
                      <w:rFonts w:ascii="Calibri" w:eastAsia="Calibri" w:hAnsi="Calibri" w:cs="Calibri"/>
                      <w:sz w:val="16"/>
                    </w:rPr>
                    <w:t xml:space="preserve"> </w:t>
                  </w:r>
                  <w:r>
                    <w:rPr>
                      <w:sz w:val="16"/>
                    </w:rPr>
                    <w:t>.</w:t>
                  </w:r>
                  <w:proofErr w:type="gramEnd"/>
                  <w:r>
                    <w:rPr>
                      <w:sz w:val="16"/>
                    </w:rPr>
                    <w:t>001</w:t>
                  </w:r>
                </w:p>
              </w:tc>
              <w:tc>
                <w:tcPr>
                  <w:tcW w:w="610" w:type="dxa"/>
                  <w:tcBorders>
                    <w:top w:val="nil"/>
                    <w:left w:val="nil"/>
                    <w:bottom w:val="nil"/>
                    <w:right w:val="nil"/>
                  </w:tcBorders>
                </w:tcPr>
                <w:p w:rsidR="00157A70" w:rsidRDefault="00316F15" w:rsidP="00E25B31">
                  <w:pPr>
                    <w:framePr w:wrap="around" w:vAnchor="text" w:hAnchor="margin"/>
                    <w:spacing w:after="0" w:line="259" w:lineRule="auto"/>
                    <w:ind w:left="53" w:right="0" w:firstLine="0"/>
                    <w:suppressOverlap/>
                  </w:pPr>
                  <w:proofErr w:type="gramStart"/>
                  <w:r>
                    <w:rPr>
                      <w:i/>
                      <w:sz w:val="16"/>
                    </w:rPr>
                    <w:t xml:space="preserve">p </w:t>
                  </w:r>
                  <w:r>
                    <w:rPr>
                      <w:rFonts w:ascii="Calibri" w:eastAsia="Calibri" w:hAnsi="Calibri" w:cs="Calibri"/>
                      <w:sz w:val="16"/>
                    </w:rPr>
                    <w:t xml:space="preserve"> </w:t>
                  </w:r>
                  <w:r>
                    <w:rPr>
                      <w:sz w:val="16"/>
                    </w:rPr>
                    <w:t>.</w:t>
                  </w:r>
                  <w:proofErr w:type="gramEnd"/>
                  <w:r>
                    <w:rPr>
                      <w:sz w:val="16"/>
                    </w:rPr>
                    <w:t>01</w:t>
                  </w:r>
                </w:p>
              </w:tc>
            </w:tr>
            <w:tr w:rsidR="00157A70">
              <w:trPr>
                <w:trHeight w:val="348"/>
              </w:trPr>
              <w:tc>
                <w:tcPr>
                  <w:tcW w:w="2375" w:type="dxa"/>
                  <w:tcBorders>
                    <w:top w:val="nil"/>
                    <w:left w:val="nil"/>
                    <w:bottom w:val="nil"/>
                    <w:right w:val="nil"/>
                  </w:tcBorders>
                </w:tcPr>
                <w:p w:rsidR="00157A70" w:rsidRDefault="00316F15" w:rsidP="00E25B31">
                  <w:pPr>
                    <w:framePr w:wrap="around" w:vAnchor="text" w:hAnchor="margin"/>
                    <w:spacing w:after="0" w:line="259" w:lineRule="auto"/>
                    <w:ind w:left="160" w:right="668" w:hanging="160"/>
                    <w:suppressOverlap/>
                    <w:jc w:val="left"/>
                  </w:pPr>
                  <w:r>
                    <w:rPr>
                      <w:sz w:val="16"/>
                    </w:rPr>
                    <w:t xml:space="preserve">Decision-making styles </w:t>
                  </w:r>
                  <w:proofErr w:type="gramStart"/>
                  <w:r>
                    <w:rPr>
                      <w:sz w:val="16"/>
                    </w:rPr>
                    <w:t>To</w:t>
                  </w:r>
                  <w:proofErr w:type="gramEnd"/>
                  <w:r>
                    <w:rPr>
                      <w:sz w:val="16"/>
                    </w:rPr>
                    <w:t xml:space="preserve"> feel regret ()</w:t>
                  </w:r>
                </w:p>
              </w:tc>
              <w:tc>
                <w:tcPr>
                  <w:tcW w:w="824" w:type="dxa"/>
                  <w:tcBorders>
                    <w:top w:val="nil"/>
                    <w:left w:val="nil"/>
                    <w:bottom w:val="nil"/>
                    <w:right w:val="nil"/>
                  </w:tcBorders>
                  <w:vAlign w:val="bottom"/>
                </w:tcPr>
                <w:p w:rsidR="00157A70" w:rsidRDefault="00316F15" w:rsidP="00E25B31">
                  <w:pPr>
                    <w:framePr w:wrap="around" w:vAnchor="text" w:hAnchor="margin"/>
                    <w:spacing w:after="0" w:line="259" w:lineRule="auto"/>
                    <w:ind w:left="30" w:right="0" w:firstLine="0"/>
                    <w:suppressOverlap/>
                    <w:jc w:val="left"/>
                  </w:pPr>
                  <w:r>
                    <w:rPr>
                      <w:sz w:val="16"/>
                    </w:rPr>
                    <w:t>.09</w:t>
                  </w:r>
                </w:p>
              </w:tc>
              <w:tc>
                <w:tcPr>
                  <w:tcW w:w="1122" w:type="dxa"/>
                  <w:tcBorders>
                    <w:top w:val="nil"/>
                    <w:left w:val="nil"/>
                    <w:bottom w:val="nil"/>
                    <w:right w:val="nil"/>
                  </w:tcBorders>
                  <w:vAlign w:val="bottom"/>
                </w:tcPr>
                <w:p w:rsidR="00157A70" w:rsidRDefault="00316F15" w:rsidP="00E25B31">
                  <w:pPr>
                    <w:framePr w:wrap="around" w:vAnchor="text" w:hAnchor="margin"/>
                    <w:spacing w:after="0" w:line="259" w:lineRule="auto"/>
                    <w:ind w:left="321" w:right="0" w:firstLine="0"/>
                    <w:suppressOverlap/>
                    <w:jc w:val="left"/>
                  </w:pPr>
                  <w:r>
                    <w:rPr>
                      <w:sz w:val="16"/>
                    </w:rPr>
                    <w:t>.04</w:t>
                  </w:r>
                </w:p>
              </w:tc>
              <w:tc>
                <w:tcPr>
                  <w:tcW w:w="842" w:type="dxa"/>
                  <w:tcBorders>
                    <w:top w:val="nil"/>
                    <w:left w:val="nil"/>
                    <w:bottom w:val="nil"/>
                    <w:right w:val="nil"/>
                  </w:tcBorders>
                  <w:vAlign w:val="bottom"/>
                </w:tcPr>
                <w:p w:rsidR="00157A70" w:rsidRDefault="00316F15" w:rsidP="00E25B31">
                  <w:pPr>
                    <w:framePr w:wrap="around" w:vAnchor="text" w:hAnchor="margin"/>
                    <w:spacing w:after="0" w:line="259" w:lineRule="auto"/>
                    <w:ind w:left="48" w:right="0" w:firstLine="0"/>
                    <w:suppressOverlap/>
                    <w:jc w:val="left"/>
                  </w:pPr>
                  <w:r>
                    <w:rPr>
                      <w:sz w:val="16"/>
                    </w:rPr>
                    <w:t>.09</w:t>
                  </w:r>
                </w:p>
              </w:tc>
              <w:tc>
                <w:tcPr>
                  <w:tcW w:w="811" w:type="dxa"/>
                  <w:tcBorders>
                    <w:top w:val="nil"/>
                    <w:left w:val="nil"/>
                    <w:bottom w:val="nil"/>
                    <w:right w:val="nil"/>
                  </w:tcBorders>
                  <w:vAlign w:val="bottom"/>
                </w:tcPr>
                <w:p w:rsidR="00157A70" w:rsidRDefault="00316F15" w:rsidP="00E25B31">
                  <w:pPr>
                    <w:framePr w:wrap="around" w:vAnchor="text" w:hAnchor="margin"/>
                    <w:spacing w:after="0" w:line="259" w:lineRule="auto"/>
                    <w:ind w:left="30" w:right="0" w:firstLine="0"/>
                    <w:suppressOverlap/>
                    <w:jc w:val="left"/>
                  </w:pPr>
                  <w:r>
                    <w:rPr>
                      <w:sz w:val="16"/>
                    </w:rPr>
                    <w:t>.06</w:t>
                  </w:r>
                </w:p>
              </w:tc>
              <w:tc>
                <w:tcPr>
                  <w:tcW w:w="922" w:type="dxa"/>
                  <w:tcBorders>
                    <w:top w:val="nil"/>
                    <w:left w:val="nil"/>
                    <w:bottom w:val="nil"/>
                    <w:right w:val="nil"/>
                  </w:tcBorders>
                  <w:vAlign w:val="bottom"/>
                </w:tcPr>
                <w:p w:rsidR="00157A70" w:rsidRDefault="00316F15" w:rsidP="00E25B31">
                  <w:pPr>
                    <w:framePr w:wrap="around" w:vAnchor="text" w:hAnchor="margin"/>
                    <w:spacing w:after="0" w:line="259" w:lineRule="auto"/>
                    <w:ind w:left="85" w:right="0" w:firstLine="0"/>
                    <w:suppressOverlap/>
                    <w:jc w:val="left"/>
                  </w:pPr>
                  <w:r>
                    <w:rPr>
                      <w:sz w:val="16"/>
                    </w:rPr>
                    <w:t>.08</w:t>
                  </w:r>
                </w:p>
              </w:tc>
              <w:tc>
                <w:tcPr>
                  <w:tcW w:w="975" w:type="dxa"/>
                  <w:tcBorders>
                    <w:top w:val="nil"/>
                    <w:left w:val="nil"/>
                    <w:bottom w:val="nil"/>
                    <w:right w:val="nil"/>
                  </w:tcBorders>
                  <w:vAlign w:val="bottom"/>
                </w:tcPr>
                <w:p w:rsidR="00157A70" w:rsidRDefault="00316F15" w:rsidP="00E25B31">
                  <w:pPr>
                    <w:framePr w:wrap="around" w:vAnchor="text" w:hAnchor="margin"/>
                    <w:spacing w:after="0" w:line="259" w:lineRule="auto"/>
                    <w:ind w:left="112" w:right="0" w:firstLine="0"/>
                    <w:suppressOverlap/>
                    <w:jc w:val="left"/>
                  </w:pPr>
                  <w:r>
                    <w:rPr>
                      <w:sz w:val="16"/>
                    </w:rPr>
                    <w:t>.14</w:t>
                  </w:r>
                  <w:r>
                    <w:rPr>
                      <w:sz w:val="16"/>
                      <w:vertAlign w:val="superscript"/>
                    </w:rPr>
                    <w:t>*</w:t>
                  </w:r>
                </w:p>
              </w:tc>
              <w:tc>
                <w:tcPr>
                  <w:tcW w:w="642" w:type="dxa"/>
                  <w:tcBorders>
                    <w:top w:val="nil"/>
                    <w:left w:val="nil"/>
                    <w:bottom w:val="nil"/>
                    <w:right w:val="nil"/>
                  </w:tcBorders>
                  <w:vAlign w:val="bottom"/>
                </w:tcPr>
                <w:p w:rsidR="00157A70" w:rsidRDefault="00316F15" w:rsidP="00E25B31">
                  <w:pPr>
                    <w:framePr w:wrap="around" w:vAnchor="text" w:hAnchor="margin"/>
                    <w:spacing w:after="0" w:line="259" w:lineRule="auto"/>
                    <w:ind w:left="169" w:right="0" w:firstLine="0"/>
                    <w:suppressOverlap/>
                    <w:jc w:val="left"/>
                  </w:pPr>
                  <w:r>
                    <w:rPr>
                      <w:sz w:val="16"/>
                    </w:rPr>
                    <w:t>.01</w:t>
                  </w:r>
                </w:p>
              </w:tc>
              <w:tc>
                <w:tcPr>
                  <w:tcW w:w="837" w:type="dxa"/>
                  <w:tcBorders>
                    <w:top w:val="nil"/>
                    <w:left w:val="nil"/>
                    <w:bottom w:val="nil"/>
                    <w:right w:val="nil"/>
                  </w:tcBorders>
                  <w:vAlign w:val="bottom"/>
                </w:tcPr>
                <w:p w:rsidR="00157A70" w:rsidRDefault="00316F15" w:rsidP="00E25B31">
                  <w:pPr>
                    <w:framePr w:wrap="around" w:vAnchor="text" w:hAnchor="margin"/>
                    <w:spacing w:after="0" w:line="259" w:lineRule="auto"/>
                    <w:ind w:left="43" w:right="0" w:firstLine="0"/>
                    <w:suppressOverlap/>
                    <w:jc w:val="left"/>
                  </w:pPr>
                  <w:r>
                    <w:rPr>
                      <w:sz w:val="16"/>
                    </w:rPr>
                    <w:t>.14</w:t>
                  </w:r>
                  <w:r>
                    <w:rPr>
                      <w:sz w:val="16"/>
                      <w:vertAlign w:val="superscript"/>
                    </w:rPr>
                    <w:t>*</w:t>
                  </w:r>
                </w:p>
              </w:tc>
              <w:tc>
                <w:tcPr>
                  <w:tcW w:w="610" w:type="dxa"/>
                  <w:tcBorders>
                    <w:top w:val="nil"/>
                    <w:left w:val="nil"/>
                    <w:bottom w:val="nil"/>
                    <w:right w:val="nil"/>
                  </w:tcBorders>
                  <w:vAlign w:val="bottom"/>
                </w:tcPr>
                <w:p w:rsidR="00157A70" w:rsidRDefault="00316F15" w:rsidP="00E25B31">
                  <w:pPr>
                    <w:framePr w:wrap="around" w:vAnchor="text" w:hAnchor="margin"/>
                    <w:spacing w:after="0" w:line="259" w:lineRule="auto"/>
                    <w:ind w:left="43" w:right="0" w:firstLine="0"/>
                    <w:suppressOverlap/>
                    <w:jc w:val="left"/>
                  </w:pPr>
                  <w:r>
                    <w:rPr>
                      <w:sz w:val="16"/>
                    </w:rPr>
                    <w:t>.13</w:t>
                  </w:r>
                  <w:r>
                    <w:rPr>
                      <w:sz w:val="16"/>
                      <w:vertAlign w:val="superscript"/>
                    </w:rPr>
                    <w:t>*</w:t>
                  </w:r>
                </w:p>
              </w:tc>
            </w:tr>
            <w:tr w:rsidR="00157A70">
              <w:trPr>
                <w:trHeight w:val="180"/>
              </w:trPr>
              <w:tc>
                <w:tcPr>
                  <w:tcW w:w="2375" w:type="dxa"/>
                  <w:tcBorders>
                    <w:top w:val="nil"/>
                    <w:left w:val="nil"/>
                    <w:bottom w:val="nil"/>
                    <w:right w:val="nil"/>
                  </w:tcBorders>
                </w:tcPr>
                <w:p w:rsidR="00157A70" w:rsidRDefault="00316F15" w:rsidP="00E25B31">
                  <w:pPr>
                    <w:framePr w:wrap="around" w:vAnchor="text" w:hAnchor="margin"/>
                    <w:spacing w:after="0" w:line="259" w:lineRule="auto"/>
                    <w:ind w:left="160" w:right="0" w:firstLine="0"/>
                    <w:suppressOverlap/>
                    <w:jc w:val="left"/>
                  </w:pPr>
                  <w:r>
                    <w:rPr>
                      <w:sz w:val="16"/>
                    </w:rPr>
                    <w:t>To needlessly maximize ()</w:t>
                  </w:r>
                </w:p>
              </w:tc>
              <w:tc>
                <w:tcPr>
                  <w:tcW w:w="824" w:type="dxa"/>
                  <w:tcBorders>
                    <w:top w:val="nil"/>
                    <w:left w:val="nil"/>
                    <w:bottom w:val="nil"/>
                    <w:right w:val="nil"/>
                  </w:tcBorders>
                </w:tcPr>
                <w:p w:rsidR="00157A70" w:rsidRDefault="00316F15" w:rsidP="00E25B31">
                  <w:pPr>
                    <w:framePr w:wrap="around" w:vAnchor="text" w:hAnchor="margin"/>
                    <w:spacing w:after="0" w:line="259" w:lineRule="auto"/>
                    <w:ind w:left="30" w:right="0" w:firstLine="0"/>
                    <w:suppressOverlap/>
                    <w:jc w:val="left"/>
                  </w:pPr>
                  <w:r>
                    <w:rPr>
                      <w:sz w:val="16"/>
                    </w:rPr>
                    <w:t>.10</w:t>
                  </w:r>
                </w:p>
              </w:tc>
              <w:tc>
                <w:tcPr>
                  <w:tcW w:w="1122" w:type="dxa"/>
                  <w:tcBorders>
                    <w:top w:val="nil"/>
                    <w:left w:val="nil"/>
                    <w:bottom w:val="nil"/>
                    <w:right w:val="nil"/>
                  </w:tcBorders>
                </w:tcPr>
                <w:p w:rsidR="00157A70" w:rsidRDefault="00316F15" w:rsidP="00E25B31">
                  <w:pPr>
                    <w:framePr w:wrap="around" w:vAnchor="text" w:hAnchor="margin"/>
                    <w:spacing w:after="0" w:line="259" w:lineRule="auto"/>
                    <w:ind w:left="188" w:right="0" w:firstLine="0"/>
                    <w:suppressOverlap/>
                    <w:jc w:val="left"/>
                  </w:pPr>
                  <w:r>
                    <w:rPr>
                      <w:sz w:val="16"/>
                    </w:rPr>
                    <w:t>.03</w:t>
                  </w:r>
                </w:p>
              </w:tc>
              <w:tc>
                <w:tcPr>
                  <w:tcW w:w="842" w:type="dxa"/>
                  <w:tcBorders>
                    <w:top w:val="nil"/>
                    <w:left w:val="nil"/>
                    <w:bottom w:val="nil"/>
                    <w:right w:val="nil"/>
                  </w:tcBorders>
                </w:tcPr>
                <w:p w:rsidR="00157A70" w:rsidRDefault="00316F15" w:rsidP="00E25B31">
                  <w:pPr>
                    <w:framePr w:wrap="around" w:vAnchor="text" w:hAnchor="margin"/>
                    <w:spacing w:after="0" w:line="259" w:lineRule="auto"/>
                    <w:ind w:left="48" w:right="0" w:firstLine="0"/>
                    <w:suppressOverlap/>
                    <w:jc w:val="left"/>
                  </w:pPr>
                  <w:r>
                    <w:rPr>
                      <w:sz w:val="16"/>
                    </w:rPr>
                    <w:t>.21</w:t>
                  </w:r>
                  <w:r>
                    <w:rPr>
                      <w:sz w:val="10"/>
                    </w:rPr>
                    <w:t>***</w:t>
                  </w:r>
                </w:p>
              </w:tc>
              <w:tc>
                <w:tcPr>
                  <w:tcW w:w="811" w:type="dxa"/>
                  <w:tcBorders>
                    <w:top w:val="nil"/>
                    <w:left w:val="nil"/>
                    <w:bottom w:val="nil"/>
                    <w:right w:val="nil"/>
                  </w:tcBorders>
                </w:tcPr>
                <w:p w:rsidR="00157A70" w:rsidRDefault="00316F15" w:rsidP="00E25B31">
                  <w:pPr>
                    <w:framePr w:wrap="around" w:vAnchor="text" w:hAnchor="margin"/>
                    <w:spacing w:after="0" w:line="259" w:lineRule="auto"/>
                    <w:ind w:left="30" w:right="0" w:firstLine="0"/>
                    <w:suppressOverlap/>
                    <w:jc w:val="left"/>
                  </w:pPr>
                  <w:r>
                    <w:rPr>
                      <w:sz w:val="16"/>
                    </w:rPr>
                    <w:t>.09</w:t>
                  </w:r>
                </w:p>
              </w:tc>
              <w:tc>
                <w:tcPr>
                  <w:tcW w:w="922" w:type="dxa"/>
                  <w:tcBorders>
                    <w:top w:val="nil"/>
                    <w:left w:val="nil"/>
                    <w:bottom w:val="nil"/>
                    <w:right w:val="nil"/>
                  </w:tcBorders>
                </w:tcPr>
                <w:p w:rsidR="00157A70" w:rsidRDefault="00316F15" w:rsidP="00E25B31">
                  <w:pPr>
                    <w:framePr w:wrap="around" w:vAnchor="text" w:hAnchor="margin"/>
                    <w:spacing w:after="0" w:line="259" w:lineRule="auto"/>
                    <w:ind w:left="85" w:right="0" w:firstLine="0"/>
                    <w:suppressOverlap/>
                    <w:jc w:val="left"/>
                  </w:pPr>
                  <w:r>
                    <w:rPr>
                      <w:sz w:val="16"/>
                    </w:rPr>
                    <w:t>.13</w:t>
                  </w:r>
                  <w:r>
                    <w:rPr>
                      <w:sz w:val="16"/>
                      <w:vertAlign w:val="superscript"/>
                    </w:rPr>
                    <w:t>*</w:t>
                  </w:r>
                </w:p>
              </w:tc>
              <w:tc>
                <w:tcPr>
                  <w:tcW w:w="975" w:type="dxa"/>
                  <w:tcBorders>
                    <w:top w:val="nil"/>
                    <w:left w:val="nil"/>
                    <w:bottom w:val="nil"/>
                    <w:right w:val="nil"/>
                  </w:tcBorders>
                </w:tcPr>
                <w:p w:rsidR="00157A70" w:rsidRDefault="00316F15" w:rsidP="00E25B31">
                  <w:pPr>
                    <w:framePr w:wrap="around" w:vAnchor="text" w:hAnchor="margin"/>
                    <w:spacing w:after="0" w:line="259" w:lineRule="auto"/>
                    <w:ind w:left="112" w:right="0" w:firstLine="0"/>
                    <w:suppressOverlap/>
                    <w:jc w:val="left"/>
                  </w:pPr>
                  <w:r>
                    <w:rPr>
                      <w:sz w:val="16"/>
                    </w:rPr>
                    <w:t>.02</w:t>
                  </w:r>
                </w:p>
              </w:tc>
              <w:tc>
                <w:tcPr>
                  <w:tcW w:w="642" w:type="dxa"/>
                  <w:tcBorders>
                    <w:top w:val="nil"/>
                    <w:left w:val="nil"/>
                    <w:bottom w:val="nil"/>
                    <w:right w:val="nil"/>
                  </w:tcBorders>
                </w:tcPr>
                <w:p w:rsidR="00157A70" w:rsidRDefault="00316F15" w:rsidP="00E25B31">
                  <w:pPr>
                    <w:framePr w:wrap="around" w:vAnchor="text" w:hAnchor="margin"/>
                    <w:spacing w:after="0" w:line="259" w:lineRule="auto"/>
                    <w:ind w:left="169" w:right="0" w:firstLine="0"/>
                    <w:suppressOverlap/>
                    <w:jc w:val="left"/>
                  </w:pPr>
                  <w:r>
                    <w:rPr>
                      <w:sz w:val="16"/>
                    </w:rPr>
                    <w:t>.00</w:t>
                  </w:r>
                </w:p>
              </w:tc>
              <w:tc>
                <w:tcPr>
                  <w:tcW w:w="837" w:type="dxa"/>
                  <w:tcBorders>
                    <w:top w:val="nil"/>
                    <w:left w:val="nil"/>
                    <w:bottom w:val="nil"/>
                    <w:right w:val="nil"/>
                  </w:tcBorders>
                </w:tcPr>
                <w:p w:rsidR="00157A70" w:rsidRDefault="00316F15" w:rsidP="00E25B31">
                  <w:pPr>
                    <w:framePr w:wrap="around" w:vAnchor="text" w:hAnchor="margin"/>
                    <w:spacing w:after="0" w:line="259" w:lineRule="auto"/>
                    <w:ind w:left="43" w:right="0" w:firstLine="0"/>
                    <w:suppressOverlap/>
                    <w:jc w:val="left"/>
                  </w:pPr>
                  <w:r>
                    <w:rPr>
                      <w:sz w:val="16"/>
                    </w:rPr>
                    <w:t>.19</w:t>
                  </w:r>
                  <w:r>
                    <w:rPr>
                      <w:sz w:val="10"/>
                    </w:rPr>
                    <w:t>***</w:t>
                  </w:r>
                </w:p>
              </w:tc>
              <w:tc>
                <w:tcPr>
                  <w:tcW w:w="610" w:type="dxa"/>
                  <w:tcBorders>
                    <w:top w:val="nil"/>
                    <w:left w:val="nil"/>
                    <w:bottom w:val="nil"/>
                    <w:right w:val="nil"/>
                  </w:tcBorders>
                </w:tcPr>
                <w:p w:rsidR="00157A70" w:rsidRDefault="00316F15" w:rsidP="00E25B31">
                  <w:pPr>
                    <w:framePr w:wrap="around" w:vAnchor="text" w:hAnchor="margin"/>
                    <w:spacing w:after="0" w:line="259" w:lineRule="auto"/>
                    <w:ind w:left="43" w:right="0" w:firstLine="0"/>
                    <w:suppressOverlap/>
                  </w:pPr>
                  <w:r>
                    <w:rPr>
                      <w:sz w:val="16"/>
                    </w:rPr>
                    <w:t>.26</w:t>
                  </w:r>
                  <w:r>
                    <w:rPr>
                      <w:sz w:val="10"/>
                    </w:rPr>
                    <w:t>***</w:t>
                  </w:r>
                </w:p>
              </w:tc>
            </w:tr>
            <w:tr w:rsidR="00157A70">
              <w:trPr>
                <w:trHeight w:val="180"/>
              </w:trPr>
              <w:tc>
                <w:tcPr>
                  <w:tcW w:w="2375" w:type="dxa"/>
                  <w:tcBorders>
                    <w:top w:val="nil"/>
                    <w:left w:val="nil"/>
                    <w:bottom w:val="nil"/>
                    <w:right w:val="nil"/>
                  </w:tcBorders>
                </w:tcPr>
                <w:p w:rsidR="00157A70" w:rsidRDefault="00316F15" w:rsidP="00E25B31">
                  <w:pPr>
                    <w:framePr w:wrap="around" w:vAnchor="text" w:hAnchor="margin"/>
                    <w:spacing w:after="0" w:line="259" w:lineRule="auto"/>
                    <w:ind w:left="160" w:right="0" w:firstLine="0"/>
                    <w:suppressOverlap/>
                    <w:jc w:val="left"/>
                  </w:pPr>
                  <w:r>
                    <w:rPr>
                      <w:sz w:val="16"/>
                    </w:rPr>
                    <w:t>To use behavioral coping ()</w:t>
                  </w:r>
                </w:p>
              </w:tc>
              <w:tc>
                <w:tcPr>
                  <w:tcW w:w="824" w:type="dxa"/>
                  <w:tcBorders>
                    <w:top w:val="nil"/>
                    <w:left w:val="nil"/>
                    <w:bottom w:val="nil"/>
                    <w:right w:val="nil"/>
                  </w:tcBorders>
                </w:tcPr>
                <w:p w:rsidR="00157A70" w:rsidRDefault="00316F15" w:rsidP="00E25B31">
                  <w:pPr>
                    <w:framePr w:wrap="around" w:vAnchor="text" w:hAnchor="margin"/>
                    <w:spacing w:after="0" w:line="259" w:lineRule="auto"/>
                    <w:ind w:left="163" w:right="0" w:firstLine="0"/>
                    <w:suppressOverlap/>
                    <w:jc w:val="left"/>
                  </w:pPr>
                  <w:r>
                    <w:rPr>
                      <w:sz w:val="16"/>
                    </w:rPr>
                    <w:t>.05</w:t>
                  </w:r>
                </w:p>
              </w:tc>
              <w:tc>
                <w:tcPr>
                  <w:tcW w:w="1122" w:type="dxa"/>
                  <w:tcBorders>
                    <w:top w:val="nil"/>
                    <w:left w:val="nil"/>
                    <w:bottom w:val="nil"/>
                    <w:right w:val="nil"/>
                  </w:tcBorders>
                </w:tcPr>
                <w:p w:rsidR="00157A70" w:rsidRDefault="00316F15" w:rsidP="00E25B31">
                  <w:pPr>
                    <w:framePr w:wrap="around" w:vAnchor="text" w:hAnchor="margin"/>
                    <w:spacing w:after="0" w:line="259" w:lineRule="auto"/>
                    <w:ind w:left="321" w:right="0" w:firstLine="0"/>
                    <w:suppressOverlap/>
                    <w:jc w:val="left"/>
                  </w:pPr>
                  <w:r>
                    <w:rPr>
                      <w:sz w:val="16"/>
                    </w:rPr>
                    <w:t>.15</w:t>
                  </w:r>
                  <w:r>
                    <w:rPr>
                      <w:sz w:val="16"/>
                      <w:vertAlign w:val="superscript"/>
                    </w:rPr>
                    <w:t>**</w:t>
                  </w:r>
                </w:p>
              </w:tc>
              <w:tc>
                <w:tcPr>
                  <w:tcW w:w="842" w:type="dxa"/>
                  <w:tcBorders>
                    <w:top w:val="nil"/>
                    <w:left w:val="nil"/>
                    <w:bottom w:val="nil"/>
                    <w:right w:val="nil"/>
                  </w:tcBorders>
                </w:tcPr>
                <w:p w:rsidR="00157A70" w:rsidRDefault="00316F15" w:rsidP="00E25B31">
                  <w:pPr>
                    <w:framePr w:wrap="around" w:vAnchor="text" w:hAnchor="margin"/>
                    <w:spacing w:after="0" w:line="259" w:lineRule="auto"/>
                    <w:ind w:left="181" w:right="0" w:firstLine="0"/>
                    <w:suppressOverlap/>
                    <w:jc w:val="left"/>
                  </w:pPr>
                  <w:r>
                    <w:rPr>
                      <w:sz w:val="16"/>
                    </w:rPr>
                    <w:t>.15</w:t>
                  </w:r>
                  <w:r>
                    <w:rPr>
                      <w:sz w:val="16"/>
                      <w:vertAlign w:val="superscript"/>
                    </w:rPr>
                    <w:t>**</w:t>
                  </w:r>
                </w:p>
              </w:tc>
              <w:tc>
                <w:tcPr>
                  <w:tcW w:w="811" w:type="dxa"/>
                  <w:tcBorders>
                    <w:top w:val="nil"/>
                    <w:left w:val="nil"/>
                    <w:bottom w:val="nil"/>
                    <w:right w:val="nil"/>
                  </w:tcBorders>
                </w:tcPr>
                <w:p w:rsidR="00157A70" w:rsidRDefault="00316F15" w:rsidP="00E25B31">
                  <w:pPr>
                    <w:framePr w:wrap="around" w:vAnchor="text" w:hAnchor="margin"/>
                    <w:spacing w:after="0" w:line="259" w:lineRule="auto"/>
                    <w:ind w:left="163" w:right="0" w:firstLine="0"/>
                    <w:suppressOverlap/>
                    <w:jc w:val="left"/>
                  </w:pPr>
                  <w:r>
                    <w:rPr>
                      <w:sz w:val="16"/>
                    </w:rPr>
                    <w:t>.14</w:t>
                  </w:r>
                  <w:r>
                    <w:rPr>
                      <w:sz w:val="16"/>
                      <w:vertAlign w:val="superscript"/>
                    </w:rPr>
                    <w:t>*</w:t>
                  </w:r>
                </w:p>
              </w:tc>
              <w:tc>
                <w:tcPr>
                  <w:tcW w:w="922" w:type="dxa"/>
                  <w:tcBorders>
                    <w:top w:val="nil"/>
                    <w:left w:val="nil"/>
                    <w:bottom w:val="nil"/>
                    <w:right w:val="nil"/>
                  </w:tcBorders>
                </w:tcPr>
                <w:p w:rsidR="00157A70" w:rsidRDefault="00316F15" w:rsidP="00E25B31">
                  <w:pPr>
                    <w:framePr w:wrap="around" w:vAnchor="text" w:hAnchor="margin"/>
                    <w:spacing w:after="0" w:line="259" w:lineRule="auto"/>
                    <w:ind w:left="219" w:right="0" w:firstLine="0"/>
                    <w:suppressOverlap/>
                    <w:jc w:val="left"/>
                  </w:pPr>
                  <w:r>
                    <w:rPr>
                      <w:sz w:val="16"/>
                    </w:rPr>
                    <w:t>.26</w:t>
                  </w:r>
                  <w:r>
                    <w:rPr>
                      <w:sz w:val="10"/>
                    </w:rPr>
                    <w:t>***</w:t>
                  </w:r>
                </w:p>
              </w:tc>
              <w:tc>
                <w:tcPr>
                  <w:tcW w:w="975" w:type="dxa"/>
                  <w:tcBorders>
                    <w:top w:val="nil"/>
                    <w:left w:val="nil"/>
                    <w:bottom w:val="nil"/>
                    <w:right w:val="nil"/>
                  </w:tcBorders>
                </w:tcPr>
                <w:p w:rsidR="00157A70" w:rsidRDefault="00316F15" w:rsidP="00E25B31">
                  <w:pPr>
                    <w:framePr w:wrap="around" w:vAnchor="text" w:hAnchor="margin"/>
                    <w:spacing w:after="0" w:line="259" w:lineRule="auto"/>
                    <w:ind w:left="246" w:right="0" w:firstLine="0"/>
                    <w:suppressOverlap/>
                    <w:jc w:val="left"/>
                  </w:pPr>
                  <w:r>
                    <w:rPr>
                      <w:sz w:val="16"/>
                    </w:rPr>
                    <w:t>.29</w:t>
                  </w:r>
                  <w:r>
                    <w:rPr>
                      <w:sz w:val="10"/>
                    </w:rPr>
                    <w:t>***</w:t>
                  </w:r>
                </w:p>
              </w:tc>
              <w:tc>
                <w:tcPr>
                  <w:tcW w:w="642" w:type="dxa"/>
                  <w:tcBorders>
                    <w:top w:val="nil"/>
                    <w:left w:val="nil"/>
                    <w:bottom w:val="nil"/>
                    <w:right w:val="nil"/>
                  </w:tcBorders>
                </w:tcPr>
                <w:p w:rsidR="00157A70" w:rsidRDefault="00316F15" w:rsidP="00E25B31">
                  <w:pPr>
                    <w:framePr w:wrap="around" w:vAnchor="text" w:hAnchor="margin"/>
                    <w:spacing w:after="0" w:line="259" w:lineRule="auto"/>
                    <w:ind w:left="169" w:right="0" w:firstLine="0"/>
                    <w:suppressOverlap/>
                    <w:jc w:val="left"/>
                  </w:pPr>
                  <w:r>
                    <w:rPr>
                      <w:sz w:val="16"/>
                    </w:rPr>
                    <w:t>.04</w:t>
                  </w:r>
                </w:p>
              </w:tc>
              <w:tc>
                <w:tcPr>
                  <w:tcW w:w="837" w:type="dxa"/>
                  <w:tcBorders>
                    <w:top w:val="nil"/>
                    <w:left w:val="nil"/>
                    <w:bottom w:val="nil"/>
                    <w:right w:val="nil"/>
                  </w:tcBorders>
                </w:tcPr>
                <w:p w:rsidR="00157A70" w:rsidRDefault="00316F15" w:rsidP="00E25B31">
                  <w:pPr>
                    <w:framePr w:wrap="around" w:vAnchor="text" w:hAnchor="margin"/>
                    <w:spacing w:after="0" w:line="259" w:lineRule="auto"/>
                    <w:ind w:left="177" w:right="0" w:firstLine="0"/>
                    <w:suppressOverlap/>
                    <w:jc w:val="left"/>
                  </w:pPr>
                  <w:r>
                    <w:rPr>
                      <w:sz w:val="16"/>
                    </w:rPr>
                    <w:t>.28</w:t>
                  </w:r>
                  <w:r>
                    <w:rPr>
                      <w:sz w:val="10"/>
                    </w:rPr>
                    <w:t>***</w:t>
                  </w:r>
                </w:p>
              </w:tc>
              <w:tc>
                <w:tcPr>
                  <w:tcW w:w="610" w:type="dxa"/>
                  <w:tcBorders>
                    <w:top w:val="nil"/>
                    <w:left w:val="nil"/>
                    <w:bottom w:val="nil"/>
                    <w:right w:val="nil"/>
                  </w:tcBorders>
                </w:tcPr>
                <w:p w:rsidR="00157A70" w:rsidRDefault="00316F15" w:rsidP="00E25B31">
                  <w:pPr>
                    <w:framePr w:wrap="around" w:vAnchor="text" w:hAnchor="margin"/>
                    <w:spacing w:after="0" w:line="259" w:lineRule="auto"/>
                    <w:ind w:right="43" w:firstLine="0"/>
                    <w:suppressOverlap/>
                    <w:jc w:val="right"/>
                  </w:pPr>
                  <w:r>
                    <w:rPr>
                      <w:sz w:val="16"/>
                    </w:rPr>
                    <w:t>.35</w:t>
                  </w:r>
                  <w:r>
                    <w:rPr>
                      <w:sz w:val="10"/>
                    </w:rPr>
                    <w:t>***</w:t>
                  </w:r>
                </w:p>
              </w:tc>
            </w:tr>
            <w:tr w:rsidR="00157A70">
              <w:trPr>
                <w:trHeight w:val="180"/>
              </w:trPr>
              <w:tc>
                <w:tcPr>
                  <w:tcW w:w="2375" w:type="dxa"/>
                  <w:tcBorders>
                    <w:top w:val="nil"/>
                    <w:left w:val="nil"/>
                    <w:bottom w:val="nil"/>
                    <w:right w:val="nil"/>
                  </w:tcBorders>
                </w:tcPr>
                <w:p w:rsidR="00157A70" w:rsidRDefault="00316F15" w:rsidP="00E25B31">
                  <w:pPr>
                    <w:framePr w:wrap="around" w:vAnchor="text" w:hAnchor="margin"/>
                    <w:spacing w:after="0" w:line="259" w:lineRule="auto"/>
                    <w:ind w:left="160" w:right="0" w:firstLine="0"/>
                    <w:suppressOverlap/>
                    <w:jc w:val="left"/>
                  </w:pPr>
                  <w:r>
                    <w:rPr>
                      <w:sz w:val="16"/>
                    </w:rPr>
                    <w:t>To decide rationally ()</w:t>
                  </w:r>
                </w:p>
              </w:tc>
              <w:tc>
                <w:tcPr>
                  <w:tcW w:w="824" w:type="dxa"/>
                  <w:tcBorders>
                    <w:top w:val="nil"/>
                    <w:left w:val="nil"/>
                    <w:bottom w:val="nil"/>
                    <w:right w:val="nil"/>
                  </w:tcBorders>
                </w:tcPr>
                <w:p w:rsidR="00157A70" w:rsidRDefault="00316F15" w:rsidP="00E25B31">
                  <w:pPr>
                    <w:framePr w:wrap="around" w:vAnchor="text" w:hAnchor="margin"/>
                    <w:spacing w:after="0" w:line="259" w:lineRule="auto"/>
                    <w:ind w:left="30" w:right="0" w:firstLine="0"/>
                    <w:suppressOverlap/>
                    <w:jc w:val="left"/>
                  </w:pPr>
                  <w:r>
                    <w:rPr>
                      <w:sz w:val="16"/>
                    </w:rPr>
                    <w:t>.08</w:t>
                  </w:r>
                </w:p>
              </w:tc>
              <w:tc>
                <w:tcPr>
                  <w:tcW w:w="1122" w:type="dxa"/>
                  <w:tcBorders>
                    <w:top w:val="nil"/>
                    <w:left w:val="nil"/>
                    <w:bottom w:val="nil"/>
                    <w:right w:val="nil"/>
                  </w:tcBorders>
                </w:tcPr>
                <w:p w:rsidR="00157A70" w:rsidRDefault="00316F15" w:rsidP="00E25B31">
                  <w:pPr>
                    <w:framePr w:wrap="around" w:vAnchor="text" w:hAnchor="margin"/>
                    <w:spacing w:after="0" w:line="259" w:lineRule="auto"/>
                    <w:ind w:left="321" w:right="0" w:firstLine="0"/>
                    <w:suppressOverlap/>
                    <w:jc w:val="left"/>
                  </w:pPr>
                  <w:r>
                    <w:rPr>
                      <w:sz w:val="16"/>
                    </w:rPr>
                    <w:t>.17</w:t>
                  </w:r>
                  <w:r>
                    <w:rPr>
                      <w:sz w:val="16"/>
                      <w:vertAlign w:val="superscript"/>
                    </w:rPr>
                    <w:t>**</w:t>
                  </w:r>
                </w:p>
              </w:tc>
              <w:tc>
                <w:tcPr>
                  <w:tcW w:w="842" w:type="dxa"/>
                  <w:tcBorders>
                    <w:top w:val="nil"/>
                    <w:left w:val="nil"/>
                    <w:bottom w:val="nil"/>
                    <w:right w:val="nil"/>
                  </w:tcBorders>
                </w:tcPr>
                <w:p w:rsidR="00157A70" w:rsidRDefault="00316F15" w:rsidP="00E25B31">
                  <w:pPr>
                    <w:framePr w:wrap="around" w:vAnchor="text" w:hAnchor="margin"/>
                    <w:spacing w:after="0" w:line="259" w:lineRule="auto"/>
                    <w:ind w:left="181" w:right="0" w:firstLine="0"/>
                    <w:suppressOverlap/>
                    <w:jc w:val="left"/>
                  </w:pPr>
                  <w:r>
                    <w:rPr>
                      <w:sz w:val="16"/>
                    </w:rPr>
                    <w:t>.13</w:t>
                  </w:r>
                  <w:r>
                    <w:rPr>
                      <w:sz w:val="16"/>
                      <w:vertAlign w:val="superscript"/>
                    </w:rPr>
                    <w:t>*</w:t>
                  </w:r>
                </w:p>
              </w:tc>
              <w:tc>
                <w:tcPr>
                  <w:tcW w:w="811" w:type="dxa"/>
                  <w:tcBorders>
                    <w:top w:val="nil"/>
                    <w:left w:val="nil"/>
                    <w:bottom w:val="nil"/>
                    <w:right w:val="nil"/>
                  </w:tcBorders>
                </w:tcPr>
                <w:p w:rsidR="00157A70" w:rsidRDefault="00316F15" w:rsidP="00E25B31">
                  <w:pPr>
                    <w:framePr w:wrap="around" w:vAnchor="text" w:hAnchor="margin"/>
                    <w:spacing w:after="0" w:line="259" w:lineRule="auto"/>
                    <w:ind w:left="163" w:right="0" w:firstLine="0"/>
                    <w:suppressOverlap/>
                    <w:jc w:val="left"/>
                  </w:pPr>
                  <w:r>
                    <w:rPr>
                      <w:sz w:val="16"/>
                    </w:rPr>
                    <w:t>.14</w:t>
                  </w:r>
                  <w:r>
                    <w:rPr>
                      <w:sz w:val="16"/>
                      <w:vertAlign w:val="superscript"/>
                    </w:rPr>
                    <w:t>*</w:t>
                  </w:r>
                </w:p>
              </w:tc>
              <w:tc>
                <w:tcPr>
                  <w:tcW w:w="922" w:type="dxa"/>
                  <w:tcBorders>
                    <w:top w:val="nil"/>
                    <w:left w:val="nil"/>
                    <w:bottom w:val="nil"/>
                    <w:right w:val="nil"/>
                  </w:tcBorders>
                </w:tcPr>
                <w:p w:rsidR="00157A70" w:rsidRDefault="00316F15" w:rsidP="00E25B31">
                  <w:pPr>
                    <w:framePr w:wrap="around" w:vAnchor="text" w:hAnchor="margin"/>
                    <w:spacing w:after="0" w:line="259" w:lineRule="auto"/>
                    <w:ind w:left="219" w:right="0" w:firstLine="0"/>
                    <w:suppressOverlap/>
                    <w:jc w:val="left"/>
                  </w:pPr>
                  <w:r>
                    <w:rPr>
                      <w:sz w:val="16"/>
                    </w:rPr>
                    <w:t>.21</w:t>
                  </w:r>
                  <w:r>
                    <w:rPr>
                      <w:sz w:val="16"/>
                      <w:vertAlign w:val="superscript"/>
                    </w:rPr>
                    <w:t>**</w:t>
                  </w:r>
                </w:p>
              </w:tc>
              <w:tc>
                <w:tcPr>
                  <w:tcW w:w="975" w:type="dxa"/>
                  <w:tcBorders>
                    <w:top w:val="nil"/>
                    <w:left w:val="nil"/>
                    <w:bottom w:val="nil"/>
                    <w:right w:val="nil"/>
                  </w:tcBorders>
                </w:tcPr>
                <w:p w:rsidR="00157A70" w:rsidRDefault="00316F15" w:rsidP="00E25B31">
                  <w:pPr>
                    <w:framePr w:wrap="around" w:vAnchor="text" w:hAnchor="margin"/>
                    <w:spacing w:after="0" w:line="259" w:lineRule="auto"/>
                    <w:ind w:left="246" w:right="0" w:firstLine="0"/>
                    <w:suppressOverlap/>
                    <w:jc w:val="left"/>
                  </w:pPr>
                  <w:r>
                    <w:rPr>
                      <w:sz w:val="16"/>
                    </w:rPr>
                    <w:t>.27</w:t>
                  </w:r>
                  <w:r>
                    <w:rPr>
                      <w:sz w:val="10"/>
                    </w:rPr>
                    <w:t>***</w:t>
                  </w:r>
                </w:p>
              </w:tc>
              <w:tc>
                <w:tcPr>
                  <w:tcW w:w="642" w:type="dxa"/>
                  <w:tcBorders>
                    <w:top w:val="nil"/>
                    <w:left w:val="nil"/>
                    <w:bottom w:val="nil"/>
                    <w:right w:val="nil"/>
                  </w:tcBorders>
                </w:tcPr>
                <w:p w:rsidR="00157A70" w:rsidRDefault="00316F15" w:rsidP="00E25B31">
                  <w:pPr>
                    <w:framePr w:wrap="around" w:vAnchor="text" w:hAnchor="margin"/>
                    <w:spacing w:after="0" w:line="259" w:lineRule="auto"/>
                    <w:ind w:left="169" w:right="0" w:firstLine="0"/>
                    <w:suppressOverlap/>
                    <w:jc w:val="left"/>
                  </w:pPr>
                  <w:r>
                    <w:rPr>
                      <w:sz w:val="16"/>
                    </w:rPr>
                    <w:t>.05</w:t>
                  </w:r>
                </w:p>
              </w:tc>
              <w:tc>
                <w:tcPr>
                  <w:tcW w:w="837" w:type="dxa"/>
                  <w:tcBorders>
                    <w:top w:val="nil"/>
                    <w:left w:val="nil"/>
                    <w:bottom w:val="nil"/>
                    <w:right w:val="nil"/>
                  </w:tcBorders>
                </w:tcPr>
                <w:p w:rsidR="00157A70" w:rsidRDefault="00316F15" w:rsidP="00E25B31">
                  <w:pPr>
                    <w:framePr w:wrap="around" w:vAnchor="text" w:hAnchor="margin"/>
                    <w:spacing w:after="0" w:line="259" w:lineRule="auto"/>
                    <w:ind w:left="177" w:right="0" w:firstLine="0"/>
                    <w:suppressOverlap/>
                    <w:jc w:val="left"/>
                  </w:pPr>
                  <w:r>
                    <w:rPr>
                      <w:sz w:val="16"/>
                    </w:rPr>
                    <w:t>.22</w:t>
                  </w:r>
                  <w:r>
                    <w:rPr>
                      <w:sz w:val="10"/>
                    </w:rPr>
                    <w:t>***</w:t>
                  </w:r>
                </w:p>
              </w:tc>
              <w:tc>
                <w:tcPr>
                  <w:tcW w:w="610" w:type="dxa"/>
                  <w:tcBorders>
                    <w:top w:val="nil"/>
                    <w:left w:val="nil"/>
                    <w:bottom w:val="nil"/>
                    <w:right w:val="nil"/>
                  </w:tcBorders>
                </w:tcPr>
                <w:p w:rsidR="00157A70" w:rsidRDefault="00316F15" w:rsidP="00E25B31">
                  <w:pPr>
                    <w:framePr w:wrap="around" w:vAnchor="text" w:hAnchor="margin"/>
                    <w:spacing w:after="0" w:line="259" w:lineRule="auto"/>
                    <w:ind w:right="43" w:firstLine="0"/>
                    <w:suppressOverlap/>
                    <w:jc w:val="right"/>
                  </w:pPr>
                  <w:r>
                    <w:rPr>
                      <w:sz w:val="16"/>
                    </w:rPr>
                    <w:t>.21</w:t>
                  </w:r>
                  <w:r>
                    <w:rPr>
                      <w:sz w:val="10"/>
                    </w:rPr>
                    <w:t>***</w:t>
                  </w:r>
                </w:p>
              </w:tc>
            </w:tr>
            <w:tr w:rsidR="00157A70">
              <w:trPr>
                <w:trHeight w:val="182"/>
              </w:trPr>
              <w:tc>
                <w:tcPr>
                  <w:tcW w:w="2375" w:type="dxa"/>
                  <w:tcBorders>
                    <w:top w:val="nil"/>
                    <w:left w:val="nil"/>
                    <w:bottom w:val="nil"/>
                    <w:right w:val="nil"/>
                  </w:tcBorders>
                </w:tcPr>
                <w:p w:rsidR="00157A70" w:rsidRDefault="00316F15" w:rsidP="00E25B31">
                  <w:pPr>
                    <w:framePr w:wrap="around" w:vAnchor="text" w:hAnchor="margin"/>
                    <w:spacing w:after="0" w:line="259" w:lineRule="auto"/>
                    <w:ind w:left="160" w:right="0" w:firstLine="0"/>
                    <w:suppressOverlap/>
                    <w:jc w:val="left"/>
                  </w:pPr>
                  <w:r>
                    <w:rPr>
                      <w:sz w:val="16"/>
                    </w:rPr>
                    <w:t>To decide intuitively ()</w:t>
                  </w:r>
                </w:p>
              </w:tc>
              <w:tc>
                <w:tcPr>
                  <w:tcW w:w="824" w:type="dxa"/>
                  <w:tcBorders>
                    <w:top w:val="nil"/>
                    <w:left w:val="nil"/>
                    <w:bottom w:val="nil"/>
                    <w:right w:val="nil"/>
                  </w:tcBorders>
                </w:tcPr>
                <w:p w:rsidR="00157A70" w:rsidRDefault="00316F15" w:rsidP="00E25B31">
                  <w:pPr>
                    <w:framePr w:wrap="around" w:vAnchor="text" w:hAnchor="margin"/>
                    <w:spacing w:after="0" w:line="259" w:lineRule="auto"/>
                    <w:ind w:left="30" w:right="0" w:firstLine="0"/>
                    <w:suppressOverlap/>
                    <w:jc w:val="left"/>
                  </w:pPr>
                  <w:r>
                    <w:rPr>
                      <w:sz w:val="16"/>
                    </w:rPr>
                    <w:t>.12</w:t>
                  </w:r>
                  <w:r>
                    <w:rPr>
                      <w:sz w:val="16"/>
                      <w:vertAlign w:val="superscript"/>
                    </w:rPr>
                    <w:t>*</w:t>
                  </w:r>
                </w:p>
              </w:tc>
              <w:tc>
                <w:tcPr>
                  <w:tcW w:w="1122" w:type="dxa"/>
                  <w:tcBorders>
                    <w:top w:val="nil"/>
                    <w:left w:val="nil"/>
                    <w:bottom w:val="nil"/>
                    <w:right w:val="nil"/>
                  </w:tcBorders>
                </w:tcPr>
                <w:p w:rsidR="00157A70" w:rsidRDefault="00316F15" w:rsidP="00E25B31">
                  <w:pPr>
                    <w:framePr w:wrap="around" w:vAnchor="text" w:hAnchor="margin"/>
                    <w:spacing w:after="0" w:line="259" w:lineRule="auto"/>
                    <w:ind w:left="321" w:right="0" w:firstLine="0"/>
                    <w:suppressOverlap/>
                    <w:jc w:val="left"/>
                  </w:pPr>
                  <w:r>
                    <w:rPr>
                      <w:sz w:val="16"/>
                    </w:rPr>
                    <w:t>.13</w:t>
                  </w:r>
                  <w:r>
                    <w:rPr>
                      <w:sz w:val="16"/>
                      <w:vertAlign w:val="superscript"/>
                    </w:rPr>
                    <w:t>*</w:t>
                  </w:r>
                </w:p>
              </w:tc>
              <w:tc>
                <w:tcPr>
                  <w:tcW w:w="842" w:type="dxa"/>
                  <w:tcBorders>
                    <w:top w:val="nil"/>
                    <w:left w:val="nil"/>
                    <w:bottom w:val="nil"/>
                    <w:right w:val="nil"/>
                  </w:tcBorders>
                </w:tcPr>
                <w:p w:rsidR="00157A70" w:rsidRDefault="00316F15" w:rsidP="00E25B31">
                  <w:pPr>
                    <w:framePr w:wrap="around" w:vAnchor="text" w:hAnchor="margin"/>
                    <w:spacing w:after="0" w:line="259" w:lineRule="auto"/>
                    <w:ind w:left="181" w:right="0" w:firstLine="0"/>
                    <w:suppressOverlap/>
                    <w:jc w:val="left"/>
                  </w:pPr>
                  <w:r>
                    <w:rPr>
                      <w:sz w:val="16"/>
                    </w:rPr>
                    <w:t>.07</w:t>
                  </w:r>
                </w:p>
              </w:tc>
              <w:tc>
                <w:tcPr>
                  <w:tcW w:w="811" w:type="dxa"/>
                  <w:tcBorders>
                    <w:top w:val="nil"/>
                    <w:left w:val="nil"/>
                    <w:bottom w:val="nil"/>
                    <w:right w:val="nil"/>
                  </w:tcBorders>
                </w:tcPr>
                <w:p w:rsidR="00157A70" w:rsidRDefault="00316F15" w:rsidP="00E25B31">
                  <w:pPr>
                    <w:framePr w:wrap="around" w:vAnchor="text" w:hAnchor="margin"/>
                    <w:spacing w:after="0" w:line="259" w:lineRule="auto"/>
                    <w:ind w:left="30" w:right="0" w:firstLine="0"/>
                    <w:suppressOverlap/>
                    <w:jc w:val="left"/>
                  </w:pPr>
                  <w:r>
                    <w:rPr>
                      <w:sz w:val="16"/>
                    </w:rPr>
                    <w:t>.06</w:t>
                  </w:r>
                </w:p>
              </w:tc>
              <w:tc>
                <w:tcPr>
                  <w:tcW w:w="922" w:type="dxa"/>
                  <w:tcBorders>
                    <w:top w:val="nil"/>
                    <w:left w:val="nil"/>
                    <w:bottom w:val="nil"/>
                    <w:right w:val="nil"/>
                  </w:tcBorders>
                </w:tcPr>
                <w:p w:rsidR="00157A70" w:rsidRDefault="00316F15" w:rsidP="00E25B31">
                  <w:pPr>
                    <w:framePr w:wrap="around" w:vAnchor="text" w:hAnchor="margin"/>
                    <w:spacing w:after="0" w:line="259" w:lineRule="auto"/>
                    <w:ind w:left="219" w:right="0" w:firstLine="0"/>
                    <w:suppressOverlap/>
                    <w:jc w:val="left"/>
                  </w:pPr>
                  <w:r>
                    <w:rPr>
                      <w:sz w:val="16"/>
                    </w:rPr>
                    <w:t>.08</w:t>
                  </w:r>
                </w:p>
              </w:tc>
              <w:tc>
                <w:tcPr>
                  <w:tcW w:w="975" w:type="dxa"/>
                  <w:tcBorders>
                    <w:top w:val="nil"/>
                    <w:left w:val="nil"/>
                    <w:bottom w:val="nil"/>
                    <w:right w:val="nil"/>
                  </w:tcBorders>
                </w:tcPr>
                <w:p w:rsidR="00157A70" w:rsidRDefault="00316F15" w:rsidP="00E25B31">
                  <w:pPr>
                    <w:framePr w:wrap="around" w:vAnchor="text" w:hAnchor="margin"/>
                    <w:spacing w:after="0" w:line="259" w:lineRule="auto"/>
                    <w:ind w:left="246" w:right="0" w:firstLine="0"/>
                    <w:suppressOverlap/>
                    <w:jc w:val="left"/>
                  </w:pPr>
                  <w:r>
                    <w:rPr>
                      <w:sz w:val="16"/>
                    </w:rPr>
                    <w:t>.20</w:t>
                  </w:r>
                  <w:r>
                    <w:rPr>
                      <w:sz w:val="10"/>
                    </w:rPr>
                    <w:t>***</w:t>
                  </w:r>
                </w:p>
              </w:tc>
              <w:tc>
                <w:tcPr>
                  <w:tcW w:w="642" w:type="dxa"/>
                  <w:tcBorders>
                    <w:top w:val="nil"/>
                    <w:left w:val="nil"/>
                    <w:bottom w:val="nil"/>
                    <w:right w:val="nil"/>
                  </w:tcBorders>
                </w:tcPr>
                <w:p w:rsidR="00157A70" w:rsidRDefault="00316F15" w:rsidP="00E25B31">
                  <w:pPr>
                    <w:framePr w:wrap="around" w:vAnchor="text" w:hAnchor="margin"/>
                    <w:spacing w:after="0" w:line="259" w:lineRule="auto"/>
                    <w:ind w:left="36" w:right="0" w:firstLine="0"/>
                    <w:suppressOverlap/>
                    <w:jc w:val="left"/>
                  </w:pPr>
                  <w:r>
                    <w:rPr>
                      <w:sz w:val="16"/>
                    </w:rPr>
                    <w:t>.02</w:t>
                  </w:r>
                </w:p>
              </w:tc>
              <w:tc>
                <w:tcPr>
                  <w:tcW w:w="837" w:type="dxa"/>
                  <w:tcBorders>
                    <w:top w:val="nil"/>
                    <w:left w:val="nil"/>
                    <w:bottom w:val="nil"/>
                    <w:right w:val="nil"/>
                  </w:tcBorders>
                </w:tcPr>
                <w:p w:rsidR="00157A70" w:rsidRDefault="00316F15" w:rsidP="00E25B31">
                  <w:pPr>
                    <w:framePr w:wrap="around" w:vAnchor="text" w:hAnchor="margin"/>
                    <w:spacing w:after="0" w:line="259" w:lineRule="auto"/>
                    <w:ind w:left="177" w:right="0" w:firstLine="0"/>
                    <w:suppressOverlap/>
                    <w:jc w:val="left"/>
                  </w:pPr>
                  <w:r>
                    <w:rPr>
                      <w:sz w:val="16"/>
                    </w:rPr>
                    <w:t>.09</w:t>
                  </w:r>
                </w:p>
              </w:tc>
              <w:tc>
                <w:tcPr>
                  <w:tcW w:w="610" w:type="dxa"/>
                  <w:tcBorders>
                    <w:top w:val="nil"/>
                    <w:left w:val="nil"/>
                    <w:bottom w:val="nil"/>
                    <w:right w:val="nil"/>
                  </w:tcBorders>
                </w:tcPr>
                <w:p w:rsidR="00157A70" w:rsidRDefault="00316F15" w:rsidP="00E25B31">
                  <w:pPr>
                    <w:framePr w:wrap="around" w:vAnchor="text" w:hAnchor="margin"/>
                    <w:spacing w:after="0" w:line="259" w:lineRule="auto"/>
                    <w:ind w:right="43" w:firstLine="0"/>
                    <w:suppressOverlap/>
                    <w:jc w:val="right"/>
                  </w:pPr>
                  <w:r>
                    <w:rPr>
                      <w:sz w:val="16"/>
                    </w:rPr>
                    <w:t>.16</w:t>
                  </w:r>
                  <w:r>
                    <w:rPr>
                      <w:sz w:val="10"/>
                    </w:rPr>
                    <w:t>***</w:t>
                  </w:r>
                </w:p>
              </w:tc>
            </w:tr>
            <w:tr w:rsidR="00157A70">
              <w:trPr>
                <w:trHeight w:val="178"/>
              </w:trPr>
              <w:tc>
                <w:tcPr>
                  <w:tcW w:w="2375" w:type="dxa"/>
                  <w:tcBorders>
                    <w:top w:val="nil"/>
                    <w:left w:val="nil"/>
                    <w:bottom w:val="nil"/>
                    <w:right w:val="nil"/>
                  </w:tcBorders>
                </w:tcPr>
                <w:p w:rsidR="00157A70" w:rsidRDefault="00316F15" w:rsidP="00E25B31">
                  <w:pPr>
                    <w:framePr w:wrap="around" w:vAnchor="text" w:hAnchor="margin"/>
                    <w:spacing w:after="0" w:line="259" w:lineRule="auto"/>
                    <w:ind w:left="160" w:right="0" w:firstLine="0"/>
                    <w:suppressOverlap/>
                    <w:jc w:val="left"/>
                  </w:pPr>
                  <w:r>
                    <w:rPr>
                      <w:sz w:val="16"/>
                    </w:rPr>
                    <w:t>To depend on others ()</w:t>
                  </w:r>
                </w:p>
              </w:tc>
              <w:tc>
                <w:tcPr>
                  <w:tcW w:w="824" w:type="dxa"/>
                  <w:tcBorders>
                    <w:top w:val="nil"/>
                    <w:left w:val="nil"/>
                    <w:bottom w:val="nil"/>
                    <w:right w:val="nil"/>
                  </w:tcBorders>
                </w:tcPr>
                <w:p w:rsidR="00157A70" w:rsidRDefault="00316F15" w:rsidP="00E25B31">
                  <w:pPr>
                    <w:framePr w:wrap="around" w:vAnchor="text" w:hAnchor="margin"/>
                    <w:spacing w:after="0" w:line="259" w:lineRule="auto"/>
                    <w:ind w:left="30" w:right="0" w:firstLine="0"/>
                    <w:suppressOverlap/>
                    <w:jc w:val="left"/>
                  </w:pPr>
                  <w:r>
                    <w:rPr>
                      <w:sz w:val="16"/>
                    </w:rPr>
                    <w:t>.09</w:t>
                  </w:r>
                </w:p>
              </w:tc>
              <w:tc>
                <w:tcPr>
                  <w:tcW w:w="1122" w:type="dxa"/>
                  <w:tcBorders>
                    <w:top w:val="nil"/>
                    <w:left w:val="nil"/>
                    <w:bottom w:val="nil"/>
                    <w:right w:val="nil"/>
                  </w:tcBorders>
                </w:tcPr>
                <w:p w:rsidR="00157A70" w:rsidRDefault="00316F15" w:rsidP="00E25B31">
                  <w:pPr>
                    <w:framePr w:wrap="around" w:vAnchor="text" w:hAnchor="margin"/>
                    <w:spacing w:after="0" w:line="259" w:lineRule="auto"/>
                    <w:ind w:left="321" w:right="0" w:firstLine="0"/>
                    <w:suppressOverlap/>
                    <w:jc w:val="left"/>
                  </w:pPr>
                  <w:r>
                    <w:rPr>
                      <w:sz w:val="16"/>
                    </w:rPr>
                    <w:t>.08</w:t>
                  </w:r>
                </w:p>
              </w:tc>
              <w:tc>
                <w:tcPr>
                  <w:tcW w:w="842" w:type="dxa"/>
                  <w:tcBorders>
                    <w:top w:val="nil"/>
                    <w:left w:val="nil"/>
                    <w:bottom w:val="nil"/>
                    <w:right w:val="nil"/>
                  </w:tcBorders>
                </w:tcPr>
                <w:p w:rsidR="00157A70" w:rsidRDefault="00316F15" w:rsidP="00E25B31">
                  <w:pPr>
                    <w:framePr w:wrap="around" w:vAnchor="text" w:hAnchor="margin"/>
                    <w:spacing w:after="0" w:line="259" w:lineRule="auto"/>
                    <w:ind w:left="181" w:right="0" w:firstLine="0"/>
                    <w:suppressOverlap/>
                    <w:jc w:val="left"/>
                  </w:pPr>
                  <w:r>
                    <w:rPr>
                      <w:sz w:val="16"/>
                    </w:rPr>
                    <w:t>.07</w:t>
                  </w:r>
                </w:p>
              </w:tc>
              <w:tc>
                <w:tcPr>
                  <w:tcW w:w="811" w:type="dxa"/>
                  <w:tcBorders>
                    <w:top w:val="nil"/>
                    <w:left w:val="nil"/>
                    <w:bottom w:val="nil"/>
                    <w:right w:val="nil"/>
                  </w:tcBorders>
                </w:tcPr>
                <w:p w:rsidR="00157A70" w:rsidRDefault="00316F15" w:rsidP="00E25B31">
                  <w:pPr>
                    <w:framePr w:wrap="around" w:vAnchor="text" w:hAnchor="margin"/>
                    <w:spacing w:after="0" w:line="259" w:lineRule="auto"/>
                    <w:ind w:left="163" w:right="0" w:firstLine="0"/>
                    <w:suppressOverlap/>
                    <w:jc w:val="left"/>
                  </w:pPr>
                  <w:r>
                    <w:rPr>
                      <w:sz w:val="16"/>
                    </w:rPr>
                    <w:t>.03</w:t>
                  </w:r>
                </w:p>
              </w:tc>
              <w:tc>
                <w:tcPr>
                  <w:tcW w:w="922" w:type="dxa"/>
                  <w:tcBorders>
                    <w:top w:val="nil"/>
                    <w:left w:val="nil"/>
                    <w:bottom w:val="nil"/>
                    <w:right w:val="nil"/>
                  </w:tcBorders>
                </w:tcPr>
                <w:p w:rsidR="00157A70" w:rsidRDefault="00316F15" w:rsidP="00E25B31">
                  <w:pPr>
                    <w:framePr w:wrap="around" w:vAnchor="text" w:hAnchor="margin"/>
                    <w:spacing w:after="0" w:line="259" w:lineRule="auto"/>
                    <w:ind w:left="219" w:right="0" w:firstLine="0"/>
                    <w:suppressOverlap/>
                    <w:jc w:val="left"/>
                  </w:pPr>
                  <w:r>
                    <w:rPr>
                      <w:sz w:val="16"/>
                    </w:rPr>
                    <w:t>.00</w:t>
                  </w:r>
                </w:p>
              </w:tc>
              <w:tc>
                <w:tcPr>
                  <w:tcW w:w="975" w:type="dxa"/>
                  <w:tcBorders>
                    <w:top w:val="nil"/>
                    <w:left w:val="nil"/>
                    <w:bottom w:val="nil"/>
                    <w:right w:val="nil"/>
                  </w:tcBorders>
                </w:tcPr>
                <w:p w:rsidR="00157A70" w:rsidRDefault="00316F15" w:rsidP="00E25B31">
                  <w:pPr>
                    <w:framePr w:wrap="around" w:vAnchor="text" w:hAnchor="margin"/>
                    <w:spacing w:after="0" w:line="259" w:lineRule="auto"/>
                    <w:ind w:left="246" w:right="0" w:firstLine="0"/>
                    <w:suppressOverlap/>
                    <w:jc w:val="left"/>
                  </w:pPr>
                  <w:r>
                    <w:rPr>
                      <w:sz w:val="16"/>
                    </w:rPr>
                    <w:t>.01</w:t>
                  </w:r>
                </w:p>
              </w:tc>
              <w:tc>
                <w:tcPr>
                  <w:tcW w:w="642" w:type="dxa"/>
                  <w:tcBorders>
                    <w:top w:val="nil"/>
                    <w:left w:val="nil"/>
                    <w:bottom w:val="nil"/>
                    <w:right w:val="nil"/>
                  </w:tcBorders>
                </w:tcPr>
                <w:p w:rsidR="00157A70" w:rsidRDefault="00316F15" w:rsidP="00E25B31">
                  <w:pPr>
                    <w:framePr w:wrap="around" w:vAnchor="text" w:hAnchor="margin"/>
                    <w:spacing w:after="0" w:line="259" w:lineRule="auto"/>
                    <w:ind w:left="36" w:right="0" w:firstLine="0"/>
                    <w:suppressOverlap/>
                    <w:jc w:val="left"/>
                  </w:pPr>
                  <w:r>
                    <w:rPr>
                      <w:sz w:val="16"/>
                    </w:rPr>
                    <w:t>.01</w:t>
                  </w:r>
                </w:p>
              </w:tc>
              <w:tc>
                <w:tcPr>
                  <w:tcW w:w="837" w:type="dxa"/>
                  <w:tcBorders>
                    <w:top w:val="nil"/>
                    <w:left w:val="nil"/>
                    <w:bottom w:val="nil"/>
                    <w:right w:val="nil"/>
                  </w:tcBorders>
                </w:tcPr>
                <w:p w:rsidR="00157A70" w:rsidRDefault="00316F15" w:rsidP="00E25B31">
                  <w:pPr>
                    <w:framePr w:wrap="around" w:vAnchor="text" w:hAnchor="margin"/>
                    <w:spacing w:after="0" w:line="259" w:lineRule="auto"/>
                    <w:ind w:left="177" w:right="0" w:firstLine="0"/>
                    <w:suppressOverlap/>
                    <w:jc w:val="left"/>
                  </w:pPr>
                  <w:r>
                    <w:rPr>
                      <w:sz w:val="16"/>
                    </w:rPr>
                    <w:t>.03</w:t>
                  </w:r>
                </w:p>
              </w:tc>
              <w:tc>
                <w:tcPr>
                  <w:tcW w:w="610" w:type="dxa"/>
                  <w:tcBorders>
                    <w:top w:val="nil"/>
                    <w:left w:val="nil"/>
                    <w:bottom w:val="nil"/>
                    <w:right w:val="nil"/>
                  </w:tcBorders>
                </w:tcPr>
                <w:p w:rsidR="00157A70" w:rsidRDefault="00316F15" w:rsidP="00E25B31">
                  <w:pPr>
                    <w:framePr w:wrap="around" w:vAnchor="text" w:hAnchor="margin"/>
                    <w:spacing w:after="0" w:line="259" w:lineRule="auto"/>
                    <w:ind w:left="177" w:right="0" w:firstLine="0"/>
                    <w:suppressOverlap/>
                    <w:jc w:val="left"/>
                  </w:pPr>
                  <w:r>
                    <w:rPr>
                      <w:sz w:val="16"/>
                    </w:rPr>
                    <w:t>.01</w:t>
                  </w:r>
                </w:p>
              </w:tc>
            </w:tr>
            <w:tr w:rsidR="00157A70">
              <w:trPr>
                <w:trHeight w:val="180"/>
              </w:trPr>
              <w:tc>
                <w:tcPr>
                  <w:tcW w:w="2375" w:type="dxa"/>
                  <w:tcBorders>
                    <w:top w:val="nil"/>
                    <w:left w:val="nil"/>
                    <w:bottom w:val="nil"/>
                    <w:right w:val="nil"/>
                  </w:tcBorders>
                </w:tcPr>
                <w:p w:rsidR="00157A70" w:rsidRDefault="00316F15" w:rsidP="00E25B31">
                  <w:pPr>
                    <w:framePr w:wrap="around" w:vAnchor="text" w:hAnchor="margin"/>
                    <w:spacing w:after="0" w:line="259" w:lineRule="auto"/>
                    <w:ind w:left="160" w:right="0" w:firstLine="0"/>
                    <w:suppressOverlap/>
                    <w:jc w:val="left"/>
                  </w:pPr>
                  <w:r>
                    <w:rPr>
                      <w:sz w:val="16"/>
                    </w:rPr>
                    <w:t>To avoid decisions ()</w:t>
                  </w:r>
                </w:p>
              </w:tc>
              <w:tc>
                <w:tcPr>
                  <w:tcW w:w="824" w:type="dxa"/>
                  <w:tcBorders>
                    <w:top w:val="nil"/>
                    <w:left w:val="nil"/>
                    <w:bottom w:val="nil"/>
                    <w:right w:val="nil"/>
                  </w:tcBorders>
                </w:tcPr>
                <w:p w:rsidR="00157A70" w:rsidRDefault="00316F15" w:rsidP="00E25B31">
                  <w:pPr>
                    <w:framePr w:wrap="around" w:vAnchor="text" w:hAnchor="margin"/>
                    <w:spacing w:after="0" w:line="259" w:lineRule="auto"/>
                    <w:ind w:left="30" w:right="0" w:firstLine="0"/>
                    <w:suppressOverlap/>
                    <w:jc w:val="left"/>
                  </w:pPr>
                  <w:r>
                    <w:rPr>
                      <w:sz w:val="16"/>
                    </w:rPr>
                    <w:t>.08</w:t>
                  </w:r>
                </w:p>
              </w:tc>
              <w:tc>
                <w:tcPr>
                  <w:tcW w:w="1122" w:type="dxa"/>
                  <w:tcBorders>
                    <w:top w:val="nil"/>
                    <w:left w:val="nil"/>
                    <w:bottom w:val="nil"/>
                    <w:right w:val="nil"/>
                  </w:tcBorders>
                </w:tcPr>
                <w:p w:rsidR="00157A70" w:rsidRDefault="00316F15" w:rsidP="00E25B31">
                  <w:pPr>
                    <w:framePr w:wrap="around" w:vAnchor="text" w:hAnchor="margin"/>
                    <w:spacing w:after="0" w:line="259" w:lineRule="auto"/>
                    <w:ind w:left="188" w:right="0" w:firstLine="0"/>
                    <w:suppressOverlap/>
                    <w:jc w:val="left"/>
                  </w:pPr>
                  <w:r>
                    <w:rPr>
                      <w:sz w:val="16"/>
                    </w:rPr>
                    <w:t>.07</w:t>
                  </w:r>
                </w:p>
              </w:tc>
              <w:tc>
                <w:tcPr>
                  <w:tcW w:w="842" w:type="dxa"/>
                  <w:tcBorders>
                    <w:top w:val="nil"/>
                    <w:left w:val="nil"/>
                    <w:bottom w:val="nil"/>
                    <w:right w:val="nil"/>
                  </w:tcBorders>
                </w:tcPr>
                <w:p w:rsidR="00157A70" w:rsidRDefault="00316F15" w:rsidP="00E25B31">
                  <w:pPr>
                    <w:framePr w:wrap="around" w:vAnchor="text" w:hAnchor="margin"/>
                    <w:spacing w:after="0" w:line="259" w:lineRule="auto"/>
                    <w:ind w:left="48" w:right="0" w:firstLine="0"/>
                    <w:suppressOverlap/>
                    <w:jc w:val="left"/>
                  </w:pPr>
                  <w:r>
                    <w:rPr>
                      <w:sz w:val="16"/>
                    </w:rPr>
                    <w:t>.06</w:t>
                  </w:r>
                </w:p>
              </w:tc>
              <w:tc>
                <w:tcPr>
                  <w:tcW w:w="811" w:type="dxa"/>
                  <w:tcBorders>
                    <w:top w:val="nil"/>
                    <w:left w:val="nil"/>
                    <w:bottom w:val="nil"/>
                    <w:right w:val="nil"/>
                  </w:tcBorders>
                </w:tcPr>
                <w:p w:rsidR="00157A70" w:rsidRDefault="00316F15" w:rsidP="00E25B31">
                  <w:pPr>
                    <w:framePr w:wrap="around" w:vAnchor="text" w:hAnchor="margin"/>
                    <w:spacing w:after="0" w:line="259" w:lineRule="auto"/>
                    <w:ind w:left="30" w:right="0" w:firstLine="0"/>
                    <w:suppressOverlap/>
                    <w:jc w:val="left"/>
                  </w:pPr>
                  <w:r>
                    <w:rPr>
                      <w:sz w:val="16"/>
                    </w:rPr>
                    <w:t>.14</w:t>
                  </w:r>
                  <w:r>
                    <w:rPr>
                      <w:sz w:val="16"/>
                      <w:vertAlign w:val="superscript"/>
                    </w:rPr>
                    <w:t>*</w:t>
                  </w:r>
                </w:p>
              </w:tc>
              <w:tc>
                <w:tcPr>
                  <w:tcW w:w="922" w:type="dxa"/>
                  <w:tcBorders>
                    <w:top w:val="nil"/>
                    <w:left w:val="nil"/>
                    <w:bottom w:val="nil"/>
                    <w:right w:val="nil"/>
                  </w:tcBorders>
                </w:tcPr>
                <w:p w:rsidR="00157A70" w:rsidRDefault="00316F15" w:rsidP="00E25B31">
                  <w:pPr>
                    <w:framePr w:wrap="around" w:vAnchor="text" w:hAnchor="margin"/>
                    <w:spacing w:after="0" w:line="259" w:lineRule="auto"/>
                    <w:ind w:left="85" w:right="0" w:firstLine="0"/>
                    <w:suppressOverlap/>
                    <w:jc w:val="left"/>
                  </w:pPr>
                  <w:r>
                    <w:rPr>
                      <w:sz w:val="16"/>
                    </w:rPr>
                    <w:t>.15</w:t>
                  </w:r>
                  <w:r>
                    <w:rPr>
                      <w:sz w:val="16"/>
                      <w:vertAlign w:val="superscript"/>
                    </w:rPr>
                    <w:t>**</w:t>
                  </w:r>
                </w:p>
              </w:tc>
              <w:tc>
                <w:tcPr>
                  <w:tcW w:w="975" w:type="dxa"/>
                  <w:tcBorders>
                    <w:top w:val="nil"/>
                    <w:left w:val="nil"/>
                    <w:bottom w:val="nil"/>
                    <w:right w:val="nil"/>
                  </w:tcBorders>
                </w:tcPr>
                <w:p w:rsidR="00157A70" w:rsidRDefault="00316F15" w:rsidP="00E25B31">
                  <w:pPr>
                    <w:framePr w:wrap="around" w:vAnchor="text" w:hAnchor="margin"/>
                    <w:spacing w:after="0" w:line="259" w:lineRule="auto"/>
                    <w:ind w:left="112" w:right="0" w:firstLine="0"/>
                    <w:suppressOverlap/>
                    <w:jc w:val="left"/>
                  </w:pPr>
                  <w:r>
                    <w:rPr>
                      <w:sz w:val="16"/>
                    </w:rPr>
                    <w:t>.18</w:t>
                  </w:r>
                  <w:r>
                    <w:rPr>
                      <w:sz w:val="16"/>
                      <w:vertAlign w:val="superscript"/>
                    </w:rPr>
                    <w:t>**</w:t>
                  </w:r>
                </w:p>
              </w:tc>
              <w:tc>
                <w:tcPr>
                  <w:tcW w:w="642" w:type="dxa"/>
                  <w:tcBorders>
                    <w:top w:val="nil"/>
                    <w:left w:val="nil"/>
                    <w:bottom w:val="nil"/>
                    <w:right w:val="nil"/>
                  </w:tcBorders>
                </w:tcPr>
                <w:p w:rsidR="00157A70" w:rsidRDefault="00316F15" w:rsidP="00E25B31">
                  <w:pPr>
                    <w:framePr w:wrap="around" w:vAnchor="text" w:hAnchor="margin"/>
                    <w:spacing w:after="0" w:line="259" w:lineRule="auto"/>
                    <w:ind w:left="169" w:right="0" w:firstLine="0"/>
                    <w:suppressOverlap/>
                    <w:jc w:val="left"/>
                  </w:pPr>
                  <w:r>
                    <w:rPr>
                      <w:sz w:val="16"/>
                    </w:rPr>
                    <w:t>.01</w:t>
                  </w:r>
                </w:p>
              </w:tc>
              <w:tc>
                <w:tcPr>
                  <w:tcW w:w="837" w:type="dxa"/>
                  <w:tcBorders>
                    <w:top w:val="nil"/>
                    <w:left w:val="nil"/>
                    <w:bottom w:val="nil"/>
                    <w:right w:val="nil"/>
                  </w:tcBorders>
                </w:tcPr>
                <w:p w:rsidR="00157A70" w:rsidRDefault="00316F15" w:rsidP="00E25B31">
                  <w:pPr>
                    <w:framePr w:wrap="around" w:vAnchor="text" w:hAnchor="margin"/>
                    <w:spacing w:after="0" w:line="259" w:lineRule="auto"/>
                    <w:ind w:left="43" w:right="0" w:firstLine="0"/>
                    <w:suppressOverlap/>
                    <w:jc w:val="left"/>
                  </w:pPr>
                  <w:r>
                    <w:rPr>
                      <w:sz w:val="16"/>
                    </w:rPr>
                    <w:t>.21</w:t>
                  </w:r>
                  <w:r>
                    <w:rPr>
                      <w:sz w:val="10"/>
                    </w:rPr>
                    <w:t>***</w:t>
                  </w:r>
                </w:p>
              </w:tc>
              <w:tc>
                <w:tcPr>
                  <w:tcW w:w="610" w:type="dxa"/>
                  <w:tcBorders>
                    <w:top w:val="nil"/>
                    <w:left w:val="nil"/>
                    <w:bottom w:val="nil"/>
                    <w:right w:val="nil"/>
                  </w:tcBorders>
                </w:tcPr>
                <w:p w:rsidR="00157A70" w:rsidRDefault="00316F15" w:rsidP="00E25B31">
                  <w:pPr>
                    <w:framePr w:wrap="around" w:vAnchor="text" w:hAnchor="margin"/>
                    <w:spacing w:after="0" w:line="259" w:lineRule="auto"/>
                    <w:ind w:left="43" w:right="0" w:firstLine="0"/>
                    <w:suppressOverlap/>
                  </w:pPr>
                  <w:r>
                    <w:rPr>
                      <w:sz w:val="16"/>
                    </w:rPr>
                    <w:t>.29</w:t>
                  </w:r>
                  <w:r>
                    <w:rPr>
                      <w:sz w:val="10"/>
                    </w:rPr>
                    <w:t>***</w:t>
                  </w:r>
                </w:p>
              </w:tc>
            </w:tr>
            <w:tr w:rsidR="00157A70">
              <w:trPr>
                <w:trHeight w:val="182"/>
              </w:trPr>
              <w:tc>
                <w:tcPr>
                  <w:tcW w:w="2375" w:type="dxa"/>
                  <w:tcBorders>
                    <w:top w:val="nil"/>
                    <w:left w:val="nil"/>
                    <w:bottom w:val="nil"/>
                    <w:right w:val="nil"/>
                  </w:tcBorders>
                </w:tcPr>
                <w:p w:rsidR="00157A70" w:rsidRDefault="00316F15" w:rsidP="00E25B31">
                  <w:pPr>
                    <w:framePr w:wrap="around" w:vAnchor="text" w:hAnchor="margin"/>
                    <w:spacing w:after="0" w:line="259" w:lineRule="auto"/>
                    <w:ind w:left="160" w:right="0" w:firstLine="0"/>
                    <w:suppressOverlap/>
                    <w:jc w:val="left"/>
                  </w:pPr>
                  <w:r>
                    <w:rPr>
                      <w:sz w:val="16"/>
                    </w:rPr>
                    <w:t>To decide spontaneously ()</w:t>
                  </w:r>
                </w:p>
              </w:tc>
              <w:tc>
                <w:tcPr>
                  <w:tcW w:w="824" w:type="dxa"/>
                  <w:tcBorders>
                    <w:top w:val="nil"/>
                    <w:left w:val="nil"/>
                    <w:bottom w:val="nil"/>
                    <w:right w:val="nil"/>
                  </w:tcBorders>
                </w:tcPr>
                <w:p w:rsidR="00157A70" w:rsidRDefault="00316F15" w:rsidP="00E25B31">
                  <w:pPr>
                    <w:framePr w:wrap="around" w:vAnchor="text" w:hAnchor="margin"/>
                    <w:spacing w:after="0" w:line="259" w:lineRule="auto"/>
                    <w:ind w:left="30" w:right="0" w:firstLine="0"/>
                    <w:suppressOverlap/>
                    <w:jc w:val="left"/>
                  </w:pPr>
                  <w:r>
                    <w:rPr>
                      <w:sz w:val="16"/>
                    </w:rPr>
                    <w:t>.15</w:t>
                  </w:r>
                  <w:r>
                    <w:rPr>
                      <w:sz w:val="16"/>
                      <w:vertAlign w:val="superscript"/>
                    </w:rPr>
                    <w:t>**</w:t>
                  </w:r>
                </w:p>
              </w:tc>
              <w:tc>
                <w:tcPr>
                  <w:tcW w:w="1122" w:type="dxa"/>
                  <w:tcBorders>
                    <w:top w:val="nil"/>
                    <w:left w:val="nil"/>
                    <w:bottom w:val="nil"/>
                    <w:right w:val="nil"/>
                  </w:tcBorders>
                </w:tcPr>
                <w:p w:rsidR="00157A70" w:rsidRDefault="00316F15" w:rsidP="00E25B31">
                  <w:pPr>
                    <w:framePr w:wrap="around" w:vAnchor="text" w:hAnchor="margin"/>
                    <w:spacing w:after="0" w:line="259" w:lineRule="auto"/>
                    <w:ind w:left="188" w:right="0" w:firstLine="0"/>
                    <w:suppressOverlap/>
                    <w:jc w:val="left"/>
                  </w:pPr>
                  <w:r>
                    <w:rPr>
                      <w:sz w:val="16"/>
                    </w:rPr>
                    <w:t>.07</w:t>
                  </w:r>
                </w:p>
              </w:tc>
              <w:tc>
                <w:tcPr>
                  <w:tcW w:w="842" w:type="dxa"/>
                  <w:tcBorders>
                    <w:top w:val="nil"/>
                    <w:left w:val="nil"/>
                    <w:bottom w:val="nil"/>
                    <w:right w:val="nil"/>
                  </w:tcBorders>
                </w:tcPr>
                <w:p w:rsidR="00157A70" w:rsidRDefault="00316F15" w:rsidP="00E25B31">
                  <w:pPr>
                    <w:framePr w:wrap="around" w:vAnchor="text" w:hAnchor="margin"/>
                    <w:spacing w:after="0" w:line="259" w:lineRule="auto"/>
                    <w:ind w:left="48" w:right="0" w:firstLine="0"/>
                    <w:suppressOverlap/>
                    <w:jc w:val="left"/>
                  </w:pPr>
                  <w:r>
                    <w:rPr>
                      <w:sz w:val="16"/>
                    </w:rPr>
                    <w:t>.20</w:t>
                  </w:r>
                  <w:r>
                    <w:rPr>
                      <w:sz w:val="10"/>
                    </w:rPr>
                    <w:t>***</w:t>
                  </w:r>
                </w:p>
              </w:tc>
              <w:tc>
                <w:tcPr>
                  <w:tcW w:w="811" w:type="dxa"/>
                  <w:tcBorders>
                    <w:top w:val="nil"/>
                    <w:left w:val="nil"/>
                    <w:bottom w:val="nil"/>
                    <w:right w:val="nil"/>
                  </w:tcBorders>
                </w:tcPr>
                <w:p w:rsidR="00157A70" w:rsidRDefault="00316F15" w:rsidP="00E25B31">
                  <w:pPr>
                    <w:framePr w:wrap="around" w:vAnchor="text" w:hAnchor="margin"/>
                    <w:spacing w:after="0" w:line="259" w:lineRule="auto"/>
                    <w:ind w:left="30" w:right="0" w:firstLine="0"/>
                    <w:suppressOverlap/>
                    <w:jc w:val="left"/>
                  </w:pPr>
                  <w:r>
                    <w:rPr>
                      <w:sz w:val="16"/>
                    </w:rPr>
                    <w:t>.28</w:t>
                  </w:r>
                  <w:r>
                    <w:rPr>
                      <w:sz w:val="10"/>
                    </w:rPr>
                    <w:t>***</w:t>
                  </w:r>
                </w:p>
              </w:tc>
              <w:tc>
                <w:tcPr>
                  <w:tcW w:w="922" w:type="dxa"/>
                  <w:tcBorders>
                    <w:top w:val="nil"/>
                    <w:left w:val="nil"/>
                    <w:bottom w:val="nil"/>
                    <w:right w:val="nil"/>
                  </w:tcBorders>
                </w:tcPr>
                <w:p w:rsidR="00157A70" w:rsidRDefault="00316F15" w:rsidP="00E25B31">
                  <w:pPr>
                    <w:framePr w:wrap="around" w:vAnchor="text" w:hAnchor="margin"/>
                    <w:spacing w:after="0" w:line="259" w:lineRule="auto"/>
                    <w:ind w:left="85" w:right="0" w:firstLine="0"/>
                    <w:suppressOverlap/>
                    <w:jc w:val="left"/>
                  </w:pPr>
                  <w:r>
                    <w:rPr>
                      <w:sz w:val="16"/>
                    </w:rPr>
                    <w:t>.17</w:t>
                  </w:r>
                  <w:r>
                    <w:rPr>
                      <w:sz w:val="16"/>
                      <w:vertAlign w:val="superscript"/>
                    </w:rPr>
                    <w:t>**</w:t>
                  </w:r>
                </w:p>
              </w:tc>
              <w:tc>
                <w:tcPr>
                  <w:tcW w:w="975" w:type="dxa"/>
                  <w:tcBorders>
                    <w:top w:val="nil"/>
                    <w:left w:val="nil"/>
                    <w:bottom w:val="nil"/>
                    <w:right w:val="nil"/>
                  </w:tcBorders>
                </w:tcPr>
                <w:p w:rsidR="00157A70" w:rsidRDefault="00316F15" w:rsidP="00E25B31">
                  <w:pPr>
                    <w:framePr w:wrap="around" w:vAnchor="text" w:hAnchor="margin"/>
                    <w:spacing w:after="0" w:line="259" w:lineRule="auto"/>
                    <w:ind w:left="112" w:right="0" w:firstLine="0"/>
                    <w:suppressOverlap/>
                    <w:jc w:val="left"/>
                  </w:pPr>
                  <w:r>
                    <w:rPr>
                      <w:sz w:val="16"/>
                    </w:rPr>
                    <w:t>.12</w:t>
                  </w:r>
                  <w:r>
                    <w:rPr>
                      <w:sz w:val="16"/>
                      <w:vertAlign w:val="superscript"/>
                    </w:rPr>
                    <w:t>*</w:t>
                  </w:r>
                </w:p>
              </w:tc>
              <w:tc>
                <w:tcPr>
                  <w:tcW w:w="642" w:type="dxa"/>
                  <w:tcBorders>
                    <w:top w:val="nil"/>
                    <w:left w:val="nil"/>
                    <w:bottom w:val="nil"/>
                    <w:right w:val="nil"/>
                  </w:tcBorders>
                </w:tcPr>
                <w:p w:rsidR="00157A70" w:rsidRDefault="00316F15" w:rsidP="00E25B31">
                  <w:pPr>
                    <w:framePr w:wrap="around" w:vAnchor="text" w:hAnchor="margin"/>
                    <w:spacing w:after="0" w:line="259" w:lineRule="auto"/>
                    <w:ind w:left="36" w:right="0" w:firstLine="0"/>
                    <w:suppressOverlap/>
                    <w:jc w:val="left"/>
                  </w:pPr>
                  <w:r>
                    <w:rPr>
                      <w:sz w:val="16"/>
                    </w:rPr>
                    <w:t>.08</w:t>
                  </w:r>
                </w:p>
              </w:tc>
              <w:tc>
                <w:tcPr>
                  <w:tcW w:w="837" w:type="dxa"/>
                  <w:tcBorders>
                    <w:top w:val="nil"/>
                    <w:left w:val="nil"/>
                    <w:bottom w:val="nil"/>
                    <w:right w:val="nil"/>
                  </w:tcBorders>
                </w:tcPr>
                <w:p w:rsidR="00157A70" w:rsidRDefault="00316F15" w:rsidP="00E25B31">
                  <w:pPr>
                    <w:framePr w:wrap="around" w:vAnchor="text" w:hAnchor="margin"/>
                    <w:spacing w:after="0" w:line="259" w:lineRule="auto"/>
                    <w:ind w:left="43" w:right="0" w:firstLine="0"/>
                    <w:suppressOverlap/>
                    <w:jc w:val="left"/>
                  </w:pPr>
                  <w:r>
                    <w:rPr>
                      <w:sz w:val="16"/>
                    </w:rPr>
                    <w:t>.29</w:t>
                  </w:r>
                  <w:r>
                    <w:rPr>
                      <w:sz w:val="10"/>
                    </w:rPr>
                    <w:t>***</w:t>
                  </w:r>
                </w:p>
              </w:tc>
              <w:tc>
                <w:tcPr>
                  <w:tcW w:w="610" w:type="dxa"/>
                  <w:tcBorders>
                    <w:top w:val="nil"/>
                    <w:left w:val="nil"/>
                    <w:bottom w:val="nil"/>
                    <w:right w:val="nil"/>
                  </w:tcBorders>
                </w:tcPr>
                <w:p w:rsidR="00157A70" w:rsidRDefault="00316F15" w:rsidP="00E25B31">
                  <w:pPr>
                    <w:framePr w:wrap="around" w:vAnchor="text" w:hAnchor="margin"/>
                    <w:spacing w:after="0" w:line="259" w:lineRule="auto"/>
                    <w:ind w:left="43" w:right="0" w:firstLine="0"/>
                    <w:suppressOverlap/>
                  </w:pPr>
                  <w:r>
                    <w:rPr>
                      <w:sz w:val="16"/>
                    </w:rPr>
                    <w:t>.33</w:t>
                  </w:r>
                  <w:r>
                    <w:rPr>
                      <w:sz w:val="10"/>
                    </w:rPr>
                    <w:t>***</w:t>
                  </w:r>
                </w:p>
              </w:tc>
            </w:tr>
            <w:tr w:rsidR="00157A70">
              <w:trPr>
                <w:trHeight w:val="189"/>
              </w:trPr>
              <w:tc>
                <w:tcPr>
                  <w:tcW w:w="2375" w:type="dxa"/>
                  <w:tcBorders>
                    <w:top w:val="nil"/>
                    <w:left w:val="nil"/>
                    <w:bottom w:val="nil"/>
                    <w:right w:val="nil"/>
                  </w:tcBorders>
                </w:tcPr>
                <w:p w:rsidR="00157A70" w:rsidRDefault="00316F15" w:rsidP="00E25B31">
                  <w:pPr>
                    <w:framePr w:wrap="around" w:vAnchor="text" w:hAnchor="margin"/>
                    <w:spacing w:after="0" w:line="259" w:lineRule="auto"/>
                    <w:ind w:left="320" w:right="0" w:firstLine="0"/>
                    <w:suppressOverlap/>
                    <w:jc w:val="left"/>
                  </w:pPr>
                  <w:r>
                    <w:rPr>
                      <w:sz w:val="16"/>
                    </w:rPr>
                    <w:t>Overall</w:t>
                  </w:r>
                </w:p>
              </w:tc>
              <w:tc>
                <w:tcPr>
                  <w:tcW w:w="824" w:type="dxa"/>
                  <w:tcBorders>
                    <w:top w:val="nil"/>
                    <w:left w:val="nil"/>
                    <w:bottom w:val="nil"/>
                    <w:right w:val="nil"/>
                  </w:tcBorders>
                </w:tcPr>
                <w:p w:rsidR="00157A70" w:rsidRDefault="00316F15" w:rsidP="00E25B31">
                  <w:pPr>
                    <w:framePr w:wrap="around" w:vAnchor="text" w:hAnchor="margin"/>
                    <w:spacing w:after="0" w:line="259" w:lineRule="auto"/>
                    <w:ind w:left="216" w:right="0" w:firstLine="0"/>
                    <w:suppressOverlap/>
                    <w:jc w:val="left"/>
                  </w:pPr>
                  <w:r>
                    <w:rPr>
                      <w:i/>
                      <w:sz w:val="16"/>
                    </w:rPr>
                    <w:t>ns</w:t>
                  </w:r>
                </w:p>
              </w:tc>
              <w:tc>
                <w:tcPr>
                  <w:tcW w:w="1122" w:type="dxa"/>
                  <w:tcBorders>
                    <w:top w:val="nil"/>
                    <w:left w:val="nil"/>
                    <w:bottom w:val="nil"/>
                    <w:right w:val="nil"/>
                  </w:tcBorders>
                </w:tcPr>
                <w:p w:rsidR="00157A70" w:rsidRDefault="00316F15" w:rsidP="00E25B31">
                  <w:pPr>
                    <w:framePr w:wrap="around" w:vAnchor="text" w:hAnchor="margin"/>
                    <w:spacing w:after="0" w:line="259" w:lineRule="auto"/>
                    <w:ind w:left="184" w:right="0" w:firstLine="0"/>
                    <w:suppressOverlap/>
                    <w:jc w:val="left"/>
                  </w:pPr>
                  <w:proofErr w:type="gramStart"/>
                  <w:r>
                    <w:rPr>
                      <w:i/>
                      <w:sz w:val="16"/>
                    </w:rPr>
                    <w:t xml:space="preserve">p </w:t>
                  </w:r>
                  <w:r>
                    <w:rPr>
                      <w:rFonts w:ascii="Calibri" w:eastAsia="Calibri" w:hAnsi="Calibri" w:cs="Calibri"/>
                      <w:sz w:val="16"/>
                    </w:rPr>
                    <w:t xml:space="preserve"> </w:t>
                  </w:r>
                  <w:r>
                    <w:rPr>
                      <w:sz w:val="16"/>
                    </w:rPr>
                    <w:t>.</w:t>
                  </w:r>
                  <w:proofErr w:type="gramEnd"/>
                  <w:r>
                    <w:rPr>
                      <w:sz w:val="16"/>
                    </w:rPr>
                    <w:t>05</w:t>
                  </w:r>
                </w:p>
              </w:tc>
              <w:tc>
                <w:tcPr>
                  <w:tcW w:w="842" w:type="dxa"/>
                  <w:tcBorders>
                    <w:top w:val="nil"/>
                    <w:left w:val="nil"/>
                    <w:bottom w:val="nil"/>
                    <w:right w:val="nil"/>
                  </w:tcBorders>
                </w:tcPr>
                <w:p w:rsidR="00157A70" w:rsidRDefault="00316F15" w:rsidP="00E25B31">
                  <w:pPr>
                    <w:framePr w:wrap="around" w:vAnchor="text" w:hAnchor="margin"/>
                    <w:spacing w:after="0" w:line="259" w:lineRule="auto"/>
                    <w:ind w:left="4" w:right="0" w:firstLine="0"/>
                    <w:suppressOverlap/>
                    <w:jc w:val="left"/>
                  </w:pPr>
                  <w:proofErr w:type="gramStart"/>
                  <w:r>
                    <w:rPr>
                      <w:i/>
                      <w:sz w:val="16"/>
                    </w:rPr>
                    <w:t xml:space="preserve">p </w:t>
                  </w:r>
                  <w:r>
                    <w:rPr>
                      <w:rFonts w:ascii="Calibri" w:eastAsia="Calibri" w:hAnsi="Calibri" w:cs="Calibri"/>
                      <w:sz w:val="16"/>
                    </w:rPr>
                    <w:t xml:space="preserve"> </w:t>
                  </w:r>
                  <w:r>
                    <w:rPr>
                      <w:sz w:val="16"/>
                    </w:rPr>
                    <w:t>.</w:t>
                  </w:r>
                  <w:proofErr w:type="gramEnd"/>
                  <w:r>
                    <w:rPr>
                      <w:sz w:val="16"/>
                    </w:rPr>
                    <w:t>001</w:t>
                  </w:r>
                </w:p>
              </w:tc>
              <w:tc>
                <w:tcPr>
                  <w:tcW w:w="811" w:type="dxa"/>
                  <w:tcBorders>
                    <w:top w:val="nil"/>
                    <w:left w:val="nil"/>
                    <w:bottom w:val="nil"/>
                    <w:right w:val="nil"/>
                  </w:tcBorders>
                </w:tcPr>
                <w:p w:rsidR="00157A70" w:rsidRDefault="00316F15" w:rsidP="00E25B31">
                  <w:pPr>
                    <w:framePr w:wrap="around" w:vAnchor="text" w:hAnchor="margin"/>
                    <w:spacing w:after="0" w:line="259" w:lineRule="auto"/>
                    <w:ind w:left="27" w:right="0" w:firstLine="0"/>
                    <w:suppressOverlap/>
                    <w:jc w:val="left"/>
                  </w:pPr>
                  <w:proofErr w:type="gramStart"/>
                  <w:r>
                    <w:rPr>
                      <w:i/>
                      <w:sz w:val="16"/>
                    </w:rPr>
                    <w:t xml:space="preserve">p </w:t>
                  </w:r>
                  <w:r>
                    <w:rPr>
                      <w:rFonts w:ascii="Calibri" w:eastAsia="Calibri" w:hAnsi="Calibri" w:cs="Calibri"/>
                      <w:sz w:val="16"/>
                    </w:rPr>
                    <w:t xml:space="preserve"> </w:t>
                  </w:r>
                  <w:r>
                    <w:rPr>
                      <w:sz w:val="16"/>
                    </w:rPr>
                    <w:t>.</w:t>
                  </w:r>
                  <w:proofErr w:type="gramEnd"/>
                  <w:r>
                    <w:rPr>
                      <w:sz w:val="16"/>
                    </w:rPr>
                    <w:t>01</w:t>
                  </w:r>
                </w:p>
              </w:tc>
              <w:tc>
                <w:tcPr>
                  <w:tcW w:w="922" w:type="dxa"/>
                  <w:tcBorders>
                    <w:top w:val="nil"/>
                    <w:left w:val="nil"/>
                    <w:bottom w:val="nil"/>
                    <w:right w:val="nil"/>
                  </w:tcBorders>
                </w:tcPr>
                <w:p w:rsidR="00157A70" w:rsidRDefault="00316F15" w:rsidP="00E25B31">
                  <w:pPr>
                    <w:framePr w:wrap="around" w:vAnchor="text" w:hAnchor="margin"/>
                    <w:spacing w:after="0" w:line="259" w:lineRule="auto"/>
                    <w:ind w:left="42" w:right="0" w:firstLine="0"/>
                    <w:suppressOverlap/>
                    <w:jc w:val="left"/>
                  </w:pPr>
                  <w:proofErr w:type="gramStart"/>
                  <w:r>
                    <w:rPr>
                      <w:i/>
                      <w:sz w:val="16"/>
                    </w:rPr>
                    <w:t xml:space="preserve">p </w:t>
                  </w:r>
                  <w:r>
                    <w:rPr>
                      <w:rFonts w:ascii="Calibri" w:eastAsia="Calibri" w:hAnsi="Calibri" w:cs="Calibri"/>
                      <w:sz w:val="16"/>
                    </w:rPr>
                    <w:t xml:space="preserve"> </w:t>
                  </w:r>
                  <w:r>
                    <w:rPr>
                      <w:sz w:val="16"/>
                    </w:rPr>
                    <w:t>.</w:t>
                  </w:r>
                  <w:proofErr w:type="gramEnd"/>
                  <w:r>
                    <w:rPr>
                      <w:sz w:val="16"/>
                    </w:rPr>
                    <w:t>001</w:t>
                  </w:r>
                </w:p>
              </w:tc>
              <w:tc>
                <w:tcPr>
                  <w:tcW w:w="975" w:type="dxa"/>
                  <w:tcBorders>
                    <w:top w:val="nil"/>
                    <w:left w:val="nil"/>
                    <w:bottom w:val="nil"/>
                    <w:right w:val="nil"/>
                  </w:tcBorders>
                </w:tcPr>
                <w:p w:rsidR="00157A70" w:rsidRDefault="00316F15" w:rsidP="00E25B31">
                  <w:pPr>
                    <w:framePr w:wrap="around" w:vAnchor="text" w:hAnchor="margin"/>
                    <w:spacing w:after="0" w:line="259" w:lineRule="auto"/>
                    <w:ind w:left="69" w:right="0" w:firstLine="0"/>
                    <w:suppressOverlap/>
                    <w:jc w:val="left"/>
                  </w:pPr>
                  <w:proofErr w:type="gramStart"/>
                  <w:r>
                    <w:rPr>
                      <w:i/>
                      <w:sz w:val="16"/>
                    </w:rPr>
                    <w:t xml:space="preserve">p </w:t>
                  </w:r>
                  <w:r>
                    <w:rPr>
                      <w:rFonts w:ascii="Calibri" w:eastAsia="Calibri" w:hAnsi="Calibri" w:cs="Calibri"/>
                      <w:sz w:val="16"/>
                    </w:rPr>
                    <w:t xml:space="preserve"> </w:t>
                  </w:r>
                  <w:r>
                    <w:rPr>
                      <w:sz w:val="16"/>
                    </w:rPr>
                    <w:t>.</w:t>
                  </w:r>
                  <w:proofErr w:type="gramEnd"/>
                  <w:r>
                    <w:rPr>
                      <w:sz w:val="16"/>
                    </w:rPr>
                    <w:t>001</w:t>
                  </w:r>
                </w:p>
              </w:tc>
              <w:tc>
                <w:tcPr>
                  <w:tcW w:w="642" w:type="dxa"/>
                  <w:tcBorders>
                    <w:top w:val="nil"/>
                    <w:left w:val="nil"/>
                    <w:bottom w:val="nil"/>
                    <w:right w:val="nil"/>
                  </w:tcBorders>
                </w:tcPr>
                <w:p w:rsidR="00157A70" w:rsidRDefault="00316F15" w:rsidP="00E25B31">
                  <w:pPr>
                    <w:framePr w:wrap="around" w:vAnchor="text" w:hAnchor="margin"/>
                    <w:spacing w:after="0" w:line="259" w:lineRule="auto"/>
                    <w:ind w:left="131" w:right="0" w:firstLine="0"/>
                    <w:suppressOverlap/>
                    <w:jc w:val="left"/>
                  </w:pPr>
                  <w:r>
                    <w:rPr>
                      <w:i/>
                      <w:sz w:val="16"/>
                    </w:rPr>
                    <w:t>ns</w:t>
                  </w:r>
                </w:p>
              </w:tc>
              <w:tc>
                <w:tcPr>
                  <w:tcW w:w="837"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proofErr w:type="gramStart"/>
                  <w:r>
                    <w:rPr>
                      <w:i/>
                      <w:sz w:val="16"/>
                    </w:rPr>
                    <w:t xml:space="preserve">p </w:t>
                  </w:r>
                  <w:r>
                    <w:rPr>
                      <w:rFonts w:ascii="Calibri" w:eastAsia="Calibri" w:hAnsi="Calibri" w:cs="Calibri"/>
                      <w:sz w:val="16"/>
                    </w:rPr>
                    <w:t xml:space="preserve"> </w:t>
                  </w:r>
                  <w:r>
                    <w:rPr>
                      <w:sz w:val="16"/>
                    </w:rPr>
                    <w:t>.</w:t>
                  </w:r>
                  <w:proofErr w:type="gramEnd"/>
                  <w:r>
                    <w:rPr>
                      <w:sz w:val="16"/>
                    </w:rPr>
                    <w:t>001</w:t>
                  </w:r>
                </w:p>
              </w:tc>
              <w:tc>
                <w:tcPr>
                  <w:tcW w:w="610"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pPr>
                  <w:proofErr w:type="gramStart"/>
                  <w:r>
                    <w:rPr>
                      <w:i/>
                      <w:sz w:val="16"/>
                    </w:rPr>
                    <w:t xml:space="preserve">p </w:t>
                  </w:r>
                  <w:r>
                    <w:rPr>
                      <w:rFonts w:ascii="Calibri" w:eastAsia="Calibri" w:hAnsi="Calibri" w:cs="Calibri"/>
                      <w:sz w:val="16"/>
                    </w:rPr>
                    <w:t xml:space="preserve"> </w:t>
                  </w:r>
                  <w:r>
                    <w:rPr>
                      <w:sz w:val="16"/>
                    </w:rPr>
                    <w:t>.</w:t>
                  </w:r>
                  <w:proofErr w:type="gramEnd"/>
                  <w:r>
                    <w:rPr>
                      <w:sz w:val="16"/>
                    </w:rPr>
                    <w:t>001</w:t>
                  </w:r>
                </w:p>
              </w:tc>
            </w:tr>
            <w:tr w:rsidR="00157A70">
              <w:trPr>
                <w:trHeight w:val="360"/>
              </w:trPr>
              <w:tc>
                <w:tcPr>
                  <w:tcW w:w="2375" w:type="dxa"/>
                  <w:tcBorders>
                    <w:top w:val="nil"/>
                    <w:left w:val="nil"/>
                    <w:bottom w:val="nil"/>
                    <w:right w:val="nil"/>
                  </w:tcBorders>
                </w:tcPr>
                <w:p w:rsidR="00157A70" w:rsidRDefault="00316F15" w:rsidP="00E25B31">
                  <w:pPr>
                    <w:framePr w:wrap="around" w:vAnchor="text" w:hAnchor="margin"/>
                    <w:spacing w:after="0" w:line="259" w:lineRule="auto"/>
                    <w:ind w:left="160" w:right="28" w:hanging="160"/>
                    <w:suppressOverlap/>
                    <w:jc w:val="left"/>
                  </w:pPr>
                  <w:r>
                    <w:rPr>
                      <w:sz w:val="16"/>
                    </w:rPr>
                    <w:t>Experienced decision outcomes DOI ()</w:t>
                  </w:r>
                </w:p>
              </w:tc>
              <w:tc>
                <w:tcPr>
                  <w:tcW w:w="824" w:type="dxa"/>
                  <w:tcBorders>
                    <w:top w:val="nil"/>
                    <w:left w:val="nil"/>
                    <w:bottom w:val="nil"/>
                    <w:right w:val="nil"/>
                  </w:tcBorders>
                  <w:vAlign w:val="bottom"/>
                </w:tcPr>
                <w:p w:rsidR="00157A70" w:rsidRDefault="00316F15" w:rsidP="00E25B31">
                  <w:pPr>
                    <w:framePr w:wrap="around" w:vAnchor="text" w:hAnchor="margin"/>
                    <w:spacing w:after="0" w:line="259" w:lineRule="auto"/>
                    <w:ind w:left="163" w:right="0" w:firstLine="0"/>
                    <w:suppressOverlap/>
                    <w:jc w:val="left"/>
                  </w:pPr>
                  <w:r>
                    <w:rPr>
                      <w:sz w:val="16"/>
                    </w:rPr>
                    <w:t>.03</w:t>
                  </w:r>
                </w:p>
              </w:tc>
              <w:tc>
                <w:tcPr>
                  <w:tcW w:w="1122" w:type="dxa"/>
                  <w:tcBorders>
                    <w:top w:val="nil"/>
                    <w:left w:val="nil"/>
                    <w:bottom w:val="nil"/>
                    <w:right w:val="nil"/>
                  </w:tcBorders>
                  <w:vAlign w:val="bottom"/>
                </w:tcPr>
                <w:p w:rsidR="00157A70" w:rsidRDefault="00316F15" w:rsidP="00E25B31">
                  <w:pPr>
                    <w:framePr w:wrap="around" w:vAnchor="text" w:hAnchor="margin"/>
                    <w:spacing w:after="0" w:line="259" w:lineRule="auto"/>
                    <w:ind w:left="321" w:right="0" w:firstLine="0"/>
                    <w:suppressOverlap/>
                    <w:jc w:val="left"/>
                  </w:pPr>
                  <w:r>
                    <w:rPr>
                      <w:sz w:val="16"/>
                    </w:rPr>
                    <w:t>.25</w:t>
                  </w:r>
                  <w:r>
                    <w:rPr>
                      <w:sz w:val="10"/>
                    </w:rPr>
                    <w:t>***</w:t>
                  </w:r>
                </w:p>
              </w:tc>
              <w:tc>
                <w:tcPr>
                  <w:tcW w:w="842" w:type="dxa"/>
                  <w:tcBorders>
                    <w:top w:val="nil"/>
                    <w:left w:val="nil"/>
                    <w:bottom w:val="nil"/>
                    <w:right w:val="nil"/>
                  </w:tcBorders>
                  <w:vAlign w:val="bottom"/>
                </w:tcPr>
                <w:p w:rsidR="00157A70" w:rsidRDefault="00316F15" w:rsidP="00E25B31">
                  <w:pPr>
                    <w:framePr w:wrap="around" w:vAnchor="text" w:hAnchor="margin"/>
                    <w:spacing w:after="0" w:line="259" w:lineRule="auto"/>
                    <w:ind w:left="181" w:right="0" w:firstLine="0"/>
                    <w:suppressOverlap/>
                    <w:jc w:val="left"/>
                  </w:pPr>
                  <w:r>
                    <w:rPr>
                      <w:sz w:val="16"/>
                    </w:rPr>
                    <w:t>.17</w:t>
                  </w:r>
                  <w:r>
                    <w:rPr>
                      <w:sz w:val="16"/>
                      <w:vertAlign w:val="superscript"/>
                    </w:rPr>
                    <w:t>**</w:t>
                  </w:r>
                </w:p>
              </w:tc>
              <w:tc>
                <w:tcPr>
                  <w:tcW w:w="811" w:type="dxa"/>
                  <w:tcBorders>
                    <w:top w:val="nil"/>
                    <w:left w:val="nil"/>
                    <w:bottom w:val="nil"/>
                    <w:right w:val="nil"/>
                  </w:tcBorders>
                  <w:vAlign w:val="bottom"/>
                </w:tcPr>
                <w:p w:rsidR="00157A70" w:rsidRDefault="00316F15" w:rsidP="00E25B31">
                  <w:pPr>
                    <w:framePr w:wrap="around" w:vAnchor="text" w:hAnchor="margin"/>
                    <w:spacing w:after="0" w:line="259" w:lineRule="auto"/>
                    <w:ind w:left="163" w:right="0" w:firstLine="0"/>
                    <w:suppressOverlap/>
                    <w:jc w:val="left"/>
                  </w:pPr>
                  <w:r>
                    <w:rPr>
                      <w:sz w:val="16"/>
                    </w:rPr>
                    <w:t>.26</w:t>
                  </w:r>
                  <w:r>
                    <w:rPr>
                      <w:sz w:val="10"/>
                    </w:rPr>
                    <w:t>***</w:t>
                  </w:r>
                </w:p>
              </w:tc>
              <w:tc>
                <w:tcPr>
                  <w:tcW w:w="922" w:type="dxa"/>
                  <w:tcBorders>
                    <w:top w:val="nil"/>
                    <w:left w:val="nil"/>
                    <w:bottom w:val="nil"/>
                    <w:right w:val="nil"/>
                  </w:tcBorders>
                  <w:vAlign w:val="bottom"/>
                </w:tcPr>
                <w:p w:rsidR="00157A70" w:rsidRDefault="00316F15" w:rsidP="00E25B31">
                  <w:pPr>
                    <w:framePr w:wrap="around" w:vAnchor="text" w:hAnchor="margin"/>
                    <w:spacing w:after="0" w:line="259" w:lineRule="auto"/>
                    <w:ind w:left="219" w:right="0" w:firstLine="0"/>
                    <w:suppressOverlap/>
                    <w:jc w:val="left"/>
                  </w:pPr>
                  <w:r>
                    <w:rPr>
                      <w:sz w:val="16"/>
                    </w:rPr>
                    <w:t>.20</w:t>
                  </w:r>
                  <w:r>
                    <w:rPr>
                      <w:sz w:val="10"/>
                    </w:rPr>
                    <w:t>***</w:t>
                  </w:r>
                </w:p>
              </w:tc>
              <w:tc>
                <w:tcPr>
                  <w:tcW w:w="975" w:type="dxa"/>
                  <w:tcBorders>
                    <w:top w:val="nil"/>
                    <w:left w:val="nil"/>
                    <w:bottom w:val="nil"/>
                    <w:right w:val="nil"/>
                  </w:tcBorders>
                  <w:vAlign w:val="bottom"/>
                </w:tcPr>
                <w:p w:rsidR="00157A70" w:rsidRDefault="00316F15" w:rsidP="00E25B31">
                  <w:pPr>
                    <w:framePr w:wrap="around" w:vAnchor="text" w:hAnchor="margin"/>
                    <w:spacing w:after="0" w:line="259" w:lineRule="auto"/>
                    <w:ind w:left="246" w:right="0" w:firstLine="0"/>
                    <w:suppressOverlap/>
                    <w:jc w:val="left"/>
                  </w:pPr>
                  <w:r>
                    <w:rPr>
                      <w:sz w:val="16"/>
                    </w:rPr>
                    <w:t>.22</w:t>
                  </w:r>
                  <w:r>
                    <w:rPr>
                      <w:sz w:val="10"/>
                    </w:rPr>
                    <w:t>***</w:t>
                  </w:r>
                </w:p>
              </w:tc>
              <w:tc>
                <w:tcPr>
                  <w:tcW w:w="642" w:type="dxa"/>
                  <w:tcBorders>
                    <w:top w:val="nil"/>
                    <w:left w:val="nil"/>
                    <w:bottom w:val="nil"/>
                    <w:right w:val="nil"/>
                  </w:tcBorders>
                  <w:vAlign w:val="bottom"/>
                </w:tcPr>
                <w:p w:rsidR="00157A70" w:rsidRDefault="00316F15" w:rsidP="00E25B31">
                  <w:pPr>
                    <w:framePr w:wrap="around" w:vAnchor="text" w:hAnchor="margin"/>
                    <w:spacing w:after="0" w:line="259" w:lineRule="auto"/>
                    <w:ind w:left="36" w:right="0" w:firstLine="0"/>
                    <w:suppressOverlap/>
                    <w:jc w:val="left"/>
                  </w:pPr>
                  <w:r>
                    <w:rPr>
                      <w:sz w:val="16"/>
                    </w:rPr>
                    <w:t>.06</w:t>
                  </w:r>
                </w:p>
              </w:tc>
              <w:tc>
                <w:tcPr>
                  <w:tcW w:w="837" w:type="dxa"/>
                  <w:tcBorders>
                    <w:top w:val="nil"/>
                    <w:left w:val="nil"/>
                    <w:bottom w:val="nil"/>
                    <w:right w:val="nil"/>
                  </w:tcBorders>
                  <w:vAlign w:val="bottom"/>
                </w:tcPr>
                <w:p w:rsidR="00157A70" w:rsidRDefault="00316F15" w:rsidP="00E25B31">
                  <w:pPr>
                    <w:framePr w:wrap="around" w:vAnchor="text" w:hAnchor="margin"/>
                    <w:spacing w:after="0" w:line="259" w:lineRule="auto"/>
                    <w:ind w:left="177" w:right="0" w:firstLine="0"/>
                    <w:suppressOverlap/>
                    <w:jc w:val="left"/>
                  </w:pPr>
                  <w:r>
                    <w:rPr>
                      <w:sz w:val="16"/>
                    </w:rPr>
                    <w:t>.29</w:t>
                  </w:r>
                  <w:r>
                    <w:rPr>
                      <w:sz w:val="10"/>
                    </w:rPr>
                    <w:t>***</w:t>
                  </w:r>
                </w:p>
              </w:tc>
              <w:tc>
                <w:tcPr>
                  <w:tcW w:w="610" w:type="dxa"/>
                  <w:tcBorders>
                    <w:top w:val="nil"/>
                    <w:left w:val="nil"/>
                    <w:bottom w:val="nil"/>
                    <w:right w:val="nil"/>
                  </w:tcBorders>
                  <w:vAlign w:val="bottom"/>
                </w:tcPr>
                <w:p w:rsidR="00157A70" w:rsidRDefault="00316F15" w:rsidP="00E25B31">
                  <w:pPr>
                    <w:framePr w:wrap="around" w:vAnchor="text" w:hAnchor="margin"/>
                    <w:spacing w:after="0" w:line="259" w:lineRule="auto"/>
                    <w:ind w:right="0" w:firstLine="0"/>
                    <w:suppressOverlap/>
                    <w:jc w:val="center"/>
                  </w:pPr>
                  <w:r>
                    <w:rPr>
                      <w:sz w:val="16"/>
                    </w:rPr>
                    <w:t>-</w:t>
                  </w:r>
                </w:p>
              </w:tc>
            </w:tr>
            <w:tr w:rsidR="00157A70">
              <w:trPr>
                <w:trHeight w:val="348"/>
              </w:trPr>
              <w:tc>
                <w:tcPr>
                  <w:tcW w:w="2375" w:type="dxa"/>
                  <w:tcBorders>
                    <w:top w:val="nil"/>
                    <w:left w:val="nil"/>
                    <w:bottom w:val="nil"/>
                    <w:right w:val="nil"/>
                  </w:tcBorders>
                </w:tcPr>
                <w:p w:rsidR="00157A70" w:rsidRDefault="00316F15" w:rsidP="00E25B31">
                  <w:pPr>
                    <w:framePr w:wrap="around" w:vAnchor="text" w:hAnchor="margin"/>
                    <w:spacing w:after="0" w:line="259" w:lineRule="auto"/>
                    <w:ind w:left="320" w:right="0" w:hanging="160"/>
                    <w:suppressOverlap/>
                    <w:jc w:val="left"/>
                  </w:pPr>
                  <w:r>
                    <w:rPr>
                      <w:sz w:val="16"/>
                    </w:rPr>
                    <w:t>DOI, controlling for cognitive ability ()</w:t>
                  </w:r>
                </w:p>
              </w:tc>
              <w:tc>
                <w:tcPr>
                  <w:tcW w:w="824" w:type="dxa"/>
                  <w:tcBorders>
                    <w:top w:val="nil"/>
                    <w:left w:val="nil"/>
                    <w:bottom w:val="nil"/>
                    <w:right w:val="nil"/>
                  </w:tcBorders>
                  <w:vAlign w:val="bottom"/>
                </w:tcPr>
                <w:p w:rsidR="00157A70" w:rsidRDefault="00316F15" w:rsidP="00E25B31">
                  <w:pPr>
                    <w:framePr w:wrap="around" w:vAnchor="text" w:hAnchor="margin"/>
                    <w:spacing w:after="0" w:line="259" w:lineRule="auto"/>
                    <w:ind w:left="30" w:right="0" w:firstLine="0"/>
                    <w:suppressOverlap/>
                    <w:jc w:val="left"/>
                  </w:pPr>
                  <w:r>
                    <w:rPr>
                      <w:sz w:val="16"/>
                    </w:rPr>
                    <w:t>.03</w:t>
                  </w:r>
                </w:p>
              </w:tc>
              <w:tc>
                <w:tcPr>
                  <w:tcW w:w="1122" w:type="dxa"/>
                  <w:tcBorders>
                    <w:top w:val="nil"/>
                    <w:left w:val="nil"/>
                    <w:bottom w:val="nil"/>
                    <w:right w:val="nil"/>
                  </w:tcBorders>
                  <w:vAlign w:val="bottom"/>
                </w:tcPr>
                <w:p w:rsidR="00157A70" w:rsidRDefault="00316F15" w:rsidP="00E25B31">
                  <w:pPr>
                    <w:framePr w:wrap="around" w:vAnchor="text" w:hAnchor="margin"/>
                    <w:spacing w:after="0" w:line="259" w:lineRule="auto"/>
                    <w:ind w:left="321" w:right="0" w:firstLine="0"/>
                    <w:suppressOverlap/>
                    <w:jc w:val="left"/>
                  </w:pPr>
                  <w:r>
                    <w:rPr>
                      <w:sz w:val="16"/>
                    </w:rPr>
                    <w:t>.22</w:t>
                  </w:r>
                  <w:r>
                    <w:rPr>
                      <w:sz w:val="10"/>
                    </w:rPr>
                    <w:t>***</w:t>
                  </w:r>
                </w:p>
              </w:tc>
              <w:tc>
                <w:tcPr>
                  <w:tcW w:w="842" w:type="dxa"/>
                  <w:tcBorders>
                    <w:top w:val="nil"/>
                    <w:left w:val="nil"/>
                    <w:bottom w:val="nil"/>
                    <w:right w:val="nil"/>
                  </w:tcBorders>
                  <w:vAlign w:val="bottom"/>
                </w:tcPr>
                <w:p w:rsidR="00157A70" w:rsidRDefault="00316F15" w:rsidP="00E25B31">
                  <w:pPr>
                    <w:framePr w:wrap="around" w:vAnchor="text" w:hAnchor="margin"/>
                    <w:spacing w:after="0" w:line="259" w:lineRule="auto"/>
                    <w:ind w:left="181" w:right="0" w:firstLine="0"/>
                    <w:suppressOverlap/>
                    <w:jc w:val="left"/>
                  </w:pPr>
                  <w:r>
                    <w:rPr>
                      <w:sz w:val="16"/>
                    </w:rPr>
                    <w:t>.13</w:t>
                  </w:r>
                  <w:r>
                    <w:rPr>
                      <w:sz w:val="16"/>
                      <w:vertAlign w:val="superscript"/>
                    </w:rPr>
                    <w:t>*</w:t>
                  </w:r>
                </w:p>
              </w:tc>
              <w:tc>
                <w:tcPr>
                  <w:tcW w:w="811" w:type="dxa"/>
                  <w:tcBorders>
                    <w:top w:val="nil"/>
                    <w:left w:val="nil"/>
                    <w:bottom w:val="nil"/>
                    <w:right w:val="nil"/>
                  </w:tcBorders>
                  <w:vAlign w:val="bottom"/>
                </w:tcPr>
                <w:p w:rsidR="00157A70" w:rsidRDefault="00316F15" w:rsidP="00E25B31">
                  <w:pPr>
                    <w:framePr w:wrap="around" w:vAnchor="text" w:hAnchor="margin"/>
                    <w:spacing w:after="0" w:line="259" w:lineRule="auto"/>
                    <w:ind w:left="163" w:right="0" w:firstLine="0"/>
                    <w:suppressOverlap/>
                    <w:jc w:val="left"/>
                  </w:pPr>
                  <w:r>
                    <w:rPr>
                      <w:sz w:val="16"/>
                    </w:rPr>
                    <w:t>.19</w:t>
                  </w:r>
                  <w:r>
                    <w:rPr>
                      <w:sz w:val="16"/>
                      <w:vertAlign w:val="superscript"/>
                    </w:rPr>
                    <w:t>**</w:t>
                  </w:r>
                </w:p>
              </w:tc>
              <w:tc>
                <w:tcPr>
                  <w:tcW w:w="922" w:type="dxa"/>
                  <w:tcBorders>
                    <w:top w:val="nil"/>
                    <w:left w:val="nil"/>
                    <w:bottom w:val="nil"/>
                    <w:right w:val="nil"/>
                  </w:tcBorders>
                  <w:vAlign w:val="bottom"/>
                </w:tcPr>
                <w:p w:rsidR="00157A70" w:rsidRDefault="00316F15" w:rsidP="00E25B31">
                  <w:pPr>
                    <w:framePr w:wrap="around" w:vAnchor="text" w:hAnchor="margin"/>
                    <w:spacing w:after="0" w:line="259" w:lineRule="auto"/>
                    <w:ind w:left="219" w:right="0" w:firstLine="0"/>
                    <w:suppressOverlap/>
                    <w:jc w:val="left"/>
                  </w:pPr>
                  <w:r>
                    <w:rPr>
                      <w:sz w:val="16"/>
                    </w:rPr>
                    <w:t>.15</w:t>
                  </w:r>
                  <w:r>
                    <w:rPr>
                      <w:sz w:val="16"/>
                      <w:vertAlign w:val="superscript"/>
                    </w:rPr>
                    <w:t>**</w:t>
                  </w:r>
                </w:p>
              </w:tc>
              <w:tc>
                <w:tcPr>
                  <w:tcW w:w="975" w:type="dxa"/>
                  <w:tcBorders>
                    <w:top w:val="nil"/>
                    <w:left w:val="nil"/>
                    <w:bottom w:val="nil"/>
                    <w:right w:val="nil"/>
                  </w:tcBorders>
                  <w:vAlign w:val="bottom"/>
                </w:tcPr>
                <w:p w:rsidR="00157A70" w:rsidRDefault="00316F15" w:rsidP="00E25B31">
                  <w:pPr>
                    <w:framePr w:wrap="around" w:vAnchor="text" w:hAnchor="margin"/>
                    <w:spacing w:after="0" w:line="259" w:lineRule="auto"/>
                    <w:ind w:left="246" w:right="0" w:firstLine="0"/>
                    <w:suppressOverlap/>
                    <w:jc w:val="left"/>
                  </w:pPr>
                  <w:r>
                    <w:rPr>
                      <w:sz w:val="16"/>
                    </w:rPr>
                    <w:t>.21</w:t>
                  </w:r>
                  <w:r>
                    <w:rPr>
                      <w:sz w:val="10"/>
                    </w:rPr>
                    <w:t>***</w:t>
                  </w:r>
                </w:p>
              </w:tc>
              <w:tc>
                <w:tcPr>
                  <w:tcW w:w="642" w:type="dxa"/>
                  <w:tcBorders>
                    <w:top w:val="nil"/>
                    <w:left w:val="nil"/>
                    <w:bottom w:val="nil"/>
                    <w:right w:val="nil"/>
                  </w:tcBorders>
                  <w:vAlign w:val="bottom"/>
                </w:tcPr>
                <w:p w:rsidR="00157A70" w:rsidRDefault="00316F15" w:rsidP="00E25B31">
                  <w:pPr>
                    <w:framePr w:wrap="around" w:vAnchor="text" w:hAnchor="margin"/>
                    <w:spacing w:after="0" w:line="259" w:lineRule="auto"/>
                    <w:ind w:left="36" w:right="0" w:firstLine="0"/>
                    <w:suppressOverlap/>
                    <w:jc w:val="left"/>
                  </w:pPr>
                  <w:r>
                    <w:rPr>
                      <w:sz w:val="16"/>
                    </w:rPr>
                    <w:t>.07</w:t>
                  </w:r>
                </w:p>
              </w:tc>
              <w:tc>
                <w:tcPr>
                  <w:tcW w:w="837" w:type="dxa"/>
                  <w:tcBorders>
                    <w:top w:val="nil"/>
                    <w:left w:val="nil"/>
                    <w:bottom w:val="nil"/>
                    <w:right w:val="nil"/>
                  </w:tcBorders>
                  <w:vAlign w:val="bottom"/>
                </w:tcPr>
                <w:p w:rsidR="00157A70" w:rsidRDefault="00316F15" w:rsidP="00E25B31">
                  <w:pPr>
                    <w:framePr w:wrap="around" w:vAnchor="text" w:hAnchor="margin"/>
                    <w:spacing w:after="0" w:line="259" w:lineRule="auto"/>
                    <w:ind w:left="177" w:right="0" w:firstLine="0"/>
                    <w:suppressOverlap/>
                    <w:jc w:val="left"/>
                  </w:pPr>
                  <w:r>
                    <w:rPr>
                      <w:sz w:val="16"/>
                    </w:rPr>
                    <w:t>.26</w:t>
                  </w:r>
                  <w:r>
                    <w:rPr>
                      <w:sz w:val="10"/>
                    </w:rPr>
                    <w:t>***</w:t>
                  </w:r>
                </w:p>
              </w:tc>
              <w:tc>
                <w:tcPr>
                  <w:tcW w:w="610" w:type="dxa"/>
                  <w:tcBorders>
                    <w:top w:val="nil"/>
                    <w:left w:val="nil"/>
                    <w:bottom w:val="nil"/>
                    <w:right w:val="nil"/>
                  </w:tcBorders>
                  <w:vAlign w:val="bottom"/>
                </w:tcPr>
                <w:p w:rsidR="00157A70" w:rsidRDefault="00316F15" w:rsidP="00E25B31">
                  <w:pPr>
                    <w:framePr w:wrap="around" w:vAnchor="text" w:hAnchor="margin"/>
                    <w:spacing w:after="0" w:line="259" w:lineRule="auto"/>
                    <w:ind w:right="0" w:firstLine="0"/>
                    <w:suppressOverlap/>
                    <w:jc w:val="center"/>
                  </w:pPr>
                  <w:r>
                    <w:rPr>
                      <w:sz w:val="16"/>
                    </w:rPr>
                    <w:t>-</w:t>
                  </w:r>
                </w:p>
              </w:tc>
            </w:tr>
            <w:tr w:rsidR="00157A70">
              <w:trPr>
                <w:trHeight w:val="180"/>
              </w:trPr>
              <w:tc>
                <w:tcPr>
                  <w:tcW w:w="2375" w:type="dxa"/>
                  <w:tcBorders>
                    <w:top w:val="nil"/>
                    <w:left w:val="nil"/>
                    <w:bottom w:val="nil"/>
                    <w:right w:val="nil"/>
                  </w:tcBorders>
                </w:tcPr>
                <w:p w:rsidR="00157A70" w:rsidRDefault="00316F15" w:rsidP="00E25B31">
                  <w:pPr>
                    <w:framePr w:wrap="around" w:vAnchor="text" w:hAnchor="margin"/>
                    <w:spacing w:after="0" w:line="259" w:lineRule="auto"/>
                    <w:ind w:left="160" w:right="0" w:firstLine="0"/>
                    <w:suppressOverlap/>
                    <w:jc w:val="left"/>
                  </w:pPr>
                  <w:r>
                    <w:rPr>
                      <w:sz w:val="16"/>
                    </w:rPr>
                    <w:t>DOI, controlling for age ()</w:t>
                  </w:r>
                </w:p>
              </w:tc>
              <w:tc>
                <w:tcPr>
                  <w:tcW w:w="824" w:type="dxa"/>
                  <w:tcBorders>
                    <w:top w:val="nil"/>
                    <w:left w:val="nil"/>
                    <w:bottom w:val="nil"/>
                    <w:right w:val="nil"/>
                  </w:tcBorders>
                </w:tcPr>
                <w:p w:rsidR="00157A70" w:rsidRDefault="00316F15" w:rsidP="00E25B31">
                  <w:pPr>
                    <w:framePr w:wrap="around" w:vAnchor="text" w:hAnchor="margin"/>
                    <w:spacing w:after="0" w:line="259" w:lineRule="auto"/>
                    <w:ind w:left="163" w:right="0" w:firstLine="0"/>
                    <w:suppressOverlap/>
                    <w:jc w:val="left"/>
                  </w:pPr>
                  <w:r>
                    <w:rPr>
                      <w:sz w:val="16"/>
                    </w:rPr>
                    <w:t>.06</w:t>
                  </w:r>
                </w:p>
              </w:tc>
              <w:tc>
                <w:tcPr>
                  <w:tcW w:w="1122" w:type="dxa"/>
                  <w:tcBorders>
                    <w:top w:val="nil"/>
                    <w:left w:val="nil"/>
                    <w:bottom w:val="nil"/>
                    <w:right w:val="nil"/>
                  </w:tcBorders>
                </w:tcPr>
                <w:p w:rsidR="00157A70" w:rsidRDefault="00316F15" w:rsidP="00E25B31">
                  <w:pPr>
                    <w:framePr w:wrap="around" w:vAnchor="text" w:hAnchor="margin"/>
                    <w:spacing w:after="0" w:line="259" w:lineRule="auto"/>
                    <w:ind w:left="321" w:right="0" w:firstLine="0"/>
                    <w:suppressOverlap/>
                    <w:jc w:val="left"/>
                  </w:pPr>
                  <w:r>
                    <w:rPr>
                      <w:sz w:val="16"/>
                    </w:rPr>
                    <w:t>.19</w:t>
                  </w:r>
                  <w:r>
                    <w:rPr>
                      <w:sz w:val="10"/>
                    </w:rPr>
                    <w:t>***</w:t>
                  </w:r>
                </w:p>
              </w:tc>
              <w:tc>
                <w:tcPr>
                  <w:tcW w:w="842" w:type="dxa"/>
                  <w:tcBorders>
                    <w:top w:val="nil"/>
                    <w:left w:val="nil"/>
                    <w:bottom w:val="nil"/>
                    <w:right w:val="nil"/>
                  </w:tcBorders>
                </w:tcPr>
                <w:p w:rsidR="00157A70" w:rsidRDefault="00316F15" w:rsidP="00E25B31">
                  <w:pPr>
                    <w:framePr w:wrap="around" w:vAnchor="text" w:hAnchor="margin"/>
                    <w:spacing w:after="0" w:line="259" w:lineRule="auto"/>
                    <w:ind w:left="181" w:right="0" w:firstLine="0"/>
                    <w:suppressOverlap/>
                    <w:jc w:val="left"/>
                  </w:pPr>
                  <w:r>
                    <w:rPr>
                      <w:sz w:val="16"/>
                    </w:rPr>
                    <w:t>.18</w:t>
                  </w:r>
                  <w:r>
                    <w:rPr>
                      <w:sz w:val="10"/>
                    </w:rPr>
                    <w:t>***</w:t>
                  </w:r>
                </w:p>
              </w:tc>
              <w:tc>
                <w:tcPr>
                  <w:tcW w:w="811" w:type="dxa"/>
                  <w:tcBorders>
                    <w:top w:val="nil"/>
                    <w:left w:val="nil"/>
                    <w:bottom w:val="nil"/>
                    <w:right w:val="nil"/>
                  </w:tcBorders>
                </w:tcPr>
                <w:p w:rsidR="00157A70" w:rsidRDefault="00316F15" w:rsidP="00E25B31">
                  <w:pPr>
                    <w:framePr w:wrap="around" w:vAnchor="text" w:hAnchor="margin"/>
                    <w:spacing w:after="0" w:line="259" w:lineRule="auto"/>
                    <w:ind w:left="163" w:right="0" w:firstLine="0"/>
                    <w:suppressOverlap/>
                    <w:jc w:val="left"/>
                  </w:pPr>
                  <w:r>
                    <w:rPr>
                      <w:sz w:val="16"/>
                    </w:rPr>
                    <w:t>.33</w:t>
                  </w:r>
                  <w:r>
                    <w:rPr>
                      <w:sz w:val="10"/>
                    </w:rPr>
                    <w:t>***</w:t>
                  </w:r>
                </w:p>
              </w:tc>
              <w:tc>
                <w:tcPr>
                  <w:tcW w:w="922" w:type="dxa"/>
                  <w:tcBorders>
                    <w:top w:val="nil"/>
                    <w:left w:val="nil"/>
                    <w:bottom w:val="nil"/>
                    <w:right w:val="nil"/>
                  </w:tcBorders>
                </w:tcPr>
                <w:p w:rsidR="00157A70" w:rsidRDefault="00316F15" w:rsidP="00E25B31">
                  <w:pPr>
                    <w:framePr w:wrap="around" w:vAnchor="text" w:hAnchor="margin"/>
                    <w:spacing w:after="0" w:line="259" w:lineRule="auto"/>
                    <w:ind w:left="219" w:right="0" w:firstLine="0"/>
                    <w:suppressOverlap/>
                    <w:jc w:val="left"/>
                  </w:pPr>
                  <w:r>
                    <w:rPr>
                      <w:sz w:val="16"/>
                    </w:rPr>
                    <w:t>.23</w:t>
                  </w:r>
                  <w:r>
                    <w:rPr>
                      <w:sz w:val="10"/>
                    </w:rPr>
                    <w:t>***</w:t>
                  </w:r>
                </w:p>
              </w:tc>
              <w:tc>
                <w:tcPr>
                  <w:tcW w:w="975" w:type="dxa"/>
                  <w:tcBorders>
                    <w:top w:val="nil"/>
                    <w:left w:val="nil"/>
                    <w:bottom w:val="nil"/>
                    <w:right w:val="nil"/>
                  </w:tcBorders>
                </w:tcPr>
                <w:p w:rsidR="00157A70" w:rsidRDefault="00316F15" w:rsidP="00E25B31">
                  <w:pPr>
                    <w:framePr w:wrap="around" w:vAnchor="text" w:hAnchor="margin"/>
                    <w:spacing w:after="0" w:line="259" w:lineRule="auto"/>
                    <w:ind w:left="246" w:right="0" w:firstLine="0"/>
                    <w:suppressOverlap/>
                    <w:jc w:val="left"/>
                  </w:pPr>
                  <w:r>
                    <w:rPr>
                      <w:sz w:val="16"/>
                    </w:rPr>
                    <w:t>.14</w:t>
                  </w:r>
                  <w:r>
                    <w:rPr>
                      <w:sz w:val="16"/>
                      <w:vertAlign w:val="superscript"/>
                    </w:rPr>
                    <w:t>*</w:t>
                  </w:r>
                </w:p>
              </w:tc>
              <w:tc>
                <w:tcPr>
                  <w:tcW w:w="642" w:type="dxa"/>
                  <w:tcBorders>
                    <w:top w:val="nil"/>
                    <w:left w:val="nil"/>
                    <w:bottom w:val="nil"/>
                    <w:right w:val="nil"/>
                  </w:tcBorders>
                </w:tcPr>
                <w:p w:rsidR="00157A70" w:rsidRDefault="00316F15" w:rsidP="00E25B31">
                  <w:pPr>
                    <w:framePr w:wrap="around" w:vAnchor="text" w:hAnchor="margin"/>
                    <w:spacing w:after="0" w:line="259" w:lineRule="auto"/>
                    <w:ind w:left="36" w:right="0" w:firstLine="0"/>
                    <w:suppressOverlap/>
                    <w:jc w:val="left"/>
                  </w:pPr>
                  <w:r>
                    <w:rPr>
                      <w:sz w:val="16"/>
                    </w:rPr>
                    <w:t>.08</w:t>
                  </w:r>
                </w:p>
              </w:tc>
              <w:tc>
                <w:tcPr>
                  <w:tcW w:w="837" w:type="dxa"/>
                  <w:tcBorders>
                    <w:top w:val="nil"/>
                    <w:left w:val="nil"/>
                    <w:bottom w:val="nil"/>
                    <w:right w:val="nil"/>
                  </w:tcBorders>
                </w:tcPr>
                <w:p w:rsidR="00157A70" w:rsidRDefault="00316F15" w:rsidP="00E25B31">
                  <w:pPr>
                    <w:framePr w:wrap="around" w:vAnchor="text" w:hAnchor="margin"/>
                    <w:spacing w:after="0" w:line="259" w:lineRule="auto"/>
                    <w:ind w:left="177" w:right="0" w:firstLine="0"/>
                    <w:suppressOverlap/>
                    <w:jc w:val="left"/>
                  </w:pPr>
                  <w:r>
                    <w:rPr>
                      <w:sz w:val="16"/>
                    </w:rPr>
                    <w:t>.31</w:t>
                  </w:r>
                  <w:r>
                    <w:rPr>
                      <w:sz w:val="10"/>
                    </w:rPr>
                    <w:t>***</w:t>
                  </w:r>
                </w:p>
              </w:tc>
              <w:tc>
                <w:tcPr>
                  <w:tcW w:w="610"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center"/>
                  </w:pPr>
                  <w:r>
                    <w:rPr>
                      <w:sz w:val="16"/>
                    </w:rPr>
                    <w:t>-</w:t>
                  </w:r>
                </w:p>
              </w:tc>
            </w:tr>
            <w:tr w:rsidR="00157A70">
              <w:trPr>
                <w:trHeight w:val="192"/>
              </w:trPr>
              <w:tc>
                <w:tcPr>
                  <w:tcW w:w="2375" w:type="dxa"/>
                  <w:tcBorders>
                    <w:top w:val="nil"/>
                    <w:left w:val="nil"/>
                    <w:bottom w:val="nil"/>
                    <w:right w:val="nil"/>
                  </w:tcBorders>
                </w:tcPr>
                <w:p w:rsidR="00157A70" w:rsidRDefault="00316F15" w:rsidP="00E25B31">
                  <w:pPr>
                    <w:framePr w:wrap="around" w:vAnchor="text" w:hAnchor="margin"/>
                    <w:spacing w:after="0" w:line="259" w:lineRule="auto"/>
                    <w:ind w:left="160" w:right="0" w:firstLine="0"/>
                    <w:suppressOverlap/>
                    <w:jc w:val="left"/>
                  </w:pPr>
                  <w:r>
                    <w:rPr>
                      <w:sz w:val="16"/>
                    </w:rPr>
                    <w:t>DOI, controlling for SES ()</w:t>
                  </w:r>
                </w:p>
              </w:tc>
              <w:tc>
                <w:tcPr>
                  <w:tcW w:w="824" w:type="dxa"/>
                  <w:tcBorders>
                    <w:top w:val="nil"/>
                    <w:left w:val="nil"/>
                    <w:bottom w:val="nil"/>
                    <w:right w:val="nil"/>
                  </w:tcBorders>
                </w:tcPr>
                <w:p w:rsidR="00157A70" w:rsidRDefault="00316F15" w:rsidP="00E25B31">
                  <w:pPr>
                    <w:framePr w:wrap="around" w:vAnchor="text" w:hAnchor="margin"/>
                    <w:spacing w:after="0" w:line="259" w:lineRule="auto"/>
                    <w:ind w:left="30" w:right="0" w:firstLine="0"/>
                    <w:suppressOverlap/>
                    <w:jc w:val="left"/>
                  </w:pPr>
                  <w:r>
                    <w:rPr>
                      <w:sz w:val="16"/>
                    </w:rPr>
                    <w:t>.05</w:t>
                  </w:r>
                </w:p>
              </w:tc>
              <w:tc>
                <w:tcPr>
                  <w:tcW w:w="1122" w:type="dxa"/>
                  <w:tcBorders>
                    <w:top w:val="nil"/>
                    <w:left w:val="nil"/>
                    <w:bottom w:val="nil"/>
                    <w:right w:val="nil"/>
                  </w:tcBorders>
                </w:tcPr>
                <w:p w:rsidR="00157A70" w:rsidRDefault="00316F15" w:rsidP="00E25B31">
                  <w:pPr>
                    <w:framePr w:wrap="around" w:vAnchor="text" w:hAnchor="margin"/>
                    <w:spacing w:after="0" w:line="259" w:lineRule="auto"/>
                    <w:ind w:left="321" w:right="0" w:firstLine="0"/>
                    <w:suppressOverlap/>
                    <w:jc w:val="left"/>
                  </w:pPr>
                  <w:r>
                    <w:rPr>
                      <w:sz w:val="16"/>
                    </w:rPr>
                    <w:t>.19</w:t>
                  </w:r>
                  <w:r>
                    <w:rPr>
                      <w:sz w:val="16"/>
                      <w:vertAlign w:val="superscript"/>
                    </w:rPr>
                    <w:t>**</w:t>
                  </w:r>
                </w:p>
              </w:tc>
              <w:tc>
                <w:tcPr>
                  <w:tcW w:w="842" w:type="dxa"/>
                  <w:tcBorders>
                    <w:top w:val="nil"/>
                    <w:left w:val="nil"/>
                    <w:bottom w:val="nil"/>
                    <w:right w:val="nil"/>
                  </w:tcBorders>
                </w:tcPr>
                <w:p w:rsidR="00157A70" w:rsidRDefault="00316F15" w:rsidP="00E25B31">
                  <w:pPr>
                    <w:framePr w:wrap="around" w:vAnchor="text" w:hAnchor="margin"/>
                    <w:spacing w:after="0" w:line="259" w:lineRule="auto"/>
                    <w:ind w:left="181" w:right="0" w:firstLine="0"/>
                    <w:suppressOverlap/>
                    <w:jc w:val="left"/>
                  </w:pPr>
                  <w:r>
                    <w:rPr>
                      <w:sz w:val="16"/>
                    </w:rPr>
                    <w:t>.12</w:t>
                  </w:r>
                  <w:r>
                    <w:rPr>
                      <w:sz w:val="16"/>
                      <w:vertAlign w:val="superscript"/>
                    </w:rPr>
                    <w:t>*</w:t>
                  </w:r>
                </w:p>
              </w:tc>
              <w:tc>
                <w:tcPr>
                  <w:tcW w:w="811" w:type="dxa"/>
                  <w:tcBorders>
                    <w:top w:val="nil"/>
                    <w:left w:val="nil"/>
                    <w:bottom w:val="nil"/>
                    <w:right w:val="nil"/>
                  </w:tcBorders>
                </w:tcPr>
                <w:p w:rsidR="00157A70" w:rsidRDefault="00316F15" w:rsidP="00E25B31">
                  <w:pPr>
                    <w:framePr w:wrap="around" w:vAnchor="text" w:hAnchor="margin"/>
                    <w:spacing w:after="0" w:line="259" w:lineRule="auto"/>
                    <w:ind w:left="163" w:right="0" w:firstLine="0"/>
                    <w:suppressOverlap/>
                    <w:jc w:val="left"/>
                  </w:pPr>
                  <w:r>
                    <w:rPr>
                      <w:sz w:val="16"/>
                    </w:rPr>
                    <w:t>.15</w:t>
                  </w:r>
                  <w:r>
                    <w:rPr>
                      <w:sz w:val="16"/>
                      <w:vertAlign w:val="superscript"/>
                    </w:rPr>
                    <w:t>**</w:t>
                  </w:r>
                </w:p>
              </w:tc>
              <w:tc>
                <w:tcPr>
                  <w:tcW w:w="922" w:type="dxa"/>
                  <w:tcBorders>
                    <w:top w:val="nil"/>
                    <w:left w:val="nil"/>
                    <w:bottom w:val="nil"/>
                    <w:right w:val="nil"/>
                  </w:tcBorders>
                </w:tcPr>
                <w:p w:rsidR="00157A70" w:rsidRDefault="00316F15" w:rsidP="00E25B31">
                  <w:pPr>
                    <w:framePr w:wrap="around" w:vAnchor="text" w:hAnchor="margin"/>
                    <w:spacing w:after="0" w:line="259" w:lineRule="auto"/>
                    <w:ind w:left="219" w:right="0" w:firstLine="0"/>
                    <w:suppressOverlap/>
                    <w:jc w:val="left"/>
                  </w:pPr>
                  <w:r>
                    <w:rPr>
                      <w:sz w:val="16"/>
                    </w:rPr>
                    <w:t>.11</w:t>
                  </w:r>
                </w:p>
              </w:tc>
              <w:tc>
                <w:tcPr>
                  <w:tcW w:w="975" w:type="dxa"/>
                  <w:tcBorders>
                    <w:top w:val="nil"/>
                    <w:left w:val="nil"/>
                    <w:bottom w:val="nil"/>
                    <w:right w:val="nil"/>
                  </w:tcBorders>
                </w:tcPr>
                <w:p w:rsidR="00157A70" w:rsidRDefault="00316F15" w:rsidP="00E25B31">
                  <w:pPr>
                    <w:framePr w:wrap="around" w:vAnchor="text" w:hAnchor="margin"/>
                    <w:spacing w:after="0" w:line="259" w:lineRule="auto"/>
                    <w:ind w:left="246" w:right="0" w:firstLine="0"/>
                    <w:suppressOverlap/>
                    <w:jc w:val="left"/>
                  </w:pPr>
                  <w:r>
                    <w:rPr>
                      <w:sz w:val="16"/>
                    </w:rPr>
                    <w:t>.17</w:t>
                  </w:r>
                  <w:r>
                    <w:rPr>
                      <w:sz w:val="16"/>
                      <w:vertAlign w:val="superscript"/>
                    </w:rPr>
                    <w:t>**</w:t>
                  </w:r>
                </w:p>
              </w:tc>
              <w:tc>
                <w:tcPr>
                  <w:tcW w:w="642" w:type="dxa"/>
                  <w:tcBorders>
                    <w:top w:val="nil"/>
                    <w:left w:val="nil"/>
                    <w:bottom w:val="nil"/>
                    <w:right w:val="nil"/>
                  </w:tcBorders>
                </w:tcPr>
                <w:p w:rsidR="00157A70" w:rsidRDefault="00316F15" w:rsidP="00E25B31">
                  <w:pPr>
                    <w:framePr w:wrap="around" w:vAnchor="text" w:hAnchor="margin"/>
                    <w:spacing w:after="0" w:line="259" w:lineRule="auto"/>
                    <w:ind w:left="36" w:right="0" w:firstLine="0"/>
                    <w:suppressOverlap/>
                    <w:jc w:val="left"/>
                  </w:pPr>
                  <w:r>
                    <w:rPr>
                      <w:sz w:val="16"/>
                    </w:rPr>
                    <w:t>.07</w:t>
                  </w:r>
                </w:p>
              </w:tc>
              <w:tc>
                <w:tcPr>
                  <w:tcW w:w="837" w:type="dxa"/>
                  <w:tcBorders>
                    <w:top w:val="nil"/>
                    <w:left w:val="nil"/>
                    <w:bottom w:val="nil"/>
                    <w:right w:val="nil"/>
                  </w:tcBorders>
                </w:tcPr>
                <w:p w:rsidR="00157A70" w:rsidRDefault="00316F15" w:rsidP="00E25B31">
                  <w:pPr>
                    <w:framePr w:wrap="around" w:vAnchor="text" w:hAnchor="margin"/>
                    <w:spacing w:after="0" w:line="259" w:lineRule="auto"/>
                    <w:ind w:left="177" w:right="0" w:firstLine="0"/>
                    <w:suppressOverlap/>
                    <w:jc w:val="left"/>
                  </w:pPr>
                  <w:r>
                    <w:rPr>
                      <w:sz w:val="16"/>
                    </w:rPr>
                    <w:t>.20</w:t>
                  </w:r>
                  <w:r>
                    <w:rPr>
                      <w:sz w:val="10"/>
                    </w:rPr>
                    <w:t>***</w:t>
                  </w:r>
                </w:p>
              </w:tc>
              <w:tc>
                <w:tcPr>
                  <w:tcW w:w="610"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center"/>
                  </w:pPr>
                  <w:r>
                    <w:rPr>
                      <w:sz w:val="16"/>
                    </w:rPr>
                    <w:t>-</w:t>
                  </w:r>
                </w:p>
              </w:tc>
            </w:tr>
            <w:tr w:rsidR="00157A70">
              <w:trPr>
                <w:trHeight w:val="402"/>
              </w:trPr>
              <w:tc>
                <w:tcPr>
                  <w:tcW w:w="2375" w:type="dxa"/>
                  <w:tcBorders>
                    <w:top w:val="nil"/>
                    <w:left w:val="nil"/>
                    <w:bottom w:val="single" w:sz="4" w:space="0" w:color="181717"/>
                    <w:right w:val="nil"/>
                  </w:tcBorders>
                </w:tcPr>
                <w:p w:rsidR="00157A70" w:rsidRDefault="00316F15" w:rsidP="00E25B31">
                  <w:pPr>
                    <w:framePr w:wrap="around" w:vAnchor="text" w:hAnchor="margin"/>
                    <w:spacing w:after="0" w:line="259" w:lineRule="auto"/>
                    <w:ind w:left="320" w:right="0" w:hanging="160"/>
                    <w:suppressOverlap/>
                    <w:jc w:val="left"/>
                  </w:pPr>
                  <w:r>
                    <w:rPr>
                      <w:sz w:val="16"/>
                    </w:rPr>
                    <w:t xml:space="preserve">DOI, controlling for </w:t>
                  </w:r>
                  <w:proofErr w:type="spellStart"/>
                  <w:r>
                    <w:rPr>
                      <w:sz w:val="16"/>
                    </w:rPr>
                    <w:t>decisionmaking</w:t>
                  </w:r>
                  <w:proofErr w:type="spellEnd"/>
                  <w:r>
                    <w:rPr>
                      <w:sz w:val="16"/>
                    </w:rPr>
                    <w:t xml:space="preserve"> styles ()</w:t>
                  </w:r>
                </w:p>
              </w:tc>
              <w:tc>
                <w:tcPr>
                  <w:tcW w:w="824" w:type="dxa"/>
                  <w:tcBorders>
                    <w:top w:val="nil"/>
                    <w:left w:val="nil"/>
                    <w:bottom w:val="single" w:sz="4" w:space="0" w:color="181717"/>
                    <w:right w:val="nil"/>
                  </w:tcBorders>
                  <w:vAlign w:val="bottom"/>
                </w:tcPr>
                <w:p w:rsidR="00157A70" w:rsidRDefault="00316F15" w:rsidP="00E25B31">
                  <w:pPr>
                    <w:framePr w:wrap="around" w:vAnchor="text" w:hAnchor="margin"/>
                    <w:spacing w:after="0" w:line="259" w:lineRule="auto"/>
                    <w:ind w:left="163" w:right="0" w:firstLine="0"/>
                    <w:suppressOverlap/>
                    <w:jc w:val="left"/>
                  </w:pPr>
                  <w:r>
                    <w:rPr>
                      <w:sz w:val="16"/>
                    </w:rPr>
                    <w:t>.00</w:t>
                  </w:r>
                </w:p>
              </w:tc>
              <w:tc>
                <w:tcPr>
                  <w:tcW w:w="1122" w:type="dxa"/>
                  <w:tcBorders>
                    <w:top w:val="nil"/>
                    <w:left w:val="nil"/>
                    <w:bottom w:val="single" w:sz="4" w:space="0" w:color="181717"/>
                    <w:right w:val="nil"/>
                  </w:tcBorders>
                </w:tcPr>
                <w:p w:rsidR="00157A70" w:rsidRDefault="00316F15" w:rsidP="00E25B31">
                  <w:pPr>
                    <w:framePr w:wrap="around" w:vAnchor="text" w:hAnchor="margin"/>
                    <w:spacing w:after="0" w:line="259" w:lineRule="auto"/>
                    <w:ind w:left="321" w:right="0" w:firstLine="0"/>
                    <w:suppressOverlap/>
                    <w:jc w:val="left"/>
                  </w:pPr>
                  <w:r>
                    <w:rPr>
                      <w:sz w:val="16"/>
                    </w:rPr>
                    <w:t>.19</w:t>
                  </w:r>
                  <w:r>
                    <w:rPr>
                      <w:sz w:val="10"/>
                    </w:rPr>
                    <w:t>***</w:t>
                  </w:r>
                </w:p>
              </w:tc>
              <w:tc>
                <w:tcPr>
                  <w:tcW w:w="842" w:type="dxa"/>
                  <w:tcBorders>
                    <w:top w:val="nil"/>
                    <w:left w:val="nil"/>
                    <w:bottom w:val="single" w:sz="4" w:space="0" w:color="181717"/>
                    <w:right w:val="nil"/>
                  </w:tcBorders>
                  <w:vAlign w:val="bottom"/>
                </w:tcPr>
                <w:p w:rsidR="00157A70" w:rsidRDefault="00316F15" w:rsidP="00E25B31">
                  <w:pPr>
                    <w:framePr w:wrap="around" w:vAnchor="text" w:hAnchor="margin"/>
                    <w:spacing w:after="0" w:line="259" w:lineRule="auto"/>
                    <w:ind w:left="181" w:right="0" w:firstLine="0"/>
                    <w:suppressOverlap/>
                    <w:jc w:val="left"/>
                  </w:pPr>
                  <w:r>
                    <w:rPr>
                      <w:sz w:val="16"/>
                    </w:rPr>
                    <w:t>.06</w:t>
                  </w:r>
                </w:p>
              </w:tc>
              <w:tc>
                <w:tcPr>
                  <w:tcW w:w="811" w:type="dxa"/>
                  <w:tcBorders>
                    <w:top w:val="nil"/>
                    <w:left w:val="nil"/>
                    <w:bottom w:val="single" w:sz="4" w:space="0" w:color="181717"/>
                    <w:right w:val="nil"/>
                  </w:tcBorders>
                </w:tcPr>
                <w:p w:rsidR="00157A70" w:rsidRDefault="00316F15" w:rsidP="00E25B31">
                  <w:pPr>
                    <w:framePr w:wrap="around" w:vAnchor="text" w:hAnchor="margin"/>
                    <w:spacing w:after="0" w:line="259" w:lineRule="auto"/>
                    <w:ind w:left="163" w:right="0" w:firstLine="0"/>
                    <w:suppressOverlap/>
                    <w:jc w:val="left"/>
                  </w:pPr>
                  <w:r>
                    <w:rPr>
                      <w:sz w:val="16"/>
                    </w:rPr>
                    <w:t>.16</w:t>
                  </w:r>
                  <w:r>
                    <w:rPr>
                      <w:sz w:val="16"/>
                      <w:vertAlign w:val="superscript"/>
                    </w:rPr>
                    <w:t>**</w:t>
                  </w:r>
                </w:p>
              </w:tc>
              <w:tc>
                <w:tcPr>
                  <w:tcW w:w="922" w:type="dxa"/>
                  <w:tcBorders>
                    <w:top w:val="nil"/>
                    <w:left w:val="nil"/>
                    <w:bottom w:val="single" w:sz="4" w:space="0" w:color="181717"/>
                    <w:right w:val="nil"/>
                  </w:tcBorders>
                  <w:vAlign w:val="bottom"/>
                </w:tcPr>
                <w:p w:rsidR="00157A70" w:rsidRDefault="00316F15" w:rsidP="00E25B31">
                  <w:pPr>
                    <w:framePr w:wrap="around" w:vAnchor="text" w:hAnchor="margin"/>
                    <w:spacing w:after="0" w:line="259" w:lineRule="auto"/>
                    <w:ind w:left="219" w:right="0" w:firstLine="0"/>
                    <w:suppressOverlap/>
                    <w:jc w:val="left"/>
                  </w:pPr>
                  <w:r>
                    <w:rPr>
                      <w:sz w:val="16"/>
                    </w:rPr>
                    <w:t>.08</w:t>
                  </w:r>
                </w:p>
              </w:tc>
              <w:tc>
                <w:tcPr>
                  <w:tcW w:w="975" w:type="dxa"/>
                  <w:tcBorders>
                    <w:top w:val="nil"/>
                    <w:left w:val="nil"/>
                    <w:bottom w:val="single" w:sz="4" w:space="0" w:color="181717"/>
                    <w:right w:val="nil"/>
                  </w:tcBorders>
                  <w:vAlign w:val="bottom"/>
                </w:tcPr>
                <w:p w:rsidR="00157A70" w:rsidRDefault="00316F15" w:rsidP="00E25B31">
                  <w:pPr>
                    <w:framePr w:wrap="around" w:vAnchor="text" w:hAnchor="margin"/>
                    <w:spacing w:after="0" w:line="259" w:lineRule="auto"/>
                    <w:ind w:left="246" w:right="0" w:firstLine="0"/>
                    <w:suppressOverlap/>
                    <w:jc w:val="left"/>
                  </w:pPr>
                  <w:r>
                    <w:rPr>
                      <w:sz w:val="16"/>
                    </w:rPr>
                    <w:t>.13</w:t>
                  </w:r>
                  <w:r>
                    <w:rPr>
                      <w:sz w:val="16"/>
                      <w:vertAlign w:val="superscript"/>
                    </w:rPr>
                    <w:t>*</w:t>
                  </w:r>
                </w:p>
              </w:tc>
              <w:tc>
                <w:tcPr>
                  <w:tcW w:w="642" w:type="dxa"/>
                  <w:tcBorders>
                    <w:top w:val="nil"/>
                    <w:left w:val="nil"/>
                    <w:bottom w:val="single" w:sz="4" w:space="0" w:color="181717"/>
                    <w:right w:val="nil"/>
                  </w:tcBorders>
                  <w:vAlign w:val="bottom"/>
                </w:tcPr>
                <w:p w:rsidR="00157A70" w:rsidRDefault="00316F15" w:rsidP="00E25B31">
                  <w:pPr>
                    <w:framePr w:wrap="around" w:vAnchor="text" w:hAnchor="margin"/>
                    <w:spacing w:after="0" w:line="259" w:lineRule="auto"/>
                    <w:ind w:left="36" w:right="0" w:firstLine="0"/>
                    <w:suppressOverlap/>
                    <w:jc w:val="left"/>
                  </w:pPr>
                  <w:r>
                    <w:rPr>
                      <w:sz w:val="16"/>
                    </w:rPr>
                    <w:t>.08</w:t>
                  </w:r>
                </w:p>
              </w:tc>
              <w:tc>
                <w:tcPr>
                  <w:tcW w:w="837" w:type="dxa"/>
                  <w:tcBorders>
                    <w:top w:val="nil"/>
                    <w:left w:val="nil"/>
                    <w:bottom w:val="single" w:sz="4" w:space="0" w:color="181717"/>
                    <w:right w:val="nil"/>
                  </w:tcBorders>
                </w:tcPr>
                <w:p w:rsidR="00157A70" w:rsidRDefault="00316F15" w:rsidP="00E25B31">
                  <w:pPr>
                    <w:framePr w:wrap="around" w:vAnchor="text" w:hAnchor="margin"/>
                    <w:spacing w:after="0" w:line="259" w:lineRule="auto"/>
                    <w:ind w:left="177" w:right="0" w:firstLine="0"/>
                    <w:suppressOverlap/>
                    <w:jc w:val="left"/>
                  </w:pPr>
                  <w:r>
                    <w:rPr>
                      <w:sz w:val="16"/>
                    </w:rPr>
                    <w:t>.14</w:t>
                  </w:r>
                  <w:r>
                    <w:rPr>
                      <w:sz w:val="16"/>
                      <w:vertAlign w:val="superscript"/>
                    </w:rPr>
                    <w:t>**</w:t>
                  </w:r>
                </w:p>
              </w:tc>
              <w:tc>
                <w:tcPr>
                  <w:tcW w:w="610" w:type="dxa"/>
                  <w:tcBorders>
                    <w:top w:val="nil"/>
                    <w:left w:val="nil"/>
                    <w:bottom w:val="single" w:sz="4" w:space="0" w:color="181717"/>
                    <w:right w:val="nil"/>
                  </w:tcBorders>
                  <w:vAlign w:val="bottom"/>
                </w:tcPr>
                <w:p w:rsidR="00157A70" w:rsidRDefault="00316F15" w:rsidP="00E25B31">
                  <w:pPr>
                    <w:framePr w:wrap="around" w:vAnchor="text" w:hAnchor="margin"/>
                    <w:spacing w:after="0" w:line="259" w:lineRule="auto"/>
                    <w:ind w:right="0" w:firstLine="0"/>
                    <w:suppressOverlap/>
                    <w:jc w:val="center"/>
                  </w:pPr>
                  <w:r>
                    <w:rPr>
                      <w:sz w:val="16"/>
                    </w:rPr>
                    <w:t>-</w:t>
                  </w:r>
                </w:p>
              </w:tc>
            </w:tr>
          </w:tbl>
          <w:p w:rsidR="00157A70" w:rsidRDefault="00316F15">
            <w:pPr>
              <w:spacing w:after="0" w:line="259" w:lineRule="auto"/>
              <w:ind w:right="0" w:firstLine="0"/>
            </w:pPr>
            <w:r>
              <w:rPr>
                <w:i/>
                <w:sz w:val="16"/>
              </w:rPr>
              <w:t xml:space="preserve">Note. </w:t>
            </w:r>
            <w:r>
              <w:rPr>
                <w:sz w:val="16"/>
              </w:rPr>
              <w:t xml:space="preserve">All </w:t>
            </w:r>
            <w:r>
              <w:rPr>
                <w:i/>
                <w:sz w:val="16"/>
              </w:rPr>
              <w:t xml:space="preserve">p </w:t>
            </w:r>
            <w:r>
              <w:rPr>
                <w:sz w:val="16"/>
              </w:rPr>
              <w:t xml:space="preserve">values represent two-sided tests, including overall </w:t>
            </w:r>
            <w:r>
              <w:rPr>
                <w:i/>
                <w:sz w:val="16"/>
              </w:rPr>
              <w:t xml:space="preserve">p </w:t>
            </w:r>
            <w:r>
              <w:rPr>
                <w:sz w:val="16"/>
              </w:rPr>
              <w:t xml:space="preserve">values, which were computed using the </w:t>
            </w:r>
            <w:proofErr w:type="spellStart"/>
            <w:r>
              <w:rPr>
                <w:sz w:val="16"/>
              </w:rPr>
              <w:t>Strube’s</w:t>
            </w:r>
            <w:proofErr w:type="spellEnd"/>
            <w:r>
              <w:rPr>
                <w:sz w:val="16"/>
              </w:rPr>
              <w:t xml:space="preserve"> analysis for combining significance levels from </w:t>
            </w:r>
            <w:proofErr w:type="spellStart"/>
            <w:r>
              <w:rPr>
                <w:sz w:val="16"/>
              </w:rPr>
              <w:t>nonindependent</w:t>
            </w:r>
            <w:proofErr w:type="spellEnd"/>
            <w:r>
              <w:rPr>
                <w:sz w:val="16"/>
              </w:rPr>
              <w:t xml:space="preserve"> hypothesis tests. The sign printed next to the name of each variable indicates whether higher scores reflect better () or worse () performance. A-</w:t>
            </w:r>
            <w:proofErr w:type="gramStart"/>
            <w:r>
              <w:rPr>
                <w:sz w:val="16"/>
              </w:rPr>
              <w:t xml:space="preserve">DMC </w:t>
            </w:r>
            <w:r>
              <w:rPr>
                <w:rFonts w:ascii="Calibri" w:eastAsia="Calibri" w:hAnsi="Calibri" w:cs="Calibri"/>
                <w:sz w:val="16"/>
              </w:rPr>
              <w:t xml:space="preserve"> </w:t>
            </w:r>
            <w:r>
              <w:rPr>
                <w:sz w:val="16"/>
              </w:rPr>
              <w:t>Adult</w:t>
            </w:r>
            <w:proofErr w:type="gramEnd"/>
            <w:r>
              <w:rPr>
                <w:sz w:val="16"/>
              </w:rPr>
              <w:t xml:space="preserve"> Decision-Making Competence; </w:t>
            </w:r>
            <w:proofErr w:type="spellStart"/>
            <w:r>
              <w:rPr>
                <w:sz w:val="16"/>
              </w:rPr>
              <w:t>overconf</w:t>
            </w:r>
            <w:proofErr w:type="spellEnd"/>
            <w:r>
              <w:rPr>
                <w:sz w:val="16"/>
              </w:rPr>
              <w:t xml:space="preserve">. </w:t>
            </w:r>
            <w:r>
              <w:rPr>
                <w:rFonts w:ascii="Calibri" w:eastAsia="Calibri" w:hAnsi="Calibri" w:cs="Calibri"/>
                <w:sz w:val="16"/>
              </w:rPr>
              <w:t xml:space="preserve"> </w:t>
            </w:r>
            <w:r>
              <w:rPr>
                <w:sz w:val="16"/>
              </w:rPr>
              <w:t xml:space="preserve">overconfidence; </w:t>
            </w:r>
            <w:proofErr w:type="spellStart"/>
            <w:r>
              <w:rPr>
                <w:sz w:val="16"/>
              </w:rPr>
              <w:t>Indep</w:t>
            </w:r>
            <w:proofErr w:type="spellEnd"/>
            <w:r>
              <w:rPr>
                <w:sz w:val="16"/>
              </w:rPr>
              <w:t xml:space="preserve">. </w:t>
            </w:r>
            <w:r>
              <w:rPr>
                <w:rFonts w:ascii="Calibri" w:eastAsia="Calibri" w:hAnsi="Calibri" w:cs="Calibri"/>
                <w:sz w:val="16"/>
              </w:rPr>
              <w:t xml:space="preserve"> </w:t>
            </w:r>
            <w:r>
              <w:rPr>
                <w:sz w:val="16"/>
              </w:rPr>
              <w:t xml:space="preserve">Independence; </w:t>
            </w:r>
            <w:proofErr w:type="gramStart"/>
            <w:r>
              <w:rPr>
                <w:sz w:val="16"/>
              </w:rPr>
              <w:t xml:space="preserve">DOI </w:t>
            </w:r>
            <w:r>
              <w:rPr>
                <w:rFonts w:ascii="Calibri" w:eastAsia="Calibri" w:hAnsi="Calibri" w:cs="Calibri"/>
                <w:sz w:val="16"/>
              </w:rPr>
              <w:t xml:space="preserve"> </w:t>
            </w:r>
            <w:r>
              <w:rPr>
                <w:sz w:val="16"/>
              </w:rPr>
              <w:t>Decision</w:t>
            </w:r>
            <w:proofErr w:type="gramEnd"/>
            <w:r>
              <w:rPr>
                <w:sz w:val="16"/>
              </w:rPr>
              <w:t xml:space="preserve"> Outcomes Inventory;</w:t>
            </w:r>
          </w:p>
        </w:tc>
      </w:tr>
    </w:tbl>
    <w:p w:rsidR="00157A70" w:rsidRDefault="00316F15">
      <w:pPr>
        <w:spacing w:line="278" w:lineRule="auto"/>
        <w:ind w:left="-15" w:right="0" w:firstLine="0"/>
      </w:pPr>
      <w:proofErr w:type="gramStart"/>
      <w:r>
        <w:rPr>
          <w:i/>
          <w:sz w:val="16"/>
        </w:rPr>
        <w:t xml:space="preserve">ns </w:t>
      </w:r>
      <w:r>
        <w:rPr>
          <w:rFonts w:ascii="Calibri" w:eastAsia="Calibri" w:hAnsi="Calibri" w:cs="Calibri"/>
          <w:sz w:val="16"/>
        </w:rPr>
        <w:t xml:space="preserve"> </w:t>
      </w:r>
      <w:r>
        <w:rPr>
          <w:sz w:val="16"/>
        </w:rPr>
        <w:t>nonsignificant</w:t>
      </w:r>
      <w:proofErr w:type="gramEnd"/>
      <w:r>
        <w:rPr>
          <w:sz w:val="16"/>
        </w:rPr>
        <w:t>; dashes indicate data that are not applicable.</w:t>
      </w:r>
    </w:p>
    <w:p w:rsidR="00157A70" w:rsidRDefault="00316F15">
      <w:pPr>
        <w:spacing w:after="242" w:line="278" w:lineRule="auto"/>
        <w:ind w:left="-15" w:right="0" w:firstLine="0"/>
      </w:pPr>
      <w:r>
        <w:rPr>
          <w:sz w:val="16"/>
          <w:vertAlign w:val="superscript"/>
        </w:rPr>
        <w:t xml:space="preserve">* </w:t>
      </w:r>
      <w:proofErr w:type="gramStart"/>
      <w:r>
        <w:rPr>
          <w:i/>
          <w:sz w:val="16"/>
        </w:rPr>
        <w:t xml:space="preserve">p </w:t>
      </w:r>
      <w:r>
        <w:rPr>
          <w:rFonts w:ascii="Calibri" w:eastAsia="Calibri" w:hAnsi="Calibri" w:cs="Calibri"/>
          <w:sz w:val="16"/>
        </w:rPr>
        <w:t xml:space="preserve"> </w:t>
      </w:r>
      <w:r>
        <w:rPr>
          <w:sz w:val="16"/>
        </w:rPr>
        <w:t>.</w:t>
      </w:r>
      <w:proofErr w:type="gramEnd"/>
      <w:r>
        <w:rPr>
          <w:sz w:val="16"/>
        </w:rPr>
        <w:t xml:space="preserve">05. </w:t>
      </w:r>
      <w:r>
        <w:rPr>
          <w:sz w:val="16"/>
          <w:vertAlign w:val="superscript"/>
        </w:rPr>
        <w:t xml:space="preserve">** </w:t>
      </w:r>
      <w:proofErr w:type="gramStart"/>
      <w:r>
        <w:rPr>
          <w:i/>
          <w:sz w:val="16"/>
        </w:rPr>
        <w:t xml:space="preserve">p </w:t>
      </w:r>
      <w:r>
        <w:rPr>
          <w:rFonts w:ascii="Calibri" w:eastAsia="Calibri" w:hAnsi="Calibri" w:cs="Calibri"/>
          <w:sz w:val="16"/>
        </w:rPr>
        <w:t xml:space="preserve"> </w:t>
      </w:r>
      <w:r>
        <w:rPr>
          <w:sz w:val="16"/>
        </w:rPr>
        <w:t>.</w:t>
      </w:r>
      <w:proofErr w:type="gramEnd"/>
      <w:r>
        <w:rPr>
          <w:sz w:val="16"/>
        </w:rPr>
        <w:t xml:space="preserve">01. </w:t>
      </w:r>
      <w:r>
        <w:rPr>
          <w:sz w:val="16"/>
          <w:vertAlign w:val="superscript"/>
        </w:rPr>
        <w:t xml:space="preserve">*** </w:t>
      </w:r>
      <w:proofErr w:type="gramStart"/>
      <w:r>
        <w:rPr>
          <w:i/>
          <w:sz w:val="16"/>
        </w:rPr>
        <w:t xml:space="preserve">p </w:t>
      </w:r>
      <w:r>
        <w:rPr>
          <w:rFonts w:ascii="Calibri" w:eastAsia="Calibri" w:hAnsi="Calibri" w:cs="Calibri"/>
          <w:sz w:val="16"/>
        </w:rPr>
        <w:t xml:space="preserve"> </w:t>
      </w:r>
      <w:r>
        <w:rPr>
          <w:sz w:val="16"/>
        </w:rPr>
        <w:t>.</w:t>
      </w:r>
      <w:proofErr w:type="gramEnd"/>
      <w:r>
        <w:rPr>
          <w:sz w:val="16"/>
        </w:rPr>
        <w:t>001.</w:t>
      </w:r>
    </w:p>
    <w:p w:rsidR="00157A70" w:rsidRDefault="00316F15">
      <w:pPr>
        <w:ind w:left="-15" w:right="0" w:firstLine="0"/>
      </w:pPr>
      <w:r>
        <w:t xml:space="preserve">.001). Descriptive statistics are </w:t>
      </w:r>
      <w:proofErr w:type="gramStart"/>
      <w:r>
        <w:rPr>
          <w:i/>
        </w:rPr>
        <w:t xml:space="preserve">M </w:t>
      </w:r>
      <w:r>
        <w:rPr>
          <w:rFonts w:ascii="Calibri" w:eastAsia="Calibri" w:hAnsi="Calibri" w:cs="Calibri"/>
        </w:rPr>
        <w:t xml:space="preserve"> </w:t>
      </w:r>
      <w:r>
        <w:t>18.7</w:t>
      </w:r>
      <w:proofErr w:type="gramEnd"/>
      <w:r>
        <w:t xml:space="preserve"> out of 30, </w:t>
      </w:r>
      <w:r>
        <w:rPr>
          <w:i/>
        </w:rPr>
        <w:t xml:space="preserve">SD </w:t>
      </w:r>
      <w:r>
        <w:rPr>
          <w:rFonts w:ascii="Calibri" w:eastAsia="Calibri" w:hAnsi="Calibri" w:cs="Calibri"/>
        </w:rPr>
        <w:t xml:space="preserve"> </w:t>
      </w:r>
      <w:r>
        <w:t xml:space="preserve">6.52 for Raven; </w:t>
      </w:r>
      <w:r>
        <w:rPr>
          <w:i/>
        </w:rPr>
        <w:t xml:space="preserve">M </w:t>
      </w:r>
      <w:r>
        <w:rPr>
          <w:rFonts w:ascii="Calibri" w:eastAsia="Calibri" w:hAnsi="Calibri" w:cs="Calibri"/>
        </w:rPr>
        <w:t xml:space="preserve"> </w:t>
      </w:r>
      <w:r>
        <w:t xml:space="preserve">10.4 out of 38, </w:t>
      </w:r>
      <w:r>
        <w:rPr>
          <w:i/>
        </w:rPr>
        <w:t xml:space="preserve">SD </w:t>
      </w:r>
      <w:r>
        <w:rPr>
          <w:rFonts w:ascii="Calibri" w:eastAsia="Calibri" w:hAnsi="Calibri" w:cs="Calibri"/>
        </w:rPr>
        <w:t xml:space="preserve"> </w:t>
      </w:r>
      <w:r>
        <w:t>5.67 for Nelson-Denny.</w:t>
      </w:r>
      <w:r>
        <w:rPr>
          <w:vertAlign w:val="superscript"/>
        </w:rPr>
        <w:footnoteReference w:id="10"/>
      </w:r>
    </w:p>
    <w:p w:rsidR="00157A70" w:rsidRDefault="00316F15">
      <w:pPr>
        <w:ind w:left="-15" w:right="0"/>
      </w:pPr>
      <w:r>
        <w:lastRenderedPageBreak/>
        <w:t xml:space="preserve">Table 5 shows that each cognitive ability score is higher for participants who perform better on each A-DMC component. The weakest correlations are with Resistance to Sunk Costs and Path Independence, the two tasks most weakly related to overall A-DMC. The overall </w:t>
      </w:r>
      <w:proofErr w:type="spellStart"/>
      <w:r>
        <w:t>Strube</w:t>
      </w:r>
      <w:proofErr w:type="spellEnd"/>
      <w:r>
        <w:t xml:space="preserve"> analysis indicates that, except for Path Independence, higher A-DMC component scores are related to</w:t>
      </w:r>
    </w:p>
    <w:p w:rsidR="00157A70" w:rsidRDefault="00316F15">
      <w:pPr>
        <w:spacing w:after="37"/>
        <w:ind w:left="-15" w:right="0" w:firstLine="0"/>
      </w:pPr>
      <w:r>
        <w:t>better cognitive ability.</w:t>
      </w:r>
      <w:r>
        <w:rPr>
          <w:vertAlign w:val="superscript"/>
        </w:rPr>
        <w:footnoteReference w:id="11"/>
      </w:r>
    </w:p>
    <w:p w:rsidR="00157A70" w:rsidRDefault="00316F15">
      <w:pPr>
        <w:ind w:left="-15" w:right="0"/>
      </w:pPr>
      <w:r>
        <w:t xml:space="preserve">Table 5 also shows that participants with higher overall A-DMC performance have better Raven SPM and Nelson-Denny scores. The </w:t>
      </w:r>
      <w:proofErr w:type="spellStart"/>
      <w:r>
        <w:t>Strube</w:t>
      </w:r>
      <w:proofErr w:type="spellEnd"/>
      <w:r>
        <w:t xml:space="preserve"> analysis across these correlations is also significant, supporting the nomological validity of the A-DMC measures.</w:t>
      </w:r>
    </w:p>
    <w:p w:rsidR="00157A70" w:rsidRDefault="00316F15">
      <w:pPr>
        <w:ind w:left="-15" w:right="0"/>
      </w:pPr>
      <w:r>
        <w:rPr>
          <w:i/>
        </w:rPr>
        <w:t xml:space="preserve">Aim 2d: Decision-making styles. </w:t>
      </w:r>
      <w:r>
        <w:t>On a 5-point scale, mean self-ratings are 3.00 (</w:t>
      </w:r>
      <w:r>
        <w:rPr>
          <w:i/>
        </w:rPr>
        <w:t xml:space="preserve">SD </w:t>
      </w:r>
      <w:r>
        <w:rPr>
          <w:rFonts w:ascii="Calibri" w:eastAsia="Calibri" w:hAnsi="Calibri" w:cs="Calibri"/>
        </w:rPr>
        <w:t xml:space="preserve"> </w:t>
      </w:r>
      <w:r>
        <w:t>.78) for experiencing regret about decisions, 2.93 (</w:t>
      </w:r>
      <w:r>
        <w:rPr>
          <w:i/>
        </w:rPr>
        <w:t xml:space="preserve">SD </w:t>
      </w:r>
      <w:r>
        <w:rPr>
          <w:rFonts w:ascii="Calibri" w:eastAsia="Calibri" w:hAnsi="Calibri" w:cs="Calibri"/>
        </w:rPr>
        <w:t xml:space="preserve"> </w:t>
      </w:r>
      <w:r>
        <w:t>.65) for needlessly maximizing, 3.75 (</w:t>
      </w:r>
      <w:r>
        <w:rPr>
          <w:i/>
        </w:rPr>
        <w:t xml:space="preserve">SD </w:t>
      </w:r>
      <w:r>
        <w:rPr>
          <w:rFonts w:ascii="Calibri" w:eastAsia="Calibri" w:hAnsi="Calibri" w:cs="Calibri"/>
        </w:rPr>
        <w:t xml:space="preserve"> </w:t>
      </w:r>
      <w:r>
        <w:t>.61) for using behavioral coping strategies, 3.84 (</w:t>
      </w:r>
      <w:r>
        <w:rPr>
          <w:i/>
        </w:rPr>
        <w:t xml:space="preserve">SD </w:t>
      </w:r>
      <w:r>
        <w:rPr>
          <w:rFonts w:ascii="Calibri" w:eastAsia="Calibri" w:hAnsi="Calibri" w:cs="Calibri"/>
        </w:rPr>
        <w:t xml:space="preserve"> </w:t>
      </w:r>
      <w:r>
        <w:t>.79) for making decisions rationally, 3.65 (</w:t>
      </w:r>
      <w:r>
        <w:rPr>
          <w:i/>
        </w:rPr>
        <w:t xml:space="preserve">SD </w:t>
      </w:r>
      <w:r>
        <w:rPr>
          <w:rFonts w:ascii="Calibri" w:eastAsia="Calibri" w:hAnsi="Calibri" w:cs="Calibri"/>
        </w:rPr>
        <w:t xml:space="preserve"> </w:t>
      </w:r>
      <w:r>
        <w:t>.84) for deciding intuitively, 3.38 (</w:t>
      </w:r>
      <w:r>
        <w:rPr>
          <w:i/>
        </w:rPr>
        <w:t xml:space="preserve">SD </w:t>
      </w:r>
      <w:r>
        <w:rPr>
          <w:rFonts w:ascii="Calibri" w:eastAsia="Calibri" w:hAnsi="Calibri" w:cs="Calibri"/>
        </w:rPr>
        <w:t xml:space="preserve"> </w:t>
      </w:r>
      <w:r>
        <w:t>.88) for depending on others when making decisions, 2.59 (</w:t>
      </w:r>
      <w:r>
        <w:rPr>
          <w:i/>
        </w:rPr>
        <w:t xml:space="preserve">SD </w:t>
      </w:r>
      <w:r>
        <w:rPr>
          <w:rFonts w:ascii="Calibri" w:eastAsia="Calibri" w:hAnsi="Calibri" w:cs="Calibri"/>
        </w:rPr>
        <w:t xml:space="preserve"> </w:t>
      </w:r>
      <w:r>
        <w:t>1.00) for avoiding decisions, and 2.63 (</w:t>
      </w:r>
      <w:r>
        <w:rPr>
          <w:i/>
        </w:rPr>
        <w:t xml:space="preserve">SD </w:t>
      </w:r>
      <w:r>
        <w:rPr>
          <w:rFonts w:ascii="Calibri" w:eastAsia="Calibri" w:hAnsi="Calibri" w:cs="Calibri"/>
        </w:rPr>
        <w:t xml:space="preserve"> </w:t>
      </w:r>
      <w:r>
        <w:t>.93) for making spontaneous decisions. Thus, there is enough variance in these responses to make correlations with other measures possible.</w:t>
      </w:r>
    </w:p>
    <w:p w:rsidR="00157A70" w:rsidRDefault="00316F15">
      <w:pPr>
        <w:ind w:left="-15" w:right="0"/>
      </w:pPr>
      <w:r>
        <w:t xml:space="preserve">The next section of Table 5 shows modest correlations between decision-making styles and the A-DMC, both for the component measures and overall. </w:t>
      </w:r>
      <w:proofErr w:type="spellStart"/>
      <w:r>
        <w:t>Strube</w:t>
      </w:r>
      <w:proofErr w:type="spellEnd"/>
      <w:r>
        <w:t xml:space="preserve"> analyses measure the extent to which A-DMC scores (both components and overall) correlate in the expected directions with decision-making style scores (shown </w:t>
      </w:r>
      <w:proofErr w:type="gramStart"/>
      <w:r>
        <w:t xml:space="preserve">as </w:t>
      </w:r>
      <w:r>
        <w:rPr>
          <w:rFonts w:ascii="Calibri" w:eastAsia="Calibri" w:hAnsi="Calibri" w:cs="Calibri"/>
        </w:rPr>
        <w:t xml:space="preserve"> </w:t>
      </w:r>
      <w:r>
        <w:t>or</w:t>
      </w:r>
      <w:proofErr w:type="gramEnd"/>
      <w:r>
        <w:t xml:space="preserve"> ). Recognizing Social Norms, Under/overconfidence, Applying Decision Rules, Consistency in Risk Perception, and Resistance to Sunk Costs are significantly related to effective decision-making styles, but Resistance to Framing and Path Independence are not.</w:t>
      </w:r>
    </w:p>
    <w:p w:rsidR="00157A70" w:rsidRDefault="00316F15">
      <w:pPr>
        <w:spacing w:after="300"/>
        <w:ind w:left="-15" w:right="0"/>
      </w:pPr>
      <w:r>
        <w:t xml:space="preserve">Most constructive decision-making styles are associated with better overall A-DMC component scores. The exception is the tendency to depend on others when making decisions was demonstrated, which shows no significant correlation with any A-DMC component. The overall </w:t>
      </w:r>
      <w:proofErr w:type="spellStart"/>
      <w:r>
        <w:t>Strube</w:t>
      </w:r>
      <w:proofErr w:type="spellEnd"/>
      <w:r>
        <w:t xml:space="preserve"> analyses indicate significant relationships, again supporting the validity of the A-DMC measures.</w:t>
      </w:r>
    </w:p>
    <w:p w:rsidR="00157A70" w:rsidRDefault="00316F15">
      <w:pPr>
        <w:pStyle w:val="2"/>
        <w:ind w:left="-5"/>
      </w:pPr>
      <w:r>
        <w:t>Aim 3: Assess the Predictive Validity of the A-DMC</w:t>
      </w:r>
    </w:p>
    <w:p w:rsidR="00157A70" w:rsidRDefault="00316F15">
      <w:pPr>
        <w:ind w:left="-15" w:right="0"/>
      </w:pPr>
      <w:r>
        <w:t xml:space="preserve">Appendix B shows the percentage of participants who report decisions that create the opportunity to experience each negative outcome on the DOI as well as the percentage who report experiencing each outcome, given the opportunity. The least common outcome is “gotten more than 5 speeding tickets,” reported by 3.9% out of the 89.1% who had driven a car in the last 10 years. The most common outcome is “threw out food or groceries you had </w:t>
      </w:r>
      <w:r>
        <w:t>bought because they went bad,” reported by 80.8% out of the 99.4% who reported shopping for food or groceries in the last 10 years.</w:t>
      </w:r>
    </w:p>
    <w:p w:rsidR="00157A70" w:rsidRDefault="00316F15">
      <w:pPr>
        <w:ind w:left="-15" w:right="0"/>
      </w:pPr>
      <w:r>
        <w:t>On average, participants report decisions that could have produced 78.7% (</w:t>
      </w:r>
      <w:proofErr w:type="gramStart"/>
      <w:r>
        <w:rPr>
          <w:i/>
        </w:rPr>
        <w:t xml:space="preserve">SD </w:t>
      </w:r>
      <w:r>
        <w:rPr>
          <w:rFonts w:ascii="Calibri" w:eastAsia="Calibri" w:hAnsi="Calibri" w:cs="Calibri"/>
        </w:rPr>
        <w:t xml:space="preserve"> </w:t>
      </w:r>
      <w:r>
        <w:t>17.1</w:t>
      </w:r>
      <w:proofErr w:type="gramEnd"/>
      <w:r>
        <w:t>) of the DOI’s 35 outcomes. As mentioned, six additional outcomes are not limited to one specific decision (e.g., declared bankruptcy) and are counted as possible for all participants. Overall, participants self-report 28.3% (</w:t>
      </w:r>
      <w:proofErr w:type="gramStart"/>
      <w:r>
        <w:rPr>
          <w:i/>
        </w:rPr>
        <w:t xml:space="preserve">SD </w:t>
      </w:r>
      <w:r>
        <w:rPr>
          <w:rFonts w:ascii="Calibri" w:eastAsia="Calibri" w:hAnsi="Calibri" w:cs="Calibri"/>
        </w:rPr>
        <w:t xml:space="preserve"> </w:t>
      </w:r>
      <w:r>
        <w:t>16.3</w:t>
      </w:r>
      <w:proofErr w:type="gramEnd"/>
      <w:r>
        <w:t xml:space="preserve">) of the negative outcomes they could have experienced. Only 7 (of the 360) participants reported opportunities for all negative outcomes. Because Cronbach’s alpha and factor analyses require complete data for every participant, we computed them across the DOI’s decision outcomes, regardless of whether participants had reported decisions that created an opportunity to experience them. Only for these analyses, we treat participants who never made the relevant decision as having avoided the negative outcome. Cronbach’s alpha is .88 across the 41 possible negative outcomes, suggesting reliable individual differences in the tendency to experience negative decision outcomes. All 41 outcomes load above .30 on a one-factor solution, except for three items asking participants whether they had (a) broken a bone because you fell, slipped, or </w:t>
      </w:r>
      <w:proofErr w:type="spellStart"/>
      <w:r>
        <w:t>misstepped</w:t>
      </w:r>
      <w:proofErr w:type="spellEnd"/>
      <w:r>
        <w:t>; (b) been diagnosed with Type 2 diabetes; and (c) lost more than $1,000 on a stock market investment. Removing these items does not change Cronbach’s alpha (.88) and barely affects the aggregate DOI score (</w:t>
      </w:r>
      <w:proofErr w:type="gramStart"/>
      <w:r>
        <w:rPr>
          <w:i/>
        </w:rPr>
        <w:t xml:space="preserve">r </w:t>
      </w:r>
      <w:r>
        <w:rPr>
          <w:rFonts w:ascii="Calibri" w:eastAsia="Calibri" w:hAnsi="Calibri" w:cs="Calibri"/>
        </w:rPr>
        <w:t xml:space="preserve"> </w:t>
      </w:r>
      <w:r>
        <w:t>.</w:t>
      </w:r>
      <w:proofErr w:type="gramEnd"/>
      <w:r>
        <w:t xml:space="preserve">99, </w:t>
      </w:r>
      <w:r>
        <w:rPr>
          <w:i/>
        </w:rPr>
        <w:t xml:space="preserve">p </w:t>
      </w:r>
      <w:r>
        <w:rPr>
          <w:rFonts w:ascii="Calibri" w:eastAsia="Calibri" w:hAnsi="Calibri" w:cs="Calibri"/>
        </w:rPr>
        <w:t xml:space="preserve"> </w:t>
      </w:r>
      <w:r>
        <w:t>.001).</w:t>
      </w:r>
    </w:p>
    <w:p w:rsidR="00157A70" w:rsidRDefault="00316F15">
      <w:pPr>
        <w:ind w:left="-15" w:right="0" w:firstLine="0"/>
      </w:pPr>
      <w:r>
        <w:t>They are retained in the analyses.</w:t>
      </w:r>
    </w:p>
    <w:p w:rsidR="00157A70" w:rsidRDefault="00316F15">
      <w:pPr>
        <w:ind w:left="-15" w:right="0"/>
      </w:pPr>
      <w:r>
        <w:t>As mentioned, the overall DOI score is calculated by weighting each negative outcome that a respondent could have experienced by the proportion of participants who have not experienced it (as a proxy for outcome severity). The average score across items is then subtracted from zero so that higher scores reflect better outcomes. The mean DOI score is .15 (</w:t>
      </w:r>
      <w:proofErr w:type="gramStart"/>
      <w:r>
        <w:rPr>
          <w:i/>
        </w:rPr>
        <w:t xml:space="preserve">SD </w:t>
      </w:r>
      <w:r>
        <w:rPr>
          <w:rFonts w:ascii="Calibri" w:eastAsia="Calibri" w:hAnsi="Calibri" w:cs="Calibri"/>
        </w:rPr>
        <w:t xml:space="preserve"> </w:t>
      </w:r>
      <w:r>
        <w:t>.</w:t>
      </w:r>
      <w:proofErr w:type="gramEnd"/>
      <w:r>
        <w:t>11). It is highly correlated with the unweighted percentage of negative decision outcomes (</w:t>
      </w:r>
      <w:proofErr w:type="gramStart"/>
      <w:r>
        <w:rPr>
          <w:i/>
        </w:rPr>
        <w:t xml:space="preserve">r </w:t>
      </w:r>
      <w:r>
        <w:rPr>
          <w:rFonts w:ascii="Calibri" w:eastAsia="Calibri" w:hAnsi="Calibri" w:cs="Calibri"/>
        </w:rPr>
        <w:t xml:space="preserve"> </w:t>
      </w:r>
      <w:r>
        <w:t>.</w:t>
      </w:r>
      <w:proofErr w:type="gramEnd"/>
      <w:r>
        <w:t xml:space="preserve">92, </w:t>
      </w:r>
      <w:r>
        <w:rPr>
          <w:i/>
        </w:rPr>
        <w:t xml:space="preserve">p </w:t>
      </w:r>
      <w:r>
        <w:rPr>
          <w:rFonts w:ascii="Calibri" w:eastAsia="Calibri" w:hAnsi="Calibri" w:cs="Calibri"/>
        </w:rPr>
        <w:t xml:space="preserve"> </w:t>
      </w:r>
      <w:r>
        <w:t xml:space="preserve">.001) but not with the percentage of decisions that could have produced them (Part a of each DOI item; </w:t>
      </w:r>
      <w:r>
        <w:rPr>
          <w:i/>
        </w:rPr>
        <w:t xml:space="preserve">r </w:t>
      </w:r>
      <w:r>
        <w:t xml:space="preserve">.08, </w:t>
      </w:r>
      <w:r>
        <w:rPr>
          <w:i/>
        </w:rPr>
        <w:t xml:space="preserve">p </w:t>
      </w:r>
      <w:r>
        <w:rPr>
          <w:rFonts w:ascii="Calibri" w:eastAsia="Calibri" w:hAnsi="Calibri" w:cs="Calibri"/>
        </w:rPr>
        <w:t xml:space="preserve"> </w:t>
      </w:r>
      <w:r>
        <w:t>.18).</w:t>
      </w:r>
    </w:p>
    <w:p w:rsidR="00157A70" w:rsidRDefault="00316F15">
      <w:pPr>
        <w:ind w:left="-15" w:right="0"/>
      </w:pPr>
      <w:r>
        <w:t>With the exception of Resistance to Framing and Path Independence, Table 5 reveals significant positive correlations between A-DMC component scores and its overall score with the DOI. That pattern generally remains in part correlations, controlling, separately, for cognitive ability, age, SES, and decision-making styles.</w:t>
      </w:r>
      <w:r>
        <w:rPr>
          <w:vertAlign w:val="superscript"/>
        </w:rPr>
        <w:footnoteReference w:id="12"/>
      </w:r>
      <w:r>
        <w:rPr>
          <w:vertAlign w:val="superscript"/>
        </w:rPr>
        <w:t>,</w:t>
      </w:r>
      <w:r>
        <w:rPr>
          <w:vertAlign w:val="superscript"/>
        </w:rPr>
        <w:footnoteReference w:id="13"/>
      </w:r>
      <w:r>
        <w:rPr>
          <w:vertAlign w:val="superscript"/>
        </w:rPr>
        <w:t xml:space="preserve"> </w:t>
      </w:r>
      <w:r>
        <w:t>However, Under/overconfidence and Consistency in Risk Perception are no longer significant after controlling for decision-making styles.</w:t>
      </w:r>
    </w:p>
    <w:p w:rsidR="00157A70" w:rsidRDefault="00316F15">
      <w:pPr>
        <w:ind w:left="-15" w:right="0"/>
      </w:pPr>
      <w:r>
        <w:t xml:space="preserve">The final column of Table 5 shows correlations between DOI scores and our other measures, showing patterns similar to those for A-DMC scores. DOI scores are worse for participants recruited </w:t>
      </w:r>
      <w:r>
        <w:lastRenderedPageBreak/>
        <w:t>through social service sites but are not significantly related to education.</w:t>
      </w:r>
      <w:r>
        <w:rPr>
          <w:vertAlign w:val="superscript"/>
        </w:rPr>
        <w:t xml:space="preserve">15 </w:t>
      </w:r>
      <w:r>
        <w:t xml:space="preserve">Overall, the </w:t>
      </w:r>
      <w:proofErr w:type="spellStart"/>
      <w:r>
        <w:t>Strube</w:t>
      </w:r>
      <w:proofErr w:type="spellEnd"/>
      <w:r>
        <w:t xml:space="preserve"> analysis shows a significant relationship between the DOI and these SES measures. Older participants report better decision outcomes on the DOI. Furthermore, participants with higher DOI scores have better Raven and </w:t>
      </w:r>
      <w:proofErr w:type="spellStart"/>
      <w:r>
        <w:t>NelsonDenny</w:t>
      </w:r>
      <w:proofErr w:type="spellEnd"/>
      <w:r>
        <w:t xml:space="preserve"> scores as well as a significant </w:t>
      </w:r>
      <w:proofErr w:type="spellStart"/>
      <w:r>
        <w:t>Strube</w:t>
      </w:r>
      <w:proofErr w:type="spellEnd"/>
      <w:r>
        <w:t xml:space="preserve"> analysis result across these cognitive ability measures. More constructive </w:t>
      </w:r>
      <w:proofErr w:type="spellStart"/>
      <w:r>
        <w:t>decisionmaking</w:t>
      </w:r>
      <w:proofErr w:type="spellEnd"/>
      <w:r>
        <w:t xml:space="preserve"> styles are generally associated with better overall A-DMC and DOI scores. The exception is the tendency to depend on others when making decisions. The overall </w:t>
      </w:r>
      <w:proofErr w:type="spellStart"/>
      <w:r>
        <w:t>Strube</w:t>
      </w:r>
      <w:proofErr w:type="spellEnd"/>
      <w:r>
        <w:t xml:space="preserve"> analyses also reveal highly significant relationships.</w:t>
      </w:r>
    </w:p>
    <w:p w:rsidR="00157A70" w:rsidRDefault="00316F15">
      <w:pPr>
        <w:ind w:left="-15" w:right="0"/>
      </w:pPr>
      <w:r>
        <w:t>To examine the A-DMC’s overlap with other measures, Table 6 shows hierarchical regressions adopted from Finucane et al. (2005). The first set predicts DOI scores from measures of cognitive ability and A-DMC, entered in separate steps. Analysis 1a suggests that A-DMC alone explains 16% of DOI variance. Entering cognitive ability in Step 2 explains 1% of additional variance. Analysis 1b, which reverses these steps, shows that cognitive ability alone accounts for 4% of the variance in the DOI, with A-DMC components entered in Step 2 adding 12% of explained variance. Thus, the A-DMC may mediate the relationship between cognitive ability and the DOI.</w:t>
      </w:r>
    </w:p>
    <w:p w:rsidR="00157A70" w:rsidRDefault="00316F15">
      <w:pPr>
        <w:ind w:left="-15" w:right="0"/>
      </w:pPr>
      <w:r>
        <w:t>A comparison of</w:t>
      </w:r>
      <w:r>
        <w:rPr>
          <w:rFonts w:ascii="Calibri" w:eastAsia="Calibri" w:hAnsi="Calibri" w:cs="Calibri"/>
        </w:rPr>
        <w:tab/>
      </w:r>
      <w:r>
        <w:rPr>
          <w:i/>
        </w:rPr>
        <w:t>R</w:t>
      </w:r>
      <w:r>
        <w:rPr>
          <w:vertAlign w:val="superscript"/>
        </w:rPr>
        <w:t xml:space="preserve">2 </w:t>
      </w:r>
      <w:r>
        <w:t>measures in Step 1 of Analyses 1a and Step 2 of Analysis 1b reveals that A-DMC’s explanation of DOI variance decreases from 16% to 12% after controlling for cognitive ability. Thus, cognitive ability accounts for 25% (4% out of 16%) of A-DMC-related variance in the DOI. The converse analysis reveals that the A-DMC accounts for 75% (3% out of 4%) of the variance because of cognitive ability in the DOI.</w:t>
      </w:r>
    </w:p>
    <w:p w:rsidR="00157A70" w:rsidRDefault="00316F15">
      <w:pPr>
        <w:ind w:left="-15" w:right="0"/>
      </w:pPr>
      <w:r>
        <w:t>A second set of hierarchical regressions (in Table 6) predicts DOI scores from measures of decision-making styles and A-DMC components. Analysis 2a shows that decision-making styles add 15% to the 16% of DOI variance explained by the A-DMC alone; Analysis 2b shows that the A-DMC adds 8% to the 23% of DOI variance explained by decision-making styles. Thus, decision-</w:t>
      </w:r>
    </w:p>
    <w:tbl>
      <w:tblPr>
        <w:tblStyle w:val="TableGrid"/>
        <w:tblpPr w:vertAnchor="text" w:horzAnchor="margin"/>
        <w:tblOverlap w:val="never"/>
        <w:tblW w:w="9962" w:type="dxa"/>
        <w:tblInd w:w="0" w:type="dxa"/>
        <w:tblCellMar>
          <w:right w:w="2" w:type="dxa"/>
        </w:tblCellMar>
        <w:tblLook w:val="04A0" w:firstRow="1" w:lastRow="0" w:firstColumn="1" w:lastColumn="0" w:noHBand="0" w:noVBand="1"/>
      </w:tblPr>
      <w:tblGrid>
        <w:gridCol w:w="9962"/>
      </w:tblGrid>
      <w:tr w:rsidR="00157A70">
        <w:trPr>
          <w:trHeight w:val="3455"/>
        </w:trPr>
        <w:tc>
          <w:tcPr>
            <w:tcW w:w="6274" w:type="dxa"/>
            <w:tcBorders>
              <w:top w:val="nil"/>
              <w:left w:val="nil"/>
              <w:bottom w:val="nil"/>
              <w:right w:val="nil"/>
            </w:tcBorders>
          </w:tcPr>
          <w:p w:rsidR="00157A70" w:rsidRDefault="00316F15">
            <w:pPr>
              <w:spacing w:after="0" w:line="259" w:lineRule="auto"/>
              <w:ind w:right="0" w:firstLine="0"/>
              <w:jc w:val="left"/>
            </w:pPr>
            <w:r>
              <w:t>Table 6</w:t>
            </w:r>
          </w:p>
          <w:p w:rsidR="00157A70" w:rsidRDefault="00316F15">
            <w:pPr>
              <w:spacing w:after="0" w:line="259" w:lineRule="auto"/>
              <w:ind w:right="0" w:firstLine="0"/>
              <w:jc w:val="left"/>
            </w:pPr>
            <w:r>
              <w:rPr>
                <w:i/>
              </w:rPr>
              <w:t>Hierarchical Regressions on the DOI</w:t>
            </w:r>
          </w:p>
          <w:tbl>
            <w:tblPr>
              <w:tblStyle w:val="TableGrid"/>
              <w:tblW w:w="9960" w:type="dxa"/>
              <w:tblInd w:w="0" w:type="dxa"/>
              <w:tblCellMar>
                <w:top w:w="15" w:type="dxa"/>
                <w:bottom w:w="9" w:type="dxa"/>
                <w:right w:w="20" w:type="dxa"/>
              </w:tblCellMar>
              <w:tblLook w:val="04A0" w:firstRow="1" w:lastRow="0" w:firstColumn="1" w:lastColumn="0" w:noHBand="0" w:noVBand="1"/>
            </w:tblPr>
            <w:tblGrid>
              <w:gridCol w:w="3284"/>
              <w:gridCol w:w="1627"/>
              <w:gridCol w:w="1899"/>
              <w:gridCol w:w="1300"/>
              <w:gridCol w:w="1850"/>
            </w:tblGrid>
            <w:tr w:rsidR="00157A70">
              <w:trPr>
                <w:trHeight w:val="365"/>
              </w:trPr>
              <w:tc>
                <w:tcPr>
                  <w:tcW w:w="3283" w:type="dxa"/>
                  <w:tcBorders>
                    <w:top w:val="single" w:sz="8" w:space="0" w:color="181717"/>
                    <w:left w:val="nil"/>
                    <w:bottom w:val="single" w:sz="4" w:space="0" w:color="181717"/>
                    <w:right w:val="nil"/>
                  </w:tcBorders>
                </w:tcPr>
                <w:p w:rsidR="00157A70" w:rsidRDefault="00316F15" w:rsidP="00E25B31">
                  <w:pPr>
                    <w:framePr w:wrap="around" w:vAnchor="text" w:hAnchor="margin"/>
                    <w:spacing w:after="0" w:line="259" w:lineRule="auto"/>
                    <w:ind w:left="428" w:right="0" w:firstLine="0"/>
                    <w:suppressOverlap/>
                    <w:jc w:val="left"/>
                  </w:pPr>
                  <w:r>
                    <w:rPr>
                      <w:sz w:val="16"/>
                    </w:rPr>
                    <w:t>Independent variable</w:t>
                  </w:r>
                </w:p>
              </w:tc>
              <w:tc>
                <w:tcPr>
                  <w:tcW w:w="1627" w:type="dxa"/>
                  <w:tcBorders>
                    <w:top w:val="single" w:sz="8" w:space="0" w:color="181717"/>
                    <w:left w:val="nil"/>
                    <w:bottom w:val="single" w:sz="4" w:space="0" w:color="181717"/>
                    <w:right w:val="nil"/>
                  </w:tcBorders>
                </w:tcPr>
                <w:p w:rsidR="00157A70" w:rsidRDefault="00316F15" w:rsidP="00E25B31">
                  <w:pPr>
                    <w:framePr w:wrap="around" w:vAnchor="text" w:hAnchor="margin"/>
                    <w:spacing w:after="0" w:line="259" w:lineRule="auto"/>
                    <w:ind w:right="0" w:firstLine="0"/>
                    <w:suppressOverlap/>
                    <w:jc w:val="left"/>
                  </w:pPr>
                  <w:r>
                    <w:rPr>
                      <w:sz w:val="16"/>
                    </w:rPr>
                    <w:t xml:space="preserve">Total </w:t>
                  </w:r>
                  <w:r>
                    <w:rPr>
                      <w:i/>
                      <w:sz w:val="16"/>
                    </w:rPr>
                    <w:t>R</w:t>
                  </w:r>
                  <w:r>
                    <w:rPr>
                      <w:sz w:val="16"/>
                      <w:vertAlign w:val="superscript"/>
                    </w:rPr>
                    <w:t>2</w:t>
                  </w:r>
                </w:p>
              </w:tc>
              <w:tc>
                <w:tcPr>
                  <w:tcW w:w="1899" w:type="dxa"/>
                  <w:tcBorders>
                    <w:top w:val="single" w:sz="8" w:space="0" w:color="181717"/>
                    <w:left w:val="nil"/>
                    <w:bottom w:val="single" w:sz="4" w:space="0" w:color="181717"/>
                    <w:right w:val="nil"/>
                  </w:tcBorders>
                </w:tcPr>
                <w:p w:rsidR="00157A70" w:rsidRDefault="00316F15" w:rsidP="00E25B31">
                  <w:pPr>
                    <w:framePr w:wrap="around" w:vAnchor="text" w:hAnchor="margin"/>
                    <w:spacing w:after="0" w:line="259" w:lineRule="auto"/>
                    <w:ind w:right="0" w:firstLine="0"/>
                    <w:suppressOverlap/>
                    <w:jc w:val="left"/>
                  </w:pPr>
                  <w:r>
                    <w:rPr>
                      <w:sz w:val="16"/>
                    </w:rPr>
                    <w:t xml:space="preserve">Adjusted </w:t>
                  </w:r>
                  <w:r>
                    <w:rPr>
                      <w:i/>
                      <w:sz w:val="16"/>
                    </w:rPr>
                    <w:t>R</w:t>
                  </w:r>
                  <w:r>
                    <w:rPr>
                      <w:sz w:val="16"/>
                      <w:vertAlign w:val="superscript"/>
                    </w:rPr>
                    <w:t>2</w:t>
                  </w:r>
                </w:p>
              </w:tc>
              <w:tc>
                <w:tcPr>
                  <w:tcW w:w="1300" w:type="dxa"/>
                  <w:tcBorders>
                    <w:top w:val="single" w:sz="8" w:space="0" w:color="181717"/>
                    <w:left w:val="nil"/>
                    <w:bottom w:val="single" w:sz="4" w:space="0" w:color="181717"/>
                    <w:right w:val="nil"/>
                  </w:tcBorders>
                </w:tcPr>
                <w:p w:rsidR="00157A70" w:rsidRDefault="00316F15" w:rsidP="00E25B31">
                  <w:pPr>
                    <w:framePr w:wrap="around" w:vAnchor="text" w:hAnchor="margin"/>
                    <w:spacing w:after="0" w:line="259" w:lineRule="auto"/>
                    <w:ind w:left="-32" w:right="0" w:firstLine="0"/>
                    <w:suppressOverlap/>
                    <w:jc w:val="left"/>
                  </w:pPr>
                  <w:r>
                    <w:rPr>
                      <w:rFonts w:ascii="Calibri" w:eastAsia="Calibri" w:hAnsi="Calibri" w:cs="Calibri"/>
                      <w:sz w:val="16"/>
                    </w:rPr>
                    <w:tab/>
                  </w:r>
                  <w:r>
                    <w:rPr>
                      <w:i/>
                      <w:sz w:val="16"/>
                    </w:rPr>
                    <w:t>R</w:t>
                  </w:r>
                  <w:r>
                    <w:rPr>
                      <w:sz w:val="10"/>
                    </w:rPr>
                    <w:t>2</w:t>
                  </w:r>
                </w:p>
              </w:tc>
              <w:tc>
                <w:tcPr>
                  <w:tcW w:w="1850" w:type="dxa"/>
                  <w:tcBorders>
                    <w:top w:val="single" w:sz="8" w:space="0" w:color="181717"/>
                    <w:left w:val="nil"/>
                    <w:bottom w:val="single" w:sz="4" w:space="0" w:color="181717"/>
                    <w:right w:val="nil"/>
                  </w:tcBorders>
                </w:tcPr>
                <w:p w:rsidR="00157A70" w:rsidRDefault="00316F15" w:rsidP="00E25B31">
                  <w:pPr>
                    <w:framePr w:wrap="around" w:vAnchor="text" w:hAnchor="margin"/>
                    <w:tabs>
                      <w:tab w:val="center" w:pos="766"/>
                      <w:tab w:val="center" w:pos="1183"/>
                    </w:tabs>
                    <w:spacing w:after="0" w:line="259" w:lineRule="auto"/>
                    <w:ind w:right="0" w:firstLine="0"/>
                    <w:suppressOverlap/>
                    <w:jc w:val="left"/>
                  </w:pPr>
                  <w:r>
                    <w:rPr>
                      <w:rFonts w:ascii="Calibri" w:eastAsia="Calibri" w:hAnsi="Calibri" w:cs="Calibri"/>
                      <w:color w:val="000000"/>
                      <w:sz w:val="22"/>
                    </w:rPr>
                    <w:tab/>
                  </w:r>
                  <w:r>
                    <w:rPr>
                      <w:sz w:val="16"/>
                    </w:rPr>
                    <w:t>Test of</w:t>
                  </w:r>
                  <w:r>
                    <w:rPr>
                      <w:rFonts w:ascii="Calibri" w:eastAsia="Calibri" w:hAnsi="Calibri" w:cs="Calibri"/>
                      <w:sz w:val="16"/>
                    </w:rPr>
                    <w:tab/>
                  </w:r>
                  <w:r>
                    <w:rPr>
                      <w:i/>
                      <w:sz w:val="16"/>
                    </w:rPr>
                    <w:t>R</w:t>
                  </w:r>
                  <w:r>
                    <w:rPr>
                      <w:sz w:val="16"/>
                      <w:vertAlign w:val="superscript"/>
                    </w:rPr>
                    <w:t>2</w:t>
                  </w:r>
                </w:p>
              </w:tc>
            </w:tr>
            <w:tr w:rsidR="00157A70">
              <w:trPr>
                <w:trHeight w:val="479"/>
              </w:trPr>
              <w:tc>
                <w:tcPr>
                  <w:tcW w:w="3283" w:type="dxa"/>
                  <w:tcBorders>
                    <w:top w:val="single" w:sz="4" w:space="0" w:color="181717"/>
                    <w:left w:val="nil"/>
                    <w:bottom w:val="nil"/>
                    <w:right w:val="nil"/>
                  </w:tcBorders>
                  <w:vAlign w:val="bottom"/>
                </w:tcPr>
                <w:p w:rsidR="00157A70" w:rsidRDefault="00316F15" w:rsidP="00E25B31">
                  <w:pPr>
                    <w:framePr w:wrap="around" w:vAnchor="text" w:hAnchor="margin"/>
                    <w:spacing w:after="0" w:line="259" w:lineRule="auto"/>
                    <w:ind w:right="0" w:firstLine="0"/>
                    <w:suppressOverlap/>
                    <w:jc w:val="left"/>
                  </w:pPr>
                  <w:r>
                    <w:rPr>
                      <w:sz w:val="16"/>
                    </w:rPr>
                    <w:t>Analysis 1a</w:t>
                  </w:r>
                </w:p>
                <w:p w:rsidR="00157A70" w:rsidRDefault="00316F15" w:rsidP="00E25B31">
                  <w:pPr>
                    <w:framePr w:wrap="around" w:vAnchor="text" w:hAnchor="margin"/>
                    <w:spacing w:after="0" w:line="259" w:lineRule="auto"/>
                    <w:ind w:left="160" w:right="0" w:firstLine="0"/>
                    <w:suppressOverlap/>
                    <w:jc w:val="left"/>
                  </w:pPr>
                  <w:r>
                    <w:rPr>
                      <w:sz w:val="16"/>
                    </w:rPr>
                    <w:t>Step 1: A-DMC components</w:t>
                  </w:r>
                </w:p>
              </w:tc>
              <w:tc>
                <w:tcPr>
                  <w:tcW w:w="1627" w:type="dxa"/>
                  <w:tcBorders>
                    <w:top w:val="single" w:sz="4" w:space="0" w:color="181717"/>
                    <w:left w:val="nil"/>
                    <w:bottom w:val="nil"/>
                    <w:right w:val="nil"/>
                  </w:tcBorders>
                  <w:vAlign w:val="bottom"/>
                </w:tcPr>
                <w:p w:rsidR="00157A70" w:rsidRDefault="00316F15" w:rsidP="00E25B31">
                  <w:pPr>
                    <w:framePr w:wrap="around" w:vAnchor="text" w:hAnchor="margin"/>
                    <w:spacing w:after="0" w:line="259" w:lineRule="auto"/>
                    <w:ind w:left="174" w:right="0" w:firstLine="0"/>
                    <w:suppressOverlap/>
                    <w:jc w:val="left"/>
                  </w:pPr>
                  <w:r>
                    <w:rPr>
                      <w:sz w:val="16"/>
                    </w:rPr>
                    <w:t>.16</w:t>
                  </w:r>
                </w:p>
              </w:tc>
              <w:tc>
                <w:tcPr>
                  <w:tcW w:w="1899" w:type="dxa"/>
                  <w:tcBorders>
                    <w:top w:val="single" w:sz="4" w:space="0" w:color="181717"/>
                    <w:left w:val="nil"/>
                    <w:bottom w:val="nil"/>
                    <w:right w:val="nil"/>
                  </w:tcBorders>
                  <w:vAlign w:val="bottom"/>
                </w:tcPr>
                <w:p w:rsidR="00157A70" w:rsidRDefault="00316F15" w:rsidP="00E25B31">
                  <w:pPr>
                    <w:framePr w:wrap="around" w:vAnchor="text" w:hAnchor="margin"/>
                    <w:spacing w:after="0" w:line="259" w:lineRule="auto"/>
                    <w:ind w:left="294" w:right="0" w:firstLine="0"/>
                    <w:suppressOverlap/>
                    <w:jc w:val="left"/>
                  </w:pPr>
                  <w:r>
                    <w:rPr>
                      <w:sz w:val="16"/>
                    </w:rPr>
                    <w:t>.13</w:t>
                  </w:r>
                </w:p>
              </w:tc>
              <w:tc>
                <w:tcPr>
                  <w:tcW w:w="1300" w:type="dxa"/>
                  <w:tcBorders>
                    <w:top w:val="single" w:sz="4" w:space="0" w:color="181717"/>
                    <w:left w:val="nil"/>
                    <w:bottom w:val="nil"/>
                    <w:right w:val="nil"/>
                  </w:tcBorders>
                  <w:vAlign w:val="bottom"/>
                </w:tcPr>
                <w:p w:rsidR="00157A70" w:rsidRDefault="00316F15" w:rsidP="00E25B31">
                  <w:pPr>
                    <w:framePr w:wrap="around" w:vAnchor="text" w:hAnchor="margin"/>
                    <w:spacing w:after="0" w:line="259" w:lineRule="auto"/>
                    <w:ind w:right="0" w:firstLine="0"/>
                    <w:suppressOverlap/>
                    <w:jc w:val="left"/>
                  </w:pPr>
                  <w:r>
                    <w:rPr>
                      <w:sz w:val="16"/>
                    </w:rPr>
                    <w:t>.16</w:t>
                  </w:r>
                </w:p>
              </w:tc>
              <w:tc>
                <w:tcPr>
                  <w:tcW w:w="1850" w:type="dxa"/>
                  <w:tcBorders>
                    <w:top w:val="single" w:sz="4" w:space="0" w:color="181717"/>
                    <w:left w:val="nil"/>
                    <w:bottom w:val="nil"/>
                    <w:right w:val="nil"/>
                  </w:tcBorders>
                  <w:vAlign w:val="bottom"/>
                </w:tcPr>
                <w:p w:rsidR="00157A70" w:rsidRDefault="00316F15" w:rsidP="00E25B31">
                  <w:pPr>
                    <w:framePr w:wrap="around" w:vAnchor="text" w:hAnchor="margin"/>
                    <w:spacing w:after="0" w:line="259" w:lineRule="auto"/>
                    <w:ind w:right="0" w:firstLine="0"/>
                    <w:suppressOverlap/>
                  </w:pPr>
                  <w:proofErr w:type="gramStart"/>
                  <w:r>
                    <w:rPr>
                      <w:i/>
                      <w:sz w:val="16"/>
                    </w:rPr>
                    <w:t>F</w:t>
                  </w:r>
                  <w:r>
                    <w:rPr>
                      <w:sz w:val="16"/>
                    </w:rPr>
                    <w:t>(</w:t>
                  </w:r>
                  <w:proofErr w:type="gramEnd"/>
                  <w:r>
                    <w:rPr>
                      <w:sz w:val="16"/>
                    </w:rPr>
                    <w:t xml:space="preserve">7, 270) </w:t>
                  </w:r>
                  <w:r>
                    <w:rPr>
                      <w:rFonts w:ascii="Calibri" w:eastAsia="Calibri" w:hAnsi="Calibri" w:cs="Calibri"/>
                      <w:sz w:val="16"/>
                    </w:rPr>
                    <w:t xml:space="preserve"> </w:t>
                  </w:r>
                  <w:r>
                    <w:rPr>
                      <w:sz w:val="16"/>
                    </w:rPr>
                    <w:t xml:space="preserve">7.13, </w:t>
                  </w:r>
                  <w:r>
                    <w:rPr>
                      <w:i/>
                      <w:sz w:val="16"/>
                    </w:rPr>
                    <w:t xml:space="preserve">p </w:t>
                  </w:r>
                  <w:r>
                    <w:rPr>
                      <w:rFonts w:ascii="Calibri" w:eastAsia="Calibri" w:hAnsi="Calibri" w:cs="Calibri"/>
                      <w:sz w:val="16"/>
                    </w:rPr>
                    <w:t xml:space="preserve"> </w:t>
                  </w:r>
                  <w:r>
                    <w:rPr>
                      <w:sz w:val="16"/>
                    </w:rPr>
                    <w:t>.001</w:t>
                  </w:r>
                </w:p>
              </w:tc>
            </w:tr>
            <w:tr w:rsidR="00157A70">
              <w:trPr>
                <w:trHeight w:val="189"/>
              </w:trPr>
              <w:tc>
                <w:tcPr>
                  <w:tcW w:w="3283" w:type="dxa"/>
                  <w:tcBorders>
                    <w:top w:val="nil"/>
                    <w:left w:val="nil"/>
                    <w:bottom w:val="nil"/>
                    <w:right w:val="nil"/>
                  </w:tcBorders>
                </w:tcPr>
                <w:p w:rsidR="00157A70" w:rsidRDefault="00316F15" w:rsidP="00E25B31">
                  <w:pPr>
                    <w:framePr w:wrap="around" w:vAnchor="text" w:hAnchor="margin"/>
                    <w:spacing w:after="0" w:line="259" w:lineRule="auto"/>
                    <w:ind w:left="160" w:right="0" w:firstLine="0"/>
                    <w:suppressOverlap/>
                    <w:jc w:val="left"/>
                  </w:pPr>
                  <w:r>
                    <w:rPr>
                      <w:sz w:val="16"/>
                    </w:rPr>
                    <w:t>Step 2: Cognitive ability</w:t>
                  </w:r>
                </w:p>
              </w:tc>
              <w:tc>
                <w:tcPr>
                  <w:tcW w:w="1627" w:type="dxa"/>
                  <w:tcBorders>
                    <w:top w:val="nil"/>
                    <w:left w:val="nil"/>
                    <w:bottom w:val="nil"/>
                    <w:right w:val="nil"/>
                  </w:tcBorders>
                </w:tcPr>
                <w:p w:rsidR="00157A70" w:rsidRDefault="00316F15" w:rsidP="00E25B31">
                  <w:pPr>
                    <w:framePr w:wrap="around" w:vAnchor="text" w:hAnchor="margin"/>
                    <w:spacing w:after="0" w:line="259" w:lineRule="auto"/>
                    <w:ind w:left="174" w:right="0" w:firstLine="0"/>
                    <w:suppressOverlap/>
                    <w:jc w:val="left"/>
                  </w:pPr>
                  <w:r>
                    <w:rPr>
                      <w:sz w:val="16"/>
                    </w:rPr>
                    <w:t>.16</w:t>
                  </w:r>
                </w:p>
              </w:tc>
              <w:tc>
                <w:tcPr>
                  <w:tcW w:w="1899" w:type="dxa"/>
                  <w:tcBorders>
                    <w:top w:val="nil"/>
                    <w:left w:val="nil"/>
                    <w:bottom w:val="nil"/>
                    <w:right w:val="nil"/>
                  </w:tcBorders>
                </w:tcPr>
                <w:p w:rsidR="00157A70" w:rsidRDefault="00316F15" w:rsidP="00E25B31">
                  <w:pPr>
                    <w:framePr w:wrap="around" w:vAnchor="text" w:hAnchor="margin"/>
                    <w:spacing w:after="0" w:line="259" w:lineRule="auto"/>
                    <w:ind w:left="294" w:right="0" w:firstLine="0"/>
                    <w:suppressOverlap/>
                    <w:jc w:val="left"/>
                  </w:pPr>
                  <w:r>
                    <w:rPr>
                      <w:sz w:val="16"/>
                    </w:rPr>
                    <w:t>.13</w:t>
                  </w:r>
                </w:p>
              </w:tc>
              <w:tc>
                <w:tcPr>
                  <w:tcW w:w="1300"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.01</w:t>
                  </w:r>
                </w:p>
              </w:tc>
              <w:tc>
                <w:tcPr>
                  <w:tcW w:w="1850"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proofErr w:type="gramStart"/>
                  <w:r>
                    <w:rPr>
                      <w:i/>
                      <w:sz w:val="16"/>
                    </w:rPr>
                    <w:t>F</w:t>
                  </w:r>
                  <w:r>
                    <w:rPr>
                      <w:sz w:val="16"/>
                    </w:rPr>
                    <w:t>(</w:t>
                  </w:r>
                  <w:proofErr w:type="gramEnd"/>
                  <w:r>
                    <w:rPr>
                      <w:sz w:val="16"/>
                    </w:rPr>
                    <w:t xml:space="preserve">2, 268) </w:t>
                  </w:r>
                  <w:r>
                    <w:rPr>
                      <w:rFonts w:ascii="Calibri" w:eastAsia="Calibri" w:hAnsi="Calibri" w:cs="Calibri"/>
                      <w:sz w:val="16"/>
                    </w:rPr>
                    <w:t xml:space="preserve"> </w:t>
                  </w:r>
                  <w:r>
                    <w:rPr>
                      <w:sz w:val="16"/>
                    </w:rPr>
                    <w:t xml:space="preserve">0.93, </w:t>
                  </w:r>
                  <w:r>
                    <w:rPr>
                      <w:i/>
                      <w:sz w:val="16"/>
                    </w:rPr>
                    <w:t xml:space="preserve">p </w:t>
                  </w:r>
                  <w:r>
                    <w:rPr>
                      <w:rFonts w:ascii="Calibri" w:eastAsia="Calibri" w:hAnsi="Calibri" w:cs="Calibri"/>
                      <w:sz w:val="16"/>
                    </w:rPr>
                    <w:t xml:space="preserve"> </w:t>
                  </w:r>
                  <w:r>
                    <w:rPr>
                      <w:sz w:val="16"/>
                    </w:rPr>
                    <w:t>.40</w:t>
                  </w:r>
                </w:p>
              </w:tc>
            </w:tr>
            <w:tr w:rsidR="00157A70">
              <w:trPr>
                <w:trHeight w:val="351"/>
              </w:trPr>
              <w:tc>
                <w:tcPr>
                  <w:tcW w:w="3283"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Analysis 1b</w:t>
                  </w:r>
                </w:p>
                <w:p w:rsidR="00157A70" w:rsidRDefault="00316F15" w:rsidP="00E25B31">
                  <w:pPr>
                    <w:framePr w:wrap="around" w:vAnchor="text" w:hAnchor="margin"/>
                    <w:spacing w:after="0" w:line="259" w:lineRule="auto"/>
                    <w:ind w:left="160" w:right="0" w:firstLine="0"/>
                    <w:suppressOverlap/>
                    <w:jc w:val="left"/>
                  </w:pPr>
                  <w:r>
                    <w:rPr>
                      <w:sz w:val="16"/>
                    </w:rPr>
                    <w:t>Step 1: Cognitive ability</w:t>
                  </w:r>
                </w:p>
              </w:tc>
              <w:tc>
                <w:tcPr>
                  <w:tcW w:w="1627" w:type="dxa"/>
                  <w:tcBorders>
                    <w:top w:val="nil"/>
                    <w:left w:val="nil"/>
                    <w:bottom w:val="nil"/>
                    <w:right w:val="nil"/>
                  </w:tcBorders>
                  <w:vAlign w:val="bottom"/>
                </w:tcPr>
                <w:p w:rsidR="00157A70" w:rsidRDefault="00316F15" w:rsidP="00E25B31">
                  <w:pPr>
                    <w:framePr w:wrap="around" w:vAnchor="text" w:hAnchor="margin"/>
                    <w:spacing w:after="0" w:line="259" w:lineRule="auto"/>
                    <w:ind w:left="174" w:right="0" w:firstLine="0"/>
                    <w:suppressOverlap/>
                    <w:jc w:val="left"/>
                  </w:pPr>
                  <w:r>
                    <w:rPr>
                      <w:sz w:val="16"/>
                    </w:rPr>
                    <w:t>.04</w:t>
                  </w:r>
                </w:p>
              </w:tc>
              <w:tc>
                <w:tcPr>
                  <w:tcW w:w="1899" w:type="dxa"/>
                  <w:tcBorders>
                    <w:top w:val="nil"/>
                    <w:left w:val="nil"/>
                    <w:bottom w:val="nil"/>
                    <w:right w:val="nil"/>
                  </w:tcBorders>
                  <w:vAlign w:val="bottom"/>
                </w:tcPr>
                <w:p w:rsidR="00157A70" w:rsidRDefault="00316F15" w:rsidP="00E25B31">
                  <w:pPr>
                    <w:framePr w:wrap="around" w:vAnchor="text" w:hAnchor="margin"/>
                    <w:spacing w:after="0" w:line="259" w:lineRule="auto"/>
                    <w:ind w:left="294" w:right="0" w:firstLine="0"/>
                    <w:suppressOverlap/>
                    <w:jc w:val="left"/>
                  </w:pPr>
                  <w:r>
                    <w:rPr>
                      <w:sz w:val="16"/>
                    </w:rPr>
                    <w:t>.03</w:t>
                  </w:r>
                </w:p>
              </w:tc>
              <w:tc>
                <w:tcPr>
                  <w:tcW w:w="1300" w:type="dxa"/>
                  <w:tcBorders>
                    <w:top w:val="nil"/>
                    <w:left w:val="nil"/>
                    <w:bottom w:val="nil"/>
                    <w:right w:val="nil"/>
                  </w:tcBorders>
                  <w:vAlign w:val="bottom"/>
                </w:tcPr>
                <w:p w:rsidR="00157A70" w:rsidRDefault="00316F15" w:rsidP="00E25B31">
                  <w:pPr>
                    <w:framePr w:wrap="around" w:vAnchor="text" w:hAnchor="margin"/>
                    <w:spacing w:after="0" w:line="259" w:lineRule="auto"/>
                    <w:ind w:right="0" w:firstLine="0"/>
                    <w:suppressOverlap/>
                    <w:jc w:val="left"/>
                  </w:pPr>
                  <w:r>
                    <w:rPr>
                      <w:sz w:val="16"/>
                    </w:rPr>
                    <w:t>.04</w:t>
                  </w:r>
                </w:p>
              </w:tc>
              <w:tc>
                <w:tcPr>
                  <w:tcW w:w="1850" w:type="dxa"/>
                  <w:tcBorders>
                    <w:top w:val="nil"/>
                    <w:left w:val="nil"/>
                    <w:bottom w:val="nil"/>
                    <w:right w:val="nil"/>
                  </w:tcBorders>
                  <w:vAlign w:val="bottom"/>
                </w:tcPr>
                <w:p w:rsidR="00157A70" w:rsidRDefault="00316F15" w:rsidP="00E25B31">
                  <w:pPr>
                    <w:framePr w:wrap="around" w:vAnchor="text" w:hAnchor="margin"/>
                    <w:spacing w:after="0" w:line="259" w:lineRule="auto"/>
                    <w:ind w:right="0" w:firstLine="0"/>
                    <w:suppressOverlap/>
                    <w:jc w:val="left"/>
                  </w:pPr>
                  <w:proofErr w:type="gramStart"/>
                  <w:r>
                    <w:rPr>
                      <w:i/>
                      <w:sz w:val="16"/>
                    </w:rPr>
                    <w:t>F</w:t>
                  </w:r>
                  <w:r>
                    <w:rPr>
                      <w:sz w:val="16"/>
                    </w:rPr>
                    <w:t>(</w:t>
                  </w:r>
                  <w:proofErr w:type="gramEnd"/>
                  <w:r>
                    <w:rPr>
                      <w:sz w:val="16"/>
                    </w:rPr>
                    <w:t xml:space="preserve">2, 275) </w:t>
                  </w:r>
                  <w:r>
                    <w:rPr>
                      <w:rFonts w:ascii="Calibri" w:eastAsia="Calibri" w:hAnsi="Calibri" w:cs="Calibri"/>
                      <w:sz w:val="16"/>
                    </w:rPr>
                    <w:t xml:space="preserve"> </w:t>
                  </w:r>
                  <w:r>
                    <w:rPr>
                      <w:sz w:val="16"/>
                    </w:rPr>
                    <w:t xml:space="preserve">5.60, </w:t>
                  </w:r>
                  <w:r>
                    <w:rPr>
                      <w:i/>
                      <w:sz w:val="16"/>
                    </w:rPr>
                    <w:t xml:space="preserve">p </w:t>
                  </w:r>
                  <w:r>
                    <w:rPr>
                      <w:rFonts w:ascii="Calibri" w:eastAsia="Calibri" w:hAnsi="Calibri" w:cs="Calibri"/>
                      <w:sz w:val="16"/>
                    </w:rPr>
                    <w:t xml:space="preserve"> </w:t>
                  </w:r>
                  <w:r>
                    <w:rPr>
                      <w:sz w:val="16"/>
                    </w:rPr>
                    <w:t>.01</w:t>
                  </w:r>
                </w:p>
              </w:tc>
            </w:tr>
            <w:tr w:rsidR="00157A70">
              <w:trPr>
                <w:trHeight w:val="189"/>
              </w:trPr>
              <w:tc>
                <w:tcPr>
                  <w:tcW w:w="3283" w:type="dxa"/>
                  <w:tcBorders>
                    <w:top w:val="nil"/>
                    <w:left w:val="nil"/>
                    <w:bottom w:val="nil"/>
                    <w:right w:val="nil"/>
                  </w:tcBorders>
                </w:tcPr>
                <w:p w:rsidR="00157A70" w:rsidRDefault="00316F15" w:rsidP="00E25B31">
                  <w:pPr>
                    <w:framePr w:wrap="around" w:vAnchor="text" w:hAnchor="margin"/>
                    <w:spacing w:after="0" w:line="259" w:lineRule="auto"/>
                    <w:ind w:left="160" w:right="0" w:firstLine="0"/>
                    <w:suppressOverlap/>
                    <w:jc w:val="left"/>
                  </w:pPr>
                  <w:r>
                    <w:rPr>
                      <w:sz w:val="16"/>
                    </w:rPr>
                    <w:t>Step 2: A-DMC components</w:t>
                  </w:r>
                </w:p>
              </w:tc>
              <w:tc>
                <w:tcPr>
                  <w:tcW w:w="1627" w:type="dxa"/>
                  <w:tcBorders>
                    <w:top w:val="nil"/>
                    <w:left w:val="nil"/>
                    <w:bottom w:val="nil"/>
                    <w:right w:val="nil"/>
                  </w:tcBorders>
                </w:tcPr>
                <w:p w:rsidR="00157A70" w:rsidRDefault="00316F15" w:rsidP="00E25B31">
                  <w:pPr>
                    <w:framePr w:wrap="around" w:vAnchor="text" w:hAnchor="margin"/>
                    <w:spacing w:after="0" w:line="259" w:lineRule="auto"/>
                    <w:ind w:left="174" w:right="0" w:firstLine="0"/>
                    <w:suppressOverlap/>
                    <w:jc w:val="left"/>
                  </w:pPr>
                  <w:r>
                    <w:rPr>
                      <w:sz w:val="16"/>
                    </w:rPr>
                    <w:t>.16</w:t>
                  </w:r>
                </w:p>
              </w:tc>
              <w:tc>
                <w:tcPr>
                  <w:tcW w:w="1899" w:type="dxa"/>
                  <w:tcBorders>
                    <w:top w:val="nil"/>
                    <w:left w:val="nil"/>
                    <w:bottom w:val="nil"/>
                    <w:right w:val="nil"/>
                  </w:tcBorders>
                </w:tcPr>
                <w:p w:rsidR="00157A70" w:rsidRDefault="00316F15" w:rsidP="00E25B31">
                  <w:pPr>
                    <w:framePr w:wrap="around" w:vAnchor="text" w:hAnchor="margin"/>
                    <w:spacing w:after="0" w:line="259" w:lineRule="auto"/>
                    <w:ind w:left="294" w:right="0" w:firstLine="0"/>
                    <w:suppressOverlap/>
                    <w:jc w:val="left"/>
                  </w:pPr>
                  <w:r>
                    <w:rPr>
                      <w:sz w:val="16"/>
                    </w:rPr>
                    <w:t>.13</w:t>
                  </w:r>
                </w:p>
              </w:tc>
              <w:tc>
                <w:tcPr>
                  <w:tcW w:w="1300"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.12</w:t>
                  </w:r>
                </w:p>
              </w:tc>
              <w:tc>
                <w:tcPr>
                  <w:tcW w:w="1850"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pPr>
                  <w:proofErr w:type="gramStart"/>
                  <w:r>
                    <w:rPr>
                      <w:i/>
                      <w:sz w:val="16"/>
                    </w:rPr>
                    <w:t>F</w:t>
                  </w:r>
                  <w:r>
                    <w:rPr>
                      <w:sz w:val="16"/>
                    </w:rPr>
                    <w:t>(</w:t>
                  </w:r>
                  <w:proofErr w:type="gramEnd"/>
                  <w:r>
                    <w:rPr>
                      <w:sz w:val="16"/>
                    </w:rPr>
                    <w:t xml:space="preserve">7, 268) </w:t>
                  </w:r>
                  <w:r>
                    <w:rPr>
                      <w:rFonts w:ascii="Calibri" w:eastAsia="Calibri" w:hAnsi="Calibri" w:cs="Calibri"/>
                      <w:sz w:val="16"/>
                    </w:rPr>
                    <w:t xml:space="preserve"> </w:t>
                  </w:r>
                  <w:r>
                    <w:rPr>
                      <w:sz w:val="16"/>
                    </w:rPr>
                    <w:t xml:space="preserve">5.60, </w:t>
                  </w:r>
                  <w:r>
                    <w:rPr>
                      <w:i/>
                      <w:sz w:val="16"/>
                    </w:rPr>
                    <w:t xml:space="preserve">p </w:t>
                  </w:r>
                  <w:r>
                    <w:rPr>
                      <w:rFonts w:ascii="Calibri" w:eastAsia="Calibri" w:hAnsi="Calibri" w:cs="Calibri"/>
                      <w:sz w:val="16"/>
                    </w:rPr>
                    <w:t xml:space="preserve"> </w:t>
                  </w:r>
                  <w:r>
                    <w:rPr>
                      <w:sz w:val="16"/>
                    </w:rPr>
                    <w:t>.001</w:t>
                  </w:r>
                </w:p>
              </w:tc>
            </w:tr>
            <w:tr w:rsidR="00157A70">
              <w:trPr>
                <w:trHeight w:val="351"/>
              </w:trPr>
              <w:tc>
                <w:tcPr>
                  <w:tcW w:w="3283"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Analysis 2a</w:t>
                  </w:r>
                </w:p>
                <w:p w:rsidR="00157A70" w:rsidRDefault="00316F15" w:rsidP="00E25B31">
                  <w:pPr>
                    <w:framePr w:wrap="around" w:vAnchor="text" w:hAnchor="margin"/>
                    <w:spacing w:after="0" w:line="259" w:lineRule="auto"/>
                    <w:ind w:left="160" w:right="0" w:firstLine="0"/>
                    <w:suppressOverlap/>
                    <w:jc w:val="left"/>
                  </w:pPr>
                  <w:r>
                    <w:rPr>
                      <w:sz w:val="16"/>
                    </w:rPr>
                    <w:t>Step 1: A-DMC components</w:t>
                  </w:r>
                </w:p>
              </w:tc>
              <w:tc>
                <w:tcPr>
                  <w:tcW w:w="1627" w:type="dxa"/>
                  <w:tcBorders>
                    <w:top w:val="nil"/>
                    <w:left w:val="nil"/>
                    <w:bottom w:val="nil"/>
                    <w:right w:val="nil"/>
                  </w:tcBorders>
                  <w:vAlign w:val="bottom"/>
                </w:tcPr>
                <w:p w:rsidR="00157A70" w:rsidRDefault="00316F15" w:rsidP="00E25B31">
                  <w:pPr>
                    <w:framePr w:wrap="around" w:vAnchor="text" w:hAnchor="margin"/>
                    <w:spacing w:after="0" w:line="259" w:lineRule="auto"/>
                    <w:ind w:left="174" w:right="0" w:firstLine="0"/>
                    <w:suppressOverlap/>
                    <w:jc w:val="left"/>
                  </w:pPr>
                  <w:r>
                    <w:rPr>
                      <w:sz w:val="16"/>
                    </w:rPr>
                    <w:t>.16</w:t>
                  </w:r>
                </w:p>
              </w:tc>
              <w:tc>
                <w:tcPr>
                  <w:tcW w:w="1899" w:type="dxa"/>
                  <w:tcBorders>
                    <w:top w:val="nil"/>
                    <w:left w:val="nil"/>
                    <w:bottom w:val="nil"/>
                    <w:right w:val="nil"/>
                  </w:tcBorders>
                  <w:vAlign w:val="bottom"/>
                </w:tcPr>
                <w:p w:rsidR="00157A70" w:rsidRDefault="00316F15" w:rsidP="00E25B31">
                  <w:pPr>
                    <w:framePr w:wrap="around" w:vAnchor="text" w:hAnchor="margin"/>
                    <w:spacing w:after="0" w:line="259" w:lineRule="auto"/>
                    <w:ind w:left="294" w:right="0" w:firstLine="0"/>
                    <w:suppressOverlap/>
                    <w:jc w:val="left"/>
                  </w:pPr>
                  <w:r>
                    <w:rPr>
                      <w:sz w:val="16"/>
                    </w:rPr>
                    <w:t>.14</w:t>
                  </w:r>
                </w:p>
              </w:tc>
              <w:tc>
                <w:tcPr>
                  <w:tcW w:w="1300" w:type="dxa"/>
                  <w:tcBorders>
                    <w:top w:val="nil"/>
                    <w:left w:val="nil"/>
                    <w:bottom w:val="nil"/>
                    <w:right w:val="nil"/>
                  </w:tcBorders>
                  <w:vAlign w:val="bottom"/>
                </w:tcPr>
                <w:p w:rsidR="00157A70" w:rsidRDefault="00316F15" w:rsidP="00E25B31">
                  <w:pPr>
                    <w:framePr w:wrap="around" w:vAnchor="text" w:hAnchor="margin"/>
                    <w:spacing w:after="0" w:line="259" w:lineRule="auto"/>
                    <w:ind w:right="0" w:firstLine="0"/>
                    <w:suppressOverlap/>
                    <w:jc w:val="left"/>
                  </w:pPr>
                  <w:r>
                    <w:rPr>
                      <w:sz w:val="16"/>
                    </w:rPr>
                    <w:t>.16</w:t>
                  </w:r>
                </w:p>
              </w:tc>
              <w:tc>
                <w:tcPr>
                  <w:tcW w:w="1850" w:type="dxa"/>
                  <w:tcBorders>
                    <w:top w:val="nil"/>
                    <w:left w:val="nil"/>
                    <w:bottom w:val="nil"/>
                    <w:right w:val="nil"/>
                  </w:tcBorders>
                  <w:vAlign w:val="bottom"/>
                </w:tcPr>
                <w:p w:rsidR="00157A70" w:rsidRDefault="00316F15" w:rsidP="00E25B31">
                  <w:pPr>
                    <w:framePr w:wrap="around" w:vAnchor="text" w:hAnchor="margin"/>
                    <w:spacing w:after="0" w:line="259" w:lineRule="auto"/>
                    <w:ind w:right="0" w:firstLine="0"/>
                    <w:suppressOverlap/>
                  </w:pPr>
                  <w:proofErr w:type="gramStart"/>
                  <w:r>
                    <w:rPr>
                      <w:i/>
                      <w:sz w:val="16"/>
                    </w:rPr>
                    <w:t>F</w:t>
                  </w:r>
                  <w:r>
                    <w:rPr>
                      <w:sz w:val="16"/>
                    </w:rPr>
                    <w:t>(</w:t>
                  </w:r>
                  <w:proofErr w:type="gramEnd"/>
                  <w:r>
                    <w:rPr>
                      <w:sz w:val="16"/>
                    </w:rPr>
                    <w:t xml:space="preserve">7, 268) </w:t>
                  </w:r>
                  <w:r>
                    <w:rPr>
                      <w:rFonts w:ascii="Calibri" w:eastAsia="Calibri" w:hAnsi="Calibri" w:cs="Calibri"/>
                      <w:sz w:val="16"/>
                    </w:rPr>
                    <w:t xml:space="preserve"> </w:t>
                  </w:r>
                  <w:r>
                    <w:rPr>
                      <w:sz w:val="16"/>
                    </w:rPr>
                    <w:t xml:space="preserve">7.21, </w:t>
                  </w:r>
                  <w:r>
                    <w:rPr>
                      <w:i/>
                      <w:sz w:val="16"/>
                    </w:rPr>
                    <w:t xml:space="preserve">p </w:t>
                  </w:r>
                  <w:r>
                    <w:rPr>
                      <w:rFonts w:ascii="Calibri" w:eastAsia="Calibri" w:hAnsi="Calibri" w:cs="Calibri"/>
                      <w:sz w:val="16"/>
                    </w:rPr>
                    <w:t xml:space="preserve"> </w:t>
                  </w:r>
                  <w:r>
                    <w:rPr>
                      <w:sz w:val="16"/>
                    </w:rPr>
                    <w:t>.001</w:t>
                  </w:r>
                </w:p>
              </w:tc>
            </w:tr>
            <w:tr w:rsidR="00157A70">
              <w:trPr>
                <w:trHeight w:val="189"/>
              </w:trPr>
              <w:tc>
                <w:tcPr>
                  <w:tcW w:w="3283" w:type="dxa"/>
                  <w:tcBorders>
                    <w:top w:val="nil"/>
                    <w:left w:val="nil"/>
                    <w:bottom w:val="nil"/>
                    <w:right w:val="nil"/>
                  </w:tcBorders>
                </w:tcPr>
                <w:p w:rsidR="00157A70" w:rsidRDefault="00316F15" w:rsidP="00E25B31">
                  <w:pPr>
                    <w:framePr w:wrap="around" w:vAnchor="text" w:hAnchor="margin"/>
                    <w:spacing w:after="0" w:line="259" w:lineRule="auto"/>
                    <w:ind w:left="160" w:right="0" w:firstLine="0"/>
                    <w:suppressOverlap/>
                    <w:jc w:val="left"/>
                  </w:pPr>
                  <w:r>
                    <w:rPr>
                      <w:sz w:val="16"/>
                    </w:rPr>
                    <w:t>Step 2: Decision-making styles</w:t>
                  </w:r>
                </w:p>
              </w:tc>
              <w:tc>
                <w:tcPr>
                  <w:tcW w:w="1627" w:type="dxa"/>
                  <w:tcBorders>
                    <w:top w:val="nil"/>
                    <w:left w:val="nil"/>
                    <w:bottom w:val="nil"/>
                    <w:right w:val="nil"/>
                  </w:tcBorders>
                </w:tcPr>
                <w:p w:rsidR="00157A70" w:rsidRDefault="00316F15" w:rsidP="00E25B31">
                  <w:pPr>
                    <w:framePr w:wrap="around" w:vAnchor="text" w:hAnchor="margin"/>
                    <w:spacing w:after="0" w:line="259" w:lineRule="auto"/>
                    <w:ind w:left="174" w:right="0" w:firstLine="0"/>
                    <w:suppressOverlap/>
                    <w:jc w:val="left"/>
                  </w:pPr>
                  <w:r>
                    <w:rPr>
                      <w:sz w:val="16"/>
                    </w:rPr>
                    <w:t>.31</w:t>
                  </w:r>
                </w:p>
              </w:tc>
              <w:tc>
                <w:tcPr>
                  <w:tcW w:w="1899" w:type="dxa"/>
                  <w:tcBorders>
                    <w:top w:val="nil"/>
                    <w:left w:val="nil"/>
                    <w:bottom w:val="nil"/>
                    <w:right w:val="nil"/>
                  </w:tcBorders>
                </w:tcPr>
                <w:p w:rsidR="00157A70" w:rsidRDefault="00316F15" w:rsidP="00E25B31">
                  <w:pPr>
                    <w:framePr w:wrap="around" w:vAnchor="text" w:hAnchor="margin"/>
                    <w:spacing w:after="0" w:line="259" w:lineRule="auto"/>
                    <w:ind w:left="294" w:right="0" w:firstLine="0"/>
                    <w:suppressOverlap/>
                    <w:jc w:val="left"/>
                  </w:pPr>
                  <w:r>
                    <w:rPr>
                      <w:sz w:val="16"/>
                    </w:rPr>
                    <w:t>.27</w:t>
                  </w:r>
                </w:p>
              </w:tc>
              <w:tc>
                <w:tcPr>
                  <w:tcW w:w="1300"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.15</w:t>
                  </w:r>
                </w:p>
              </w:tc>
              <w:tc>
                <w:tcPr>
                  <w:tcW w:w="1850"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pPr>
                  <w:proofErr w:type="gramStart"/>
                  <w:r>
                    <w:rPr>
                      <w:i/>
                      <w:sz w:val="16"/>
                    </w:rPr>
                    <w:t>F</w:t>
                  </w:r>
                  <w:r>
                    <w:rPr>
                      <w:sz w:val="16"/>
                    </w:rPr>
                    <w:t>(</w:t>
                  </w:r>
                  <w:proofErr w:type="gramEnd"/>
                  <w:r>
                    <w:rPr>
                      <w:sz w:val="16"/>
                    </w:rPr>
                    <w:t xml:space="preserve">8, 260) </w:t>
                  </w:r>
                  <w:r>
                    <w:rPr>
                      <w:rFonts w:ascii="Calibri" w:eastAsia="Calibri" w:hAnsi="Calibri" w:cs="Calibri"/>
                      <w:sz w:val="16"/>
                    </w:rPr>
                    <w:t xml:space="preserve"> </w:t>
                  </w:r>
                  <w:r>
                    <w:rPr>
                      <w:sz w:val="16"/>
                    </w:rPr>
                    <w:t xml:space="preserve">6.99, </w:t>
                  </w:r>
                  <w:r>
                    <w:rPr>
                      <w:i/>
                      <w:sz w:val="16"/>
                    </w:rPr>
                    <w:t xml:space="preserve">p </w:t>
                  </w:r>
                  <w:r>
                    <w:rPr>
                      <w:rFonts w:ascii="Calibri" w:eastAsia="Calibri" w:hAnsi="Calibri" w:cs="Calibri"/>
                      <w:sz w:val="16"/>
                    </w:rPr>
                    <w:t xml:space="preserve"> </w:t>
                  </w:r>
                  <w:r>
                    <w:rPr>
                      <w:sz w:val="16"/>
                    </w:rPr>
                    <w:t>.001</w:t>
                  </w:r>
                </w:p>
              </w:tc>
            </w:tr>
            <w:tr w:rsidR="00157A70">
              <w:trPr>
                <w:trHeight w:val="351"/>
              </w:trPr>
              <w:tc>
                <w:tcPr>
                  <w:tcW w:w="3283" w:type="dxa"/>
                  <w:tcBorders>
                    <w:top w:val="nil"/>
                    <w:left w:val="nil"/>
                    <w:bottom w:val="nil"/>
                    <w:right w:val="nil"/>
                  </w:tcBorders>
                </w:tcPr>
                <w:p w:rsidR="00157A70" w:rsidRDefault="00316F15" w:rsidP="00E25B31">
                  <w:pPr>
                    <w:framePr w:wrap="around" w:vAnchor="text" w:hAnchor="margin"/>
                    <w:spacing w:after="0" w:line="259" w:lineRule="auto"/>
                    <w:ind w:right="0" w:firstLine="0"/>
                    <w:suppressOverlap/>
                    <w:jc w:val="left"/>
                  </w:pPr>
                  <w:r>
                    <w:rPr>
                      <w:sz w:val="16"/>
                    </w:rPr>
                    <w:t>Analysis 2b</w:t>
                  </w:r>
                </w:p>
                <w:p w:rsidR="00157A70" w:rsidRDefault="00316F15" w:rsidP="00E25B31">
                  <w:pPr>
                    <w:framePr w:wrap="around" w:vAnchor="text" w:hAnchor="margin"/>
                    <w:spacing w:after="0" w:line="259" w:lineRule="auto"/>
                    <w:ind w:left="160" w:right="0" w:firstLine="0"/>
                    <w:suppressOverlap/>
                    <w:jc w:val="left"/>
                  </w:pPr>
                  <w:r>
                    <w:rPr>
                      <w:sz w:val="16"/>
                    </w:rPr>
                    <w:t>Step 1: Decision-making styles</w:t>
                  </w:r>
                </w:p>
              </w:tc>
              <w:tc>
                <w:tcPr>
                  <w:tcW w:w="1627" w:type="dxa"/>
                  <w:tcBorders>
                    <w:top w:val="nil"/>
                    <w:left w:val="nil"/>
                    <w:bottom w:val="nil"/>
                    <w:right w:val="nil"/>
                  </w:tcBorders>
                  <w:vAlign w:val="bottom"/>
                </w:tcPr>
                <w:p w:rsidR="00157A70" w:rsidRDefault="00316F15" w:rsidP="00E25B31">
                  <w:pPr>
                    <w:framePr w:wrap="around" w:vAnchor="text" w:hAnchor="margin"/>
                    <w:spacing w:after="0" w:line="259" w:lineRule="auto"/>
                    <w:ind w:left="174" w:right="0" w:firstLine="0"/>
                    <w:suppressOverlap/>
                    <w:jc w:val="left"/>
                  </w:pPr>
                  <w:r>
                    <w:rPr>
                      <w:sz w:val="16"/>
                    </w:rPr>
                    <w:t>.23</w:t>
                  </w:r>
                </w:p>
              </w:tc>
              <w:tc>
                <w:tcPr>
                  <w:tcW w:w="1899" w:type="dxa"/>
                  <w:tcBorders>
                    <w:top w:val="nil"/>
                    <w:left w:val="nil"/>
                    <w:bottom w:val="nil"/>
                    <w:right w:val="nil"/>
                  </w:tcBorders>
                  <w:vAlign w:val="bottom"/>
                </w:tcPr>
                <w:p w:rsidR="00157A70" w:rsidRDefault="00316F15" w:rsidP="00E25B31">
                  <w:pPr>
                    <w:framePr w:wrap="around" w:vAnchor="text" w:hAnchor="margin"/>
                    <w:spacing w:after="0" w:line="259" w:lineRule="auto"/>
                    <w:ind w:left="294" w:right="0" w:firstLine="0"/>
                    <w:suppressOverlap/>
                    <w:jc w:val="left"/>
                  </w:pPr>
                  <w:r>
                    <w:rPr>
                      <w:sz w:val="16"/>
                    </w:rPr>
                    <w:t>.21</w:t>
                  </w:r>
                </w:p>
              </w:tc>
              <w:tc>
                <w:tcPr>
                  <w:tcW w:w="1300" w:type="dxa"/>
                  <w:tcBorders>
                    <w:top w:val="nil"/>
                    <w:left w:val="nil"/>
                    <w:bottom w:val="nil"/>
                    <w:right w:val="nil"/>
                  </w:tcBorders>
                  <w:vAlign w:val="bottom"/>
                </w:tcPr>
                <w:p w:rsidR="00157A70" w:rsidRDefault="00316F15" w:rsidP="00E25B31">
                  <w:pPr>
                    <w:framePr w:wrap="around" w:vAnchor="text" w:hAnchor="margin"/>
                    <w:spacing w:after="0" w:line="259" w:lineRule="auto"/>
                    <w:ind w:right="0" w:firstLine="0"/>
                    <w:suppressOverlap/>
                    <w:jc w:val="left"/>
                  </w:pPr>
                  <w:r>
                    <w:rPr>
                      <w:sz w:val="16"/>
                    </w:rPr>
                    <w:t>.23</w:t>
                  </w:r>
                </w:p>
              </w:tc>
              <w:tc>
                <w:tcPr>
                  <w:tcW w:w="1850" w:type="dxa"/>
                  <w:tcBorders>
                    <w:top w:val="nil"/>
                    <w:left w:val="nil"/>
                    <w:bottom w:val="nil"/>
                    <w:right w:val="nil"/>
                  </w:tcBorders>
                  <w:vAlign w:val="bottom"/>
                </w:tcPr>
                <w:p w:rsidR="00157A70" w:rsidRDefault="00316F15" w:rsidP="00E25B31">
                  <w:pPr>
                    <w:framePr w:wrap="around" w:vAnchor="text" w:hAnchor="margin"/>
                    <w:spacing w:after="0" w:line="259" w:lineRule="auto"/>
                    <w:ind w:right="0" w:firstLine="0"/>
                    <w:suppressOverlap/>
                  </w:pPr>
                  <w:proofErr w:type="gramStart"/>
                  <w:r>
                    <w:rPr>
                      <w:i/>
                      <w:sz w:val="16"/>
                    </w:rPr>
                    <w:t>F</w:t>
                  </w:r>
                  <w:r>
                    <w:rPr>
                      <w:sz w:val="16"/>
                    </w:rPr>
                    <w:t>(</w:t>
                  </w:r>
                  <w:proofErr w:type="gramEnd"/>
                  <w:r>
                    <w:rPr>
                      <w:sz w:val="16"/>
                    </w:rPr>
                    <w:t xml:space="preserve">8, 267) </w:t>
                  </w:r>
                  <w:r>
                    <w:rPr>
                      <w:rFonts w:ascii="Calibri" w:eastAsia="Calibri" w:hAnsi="Calibri" w:cs="Calibri"/>
                      <w:sz w:val="16"/>
                    </w:rPr>
                    <w:t xml:space="preserve"> </w:t>
                  </w:r>
                  <w:r>
                    <w:rPr>
                      <w:sz w:val="16"/>
                    </w:rPr>
                    <w:t xml:space="preserve">9.94, </w:t>
                  </w:r>
                  <w:r>
                    <w:rPr>
                      <w:i/>
                      <w:sz w:val="16"/>
                    </w:rPr>
                    <w:t xml:space="preserve">p </w:t>
                  </w:r>
                  <w:r>
                    <w:rPr>
                      <w:rFonts w:ascii="Calibri" w:eastAsia="Calibri" w:hAnsi="Calibri" w:cs="Calibri"/>
                      <w:sz w:val="16"/>
                    </w:rPr>
                    <w:t xml:space="preserve"> </w:t>
                  </w:r>
                  <w:r>
                    <w:rPr>
                      <w:sz w:val="16"/>
                    </w:rPr>
                    <w:t>.001</w:t>
                  </w:r>
                </w:p>
              </w:tc>
            </w:tr>
            <w:tr w:rsidR="00157A70">
              <w:trPr>
                <w:trHeight w:val="231"/>
              </w:trPr>
              <w:tc>
                <w:tcPr>
                  <w:tcW w:w="3283" w:type="dxa"/>
                  <w:tcBorders>
                    <w:top w:val="nil"/>
                    <w:left w:val="nil"/>
                    <w:bottom w:val="single" w:sz="4" w:space="0" w:color="181717"/>
                    <w:right w:val="nil"/>
                  </w:tcBorders>
                </w:tcPr>
                <w:p w:rsidR="00157A70" w:rsidRDefault="00316F15" w:rsidP="00E25B31">
                  <w:pPr>
                    <w:framePr w:wrap="around" w:vAnchor="text" w:hAnchor="margin"/>
                    <w:spacing w:after="0" w:line="259" w:lineRule="auto"/>
                    <w:ind w:left="160" w:right="0" w:firstLine="0"/>
                    <w:suppressOverlap/>
                    <w:jc w:val="left"/>
                  </w:pPr>
                  <w:r>
                    <w:rPr>
                      <w:sz w:val="16"/>
                    </w:rPr>
                    <w:t>Step 2: A-DMC components</w:t>
                  </w:r>
                </w:p>
              </w:tc>
              <w:tc>
                <w:tcPr>
                  <w:tcW w:w="1627" w:type="dxa"/>
                  <w:tcBorders>
                    <w:top w:val="nil"/>
                    <w:left w:val="nil"/>
                    <w:bottom w:val="single" w:sz="4" w:space="0" w:color="181717"/>
                    <w:right w:val="nil"/>
                  </w:tcBorders>
                </w:tcPr>
                <w:p w:rsidR="00157A70" w:rsidRDefault="00316F15" w:rsidP="00E25B31">
                  <w:pPr>
                    <w:framePr w:wrap="around" w:vAnchor="text" w:hAnchor="margin"/>
                    <w:spacing w:after="0" w:line="259" w:lineRule="auto"/>
                    <w:ind w:left="174" w:right="0" w:firstLine="0"/>
                    <w:suppressOverlap/>
                    <w:jc w:val="left"/>
                  </w:pPr>
                  <w:r>
                    <w:rPr>
                      <w:sz w:val="16"/>
                    </w:rPr>
                    <w:t>.31</w:t>
                  </w:r>
                </w:p>
              </w:tc>
              <w:tc>
                <w:tcPr>
                  <w:tcW w:w="1899" w:type="dxa"/>
                  <w:tcBorders>
                    <w:top w:val="nil"/>
                    <w:left w:val="nil"/>
                    <w:bottom w:val="single" w:sz="4" w:space="0" w:color="181717"/>
                    <w:right w:val="nil"/>
                  </w:tcBorders>
                </w:tcPr>
                <w:p w:rsidR="00157A70" w:rsidRDefault="00316F15" w:rsidP="00E25B31">
                  <w:pPr>
                    <w:framePr w:wrap="around" w:vAnchor="text" w:hAnchor="margin"/>
                    <w:spacing w:after="0" w:line="259" w:lineRule="auto"/>
                    <w:ind w:left="294" w:right="0" w:firstLine="0"/>
                    <w:suppressOverlap/>
                    <w:jc w:val="left"/>
                  </w:pPr>
                  <w:r>
                    <w:rPr>
                      <w:sz w:val="16"/>
                    </w:rPr>
                    <w:t>.27</w:t>
                  </w:r>
                </w:p>
              </w:tc>
              <w:tc>
                <w:tcPr>
                  <w:tcW w:w="1300" w:type="dxa"/>
                  <w:tcBorders>
                    <w:top w:val="nil"/>
                    <w:left w:val="nil"/>
                    <w:bottom w:val="single" w:sz="4" w:space="0" w:color="181717"/>
                    <w:right w:val="nil"/>
                  </w:tcBorders>
                </w:tcPr>
                <w:p w:rsidR="00157A70" w:rsidRDefault="00316F15" w:rsidP="00E25B31">
                  <w:pPr>
                    <w:framePr w:wrap="around" w:vAnchor="text" w:hAnchor="margin"/>
                    <w:spacing w:after="0" w:line="259" w:lineRule="auto"/>
                    <w:ind w:right="0" w:firstLine="0"/>
                    <w:suppressOverlap/>
                    <w:jc w:val="left"/>
                  </w:pPr>
                  <w:r>
                    <w:rPr>
                      <w:sz w:val="16"/>
                    </w:rPr>
                    <w:t>.08</w:t>
                  </w:r>
                </w:p>
              </w:tc>
              <w:tc>
                <w:tcPr>
                  <w:tcW w:w="1850" w:type="dxa"/>
                  <w:tcBorders>
                    <w:top w:val="nil"/>
                    <w:left w:val="nil"/>
                    <w:bottom w:val="single" w:sz="4" w:space="0" w:color="181717"/>
                    <w:right w:val="nil"/>
                  </w:tcBorders>
                </w:tcPr>
                <w:p w:rsidR="00157A70" w:rsidRDefault="00316F15" w:rsidP="00E25B31">
                  <w:pPr>
                    <w:framePr w:wrap="around" w:vAnchor="text" w:hAnchor="margin"/>
                    <w:spacing w:after="0" w:line="259" w:lineRule="auto"/>
                    <w:ind w:right="0" w:firstLine="0"/>
                    <w:suppressOverlap/>
                  </w:pPr>
                  <w:proofErr w:type="gramStart"/>
                  <w:r>
                    <w:rPr>
                      <w:i/>
                      <w:sz w:val="16"/>
                    </w:rPr>
                    <w:t>F</w:t>
                  </w:r>
                  <w:r>
                    <w:rPr>
                      <w:sz w:val="16"/>
                    </w:rPr>
                    <w:t>(</w:t>
                  </w:r>
                  <w:proofErr w:type="gramEnd"/>
                  <w:r>
                    <w:rPr>
                      <w:sz w:val="16"/>
                    </w:rPr>
                    <w:t xml:space="preserve">7, 260) </w:t>
                  </w:r>
                  <w:r>
                    <w:rPr>
                      <w:rFonts w:ascii="Calibri" w:eastAsia="Calibri" w:hAnsi="Calibri" w:cs="Calibri"/>
                      <w:sz w:val="16"/>
                    </w:rPr>
                    <w:t xml:space="preserve"> </w:t>
                  </w:r>
                  <w:r>
                    <w:rPr>
                      <w:sz w:val="16"/>
                    </w:rPr>
                    <w:t xml:space="preserve">4.19, </w:t>
                  </w:r>
                  <w:r>
                    <w:rPr>
                      <w:i/>
                      <w:sz w:val="16"/>
                    </w:rPr>
                    <w:t xml:space="preserve">p </w:t>
                  </w:r>
                  <w:r>
                    <w:rPr>
                      <w:rFonts w:ascii="Calibri" w:eastAsia="Calibri" w:hAnsi="Calibri" w:cs="Calibri"/>
                      <w:sz w:val="16"/>
                    </w:rPr>
                    <w:t xml:space="preserve"> </w:t>
                  </w:r>
                  <w:r>
                    <w:rPr>
                      <w:sz w:val="16"/>
                    </w:rPr>
                    <w:t>.001</w:t>
                  </w:r>
                </w:p>
              </w:tc>
            </w:tr>
          </w:tbl>
          <w:p w:rsidR="00157A70" w:rsidRDefault="00316F15">
            <w:pPr>
              <w:tabs>
                <w:tab w:val="center" w:pos="3388"/>
              </w:tabs>
              <w:spacing w:after="0" w:line="259" w:lineRule="auto"/>
              <w:ind w:right="0" w:firstLine="0"/>
              <w:jc w:val="left"/>
            </w:pPr>
            <w:r>
              <w:rPr>
                <w:i/>
                <w:sz w:val="16"/>
              </w:rPr>
              <w:t>Note.</w:t>
            </w:r>
            <w:r>
              <w:rPr>
                <w:i/>
                <w:sz w:val="16"/>
              </w:rPr>
              <w:tab/>
            </w:r>
            <w:proofErr w:type="gramStart"/>
            <w:r>
              <w:rPr>
                <w:sz w:val="16"/>
              </w:rPr>
              <w:t xml:space="preserve">DOI </w:t>
            </w:r>
            <w:r>
              <w:rPr>
                <w:rFonts w:ascii="Calibri" w:eastAsia="Calibri" w:hAnsi="Calibri" w:cs="Calibri"/>
                <w:sz w:val="16"/>
              </w:rPr>
              <w:t xml:space="preserve"> </w:t>
            </w:r>
            <w:r>
              <w:rPr>
                <w:sz w:val="16"/>
              </w:rPr>
              <w:t>Decision</w:t>
            </w:r>
            <w:proofErr w:type="gramEnd"/>
            <w:r>
              <w:rPr>
                <w:sz w:val="16"/>
              </w:rPr>
              <w:t xml:space="preserve"> Outcomes Inventory; A-DMC </w:t>
            </w:r>
            <w:r>
              <w:rPr>
                <w:rFonts w:ascii="Calibri" w:eastAsia="Calibri" w:hAnsi="Calibri" w:cs="Calibri"/>
                <w:sz w:val="16"/>
              </w:rPr>
              <w:t xml:space="preserve"> </w:t>
            </w:r>
            <w:r>
              <w:rPr>
                <w:sz w:val="16"/>
              </w:rPr>
              <w:t>Adult Decision-Making Competence.</w:t>
            </w:r>
          </w:p>
        </w:tc>
      </w:tr>
    </w:tbl>
    <w:p w:rsidR="00157A70" w:rsidRDefault="00316F15">
      <w:pPr>
        <w:ind w:left="-15" w:right="0" w:firstLine="0"/>
      </w:pPr>
      <w:r>
        <w:t>making styles account for 50% (i.e., 8% out of 16%) of A-</w:t>
      </w:r>
      <w:proofErr w:type="spellStart"/>
      <w:r>
        <w:t>DMCrelated</w:t>
      </w:r>
      <w:proofErr w:type="spellEnd"/>
      <w:r>
        <w:t xml:space="preserve"> variance in the DOI, whereas A-DMC accounts for 35% (i.e., 8% out of 23%) of variance related to decision-making styles in the DOI.</w:t>
      </w:r>
    </w:p>
    <w:p w:rsidR="00157A70" w:rsidRDefault="00316F15">
      <w:pPr>
        <w:spacing w:after="253"/>
        <w:ind w:left="-15" w:right="0"/>
      </w:pPr>
      <w:r>
        <w:t xml:space="preserve">A third set of hierarchical regressions (not shown) similarly compared the A-DMC with all other measures used in this study: cognitive ability, age, SES, and decision-making styles. These </w:t>
      </w:r>
      <w:r>
        <w:t xml:space="preserve">measures add 23%, </w:t>
      </w:r>
      <w:proofErr w:type="gramStart"/>
      <w:r>
        <w:rPr>
          <w:i/>
        </w:rPr>
        <w:t>F</w:t>
      </w:r>
      <w:r>
        <w:t>(</w:t>
      </w:r>
      <w:proofErr w:type="gramEnd"/>
      <w:r>
        <w:t xml:space="preserve">13, 243) </w:t>
      </w:r>
      <w:r>
        <w:rPr>
          <w:rFonts w:ascii="Calibri" w:eastAsia="Calibri" w:hAnsi="Calibri" w:cs="Calibri"/>
        </w:rPr>
        <w:t xml:space="preserve"> </w:t>
      </w:r>
      <w:r>
        <w:t xml:space="preserve">7.14, </w:t>
      </w:r>
      <w:r>
        <w:rPr>
          <w:i/>
        </w:rPr>
        <w:t xml:space="preserve">p </w:t>
      </w:r>
      <w:r>
        <w:rPr>
          <w:rFonts w:ascii="Calibri" w:eastAsia="Calibri" w:hAnsi="Calibri" w:cs="Calibri"/>
        </w:rPr>
        <w:t xml:space="preserve"> </w:t>
      </w:r>
      <w:r>
        <w:t xml:space="preserve">.001, to the 17% explained by the A-DMC when entered in Step 1, </w:t>
      </w:r>
      <w:r>
        <w:rPr>
          <w:i/>
        </w:rPr>
        <w:t>F</w:t>
      </w:r>
      <w:r>
        <w:t xml:space="preserve">(7, 256) </w:t>
      </w:r>
      <w:r>
        <w:rPr>
          <w:rFonts w:ascii="Calibri" w:eastAsia="Calibri" w:hAnsi="Calibri" w:cs="Calibri"/>
        </w:rPr>
        <w:t xml:space="preserve"> </w:t>
      </w:r>
      <w:r>
        <w:t xml:space="preserve">7.48, </w:t>
      </w:r>
      <w:r>
        <w:rPr>
          <w:i/>
        </w:rPr>
        <w:t xml:space="preserve">p </w:t>
      </w:r>
      <w:r>
        <w:rPr>
          <w:rFonts w:ascii="Calibri" w:eastAsia="Calibri" w:hAnsi="Calibri" w:cs="Calibri"/>
        </w:rPr>
        <w:t xml:space="preserve"> </w:t>
      </w:r>
      <w:r>
        <w:t xml:space="preserve">.001. The reverse also holds, with the A-DMC adding 5%, </w:t>
      </w:r>
      <w:proofErr w:type="gramStart"/>
      <w:r>
        <w:rPr>
          <w:i/>
        </w:rPr>
        <w:t>F</w:t>
      </w:r>
      <w:r>
        <w:t>(</w:t>
      </w:r>
      <w:proofErr w:type="gramEnd"/>
      <w:r>
        <w:t xml:space="preserve">7, 243) </w:t>
      </w:r>
      <w:r>
        <w:rPr>
          <w:rFonts w:ascii="Calibri" w:eastAsia="Calibri" w:hAnsi="Calibri" w:cs="Calibri"/>
        </w:rPr>
        <w:t xml:space="preserve"> </w:t>
      </w:r>
      <w:r>
        <w:t xml:space="preserve">2.72, </w:t>
      </w:r>
      <w:r>
        <w:rPr>
          <w:i/>
        </w:rPr>
        <w:t xml:space="preserve">p </w:t>
      </w:r>
      <w:r>
        <w:rPr>
          <w:rFonts w:ascii="Calibri" w:eastAsia="Calibri" w:hAnsi="Calibri" w:cs="Calibri"/>
        </w:rPr>
        <w:t xml:space="preserve"> </w:t>
      </w:r>
      <w:r>
        <w:t xml:space="preserve">.05, to the 35% of DOI variance accounted for by the other measures, </w:t>
      </w:r>
      <w:r>
        <w:rPr>
          <w:i/>
        </w:rPr>
        <w:t>F</w:t>
      </w:r>
      <w:r>
        <w:t xml:space="preserve">(13, 250) </w:t>
      </w:r>
      <w:r>
        <w:rPr>
          <w:rFonts w:ascii="Calibri" w:eastAsia="Calibri" w:hAnsi="Calibri" w:cs="Calibri"/>
        </w:rPr>
        <w:t xml:space="preserve"> </w:t>
      </w:r>
      <w:r>
        <w:t xml:space="preserve">10.45, </w:t>
      </w:r>
      <w:r>
        <w:rPr>
          <w:i/>
        </w:rPr>
        <w:t xml:space="preserve">p </w:t>
      </w:r>
      <w:r>
        <w:rPr>
          <w:rFonts w:ascii="Calibri" w:eastAsia="Calibri" w:hAnsi="Calibri" w:cs="Calibri"/>
        </w:rPr>
        <w:t xml:space="preserve"> </w:t>
      </w:r>
      <w:r>
        <w:t>.001. Thus, the other measures explain 71% (12% out of 17%) of A-DMC-related variance in the DOI, and the A-DMC explains 34% (12% out of 35%) of the variance in the DOI because of the other measures.</w:t>
      </w:r>
    </w:p>
    <w:p w:rsidR="00157A70" w:rsidRDefault="00316F15">
      <w:pPr>
        <w:pStyle w:val="1"/>
      </w:pPr>
      <w:r>
        <w:t>Discussion</w:t>
      </w:r>
    </w:p>
    <w:p w:rsidR="00157A70" w:rsidRDefault="00316F15">
      <w:pPr>
        <w:ind w:left="-15" w:right="0"/>
      </w:pPr>
      <w:r>
        <w:t xml:space="preserve">Our initial aim was to develop a measure of adult </w:t>
      </w:r>
      <w:proofErr w:type="spellStart"/>
      <w:r>
        <w:t>decisionmaking</w:t>
      </w:r>
      <w:proofErr w:type="spellEnd"/>
      <w:r>
        <w:t xml:space="preserve"> competence (the A-DMC) that built on a normative approach to decision making and improved on the measure developed for young people (the Y-DMC). When administered to a diverse sample of adults, the new measure showed greater internal consistency for the component tasks, test–retest reliability for the overall measure, and </w:t>
      </w:r>
      <w:proofErr w:type="spellStart"/>
      <w:r>
        <w:t>intertask</w:t>
      </w:r>
      <w:proofErr w:type="spellEnd"/>
      <w:r>
        <w:t xml:space="preserve"> correlations than had the youth version. Thus, the A-DMC skill set, long identified as central to decision making (W. Edwards, 1954; </w:t>
      </w:r>
      <w:proofErr w:type="spellStart"/>
      <w:r>
        <w:t>Raiffa</w:t>
      </w:r>
      <w:proofErr w:type="spellEnd"/>
      <w:r>
        <w:t>, 1968), reflects a unified construct (or a set of related, mutually supportive constructs). These results further support the proposal (Stanovich &amp; West, 2000) that performance on conventional behavioral decision-making tasks reflects a positive manifold rather than random performance errors. Moreover, it shows promise for the development of a normed psychometric test of decision-making competence.</w:t>
      </w:r>
    </w:p>
    <w:p w:rsidR="00157A70" w:rsidRDefault="00316F15">
      <w:pPr>
        <w:ind w:left="-15" w:right="0"/>
      </w:pPr>
      <w:r>
        <w:t>Our second aim was to assess the nomological validity of the A-DMC, in terms of its relationships to SES, age, cognitive ability, and decision-making styles. As predicted, participants recruited through social service organizations and having less education had worse A-DMC scores. Of course, correlation does not imply causality. Lower decision-making abilities could lead to more difficult life experiences, while the stress of bad outcomes could undermine the quality of people’s decisions. More direct tests of causal relationships include prospective studies examining the effects of training in decision making on the outcomes that people experience later (</w:t>
      </w:r>
      <w:proofErr w:type="spellStart"/>
      <w:r>
        <w:t>Beyth-Marom</w:t>
      </w:r>
      <w:proofErr w:type="spellEnd"/>
      <w:r>
        <w:t xml:space="preserve">, </w:t>
      </w:r>
      <w:proofErr w:type="spellStart"/>
      <w:r>
        <w:t>Fischhoff</w:t>
      </w:r>
      <w:proofErr w:type="spellEnd"/>
      <w:r>
        <w:t xml:space="preserve">, </w:t>
      </w:r>
      <w:proofErr w:type="spellStart"/>
      <w:r>
        <w:t>Quadrel</w:t>
      </w:r>
      <w:proofErr w:type="spellEnd"/>
      <w:r>
        <w:t xml:space="preserve">, &amp; </w:t>
      </w:r>
      <w:proofErr w:type="spellStart"/>
      <w:r>
        <w:t>Furby</w:t>
      </w:r>
      <w:proofErr w:type="spellEnd"/>
      <w:r>
        <w:t>, 1991; Downs et al., 2004). Indeed, decision making may be a teachable skill (Baron &amp; Brown, 1991), with correlational evidence suggesting that people who have received formal training in decision making may obtain better life outcomes (</w:t>
      </w:r>
      <w:proofErr w:type="spellStart"/>
      <w:r>
        <w:t>Larrick</w:t>
      </w:r>
      <w:proofErr w:type="spellEnd"/>
      <w:r>
        <w:t xml:space="preserve"> et al., </w:t>
      </w:r>
      <w:r>
        <w:lastRenderedPageBreak/>
        <w:t>1993). If so, then teaching decision making may improve quality of life, especially in low-SES communities.</w:t>
      </w:r>
    </w:p>
    <w:p w:rsidR="00157A70" w:rsidRDefault="00316F15">
      <w:pPr>
        <w:ind w:left="-15" w:right="0"/>
      </w:pPr>
      <w:r>
        <w:t xml:space="preserve">A-DMC components did not show consistent relationships with age. Whereas older adults performed significantly worse on Resistance to Framing and Applying Decision Rules, they did significantly better on Recognizing Social Norms and Resistance to Sunk Costs. These inconsistent results perhaps reflect the two competing views on everyday problem solving and aging, described by Finucane et al. (2002). One view argues that everyday problem solving relies on cognitive abilities that decline with age (cf. Willis, 1991), whereas the other view posits that older individuals have knowledge and experience that allows them to be more selective, domain specific, and automatized in their problem solving (cf. </w:t>
      </w:r>
      <w:proofErr w:type="spellStart"/>
      <w:r>
        <w:t>Baltes</w:t>
      </w:r>
      <w:proofErr w:type="spellEnd"/>
      <w:r>
        <w:t xml:space="preserve"> &amp; </w:t>
      </w:r>
      <w:proofErr w:type="spellStart"/>
      <w:r>
        <w:t>Baltes</w:t>
      </w:r>
      <w:proofErr w:type="spellEnd"/>
      <w:r>
        <w:t>, 1990; Denney, 1989; Salthouse, 1991), which may make up for any impaired cognitive abilities. Possibly, Resistance to Framing and Applying Decision Rules require cognitive skills that decrease with age (Finucane et al., 2005, 2002), whereas Recognizing Social Norms and Resistance to Sunk Costs rely on experiences that increase with age.</w:t>
      </w:r>
    </w:p>
    <w:p w:rsidR="00157A70" w:rsidRDefault="00316F15">
      <w:pPr>
        <w:ind w:left="-15" w:right="0"/>
      </w:pPr>
      <w:r>
        <w:t>The nomological validity of the A-DMC was underscored by predicted associations with measures of (a) general fluid and crystallized cognitive ability (Raven SPM and the Comprehension subtest of the Nelson-Denny Reading Test, respectively) and (b) constructive and maladaptive decision-making styles, including tendencies to experience regret and maximize needlessly (Schwartz et al., 2002); to engage in behavioral coping (Epstein &amp; Meier, 1989; Katz &amp; Epstein, 1991); and to engage in avoidant, rational, and spontaneous decision making (Scott &amp; Bruce, 1985). Our third aim was to assess the relationship between A-DMC components and experienced real-world decision outcomes. In the absence of direct measures of real-world decision-making experience, we developed a generally applicable measure of self-reported decision outcomes. Our DOI showed good internal consistency, with a single-factor solution having high loadings of almost all items. The frequency with which respondents reported poor decision outcomes reflects some (perhaps surprising) candor in admitting to negative life experiences. Nonetheless, any measure relying on self-reports must be treated cautiously.</w:t>
      </w:r>
    </w:p>
    <w:p w:rsidR="00157A70" w:rsidRDefault="00316F15">
      <w:pPr>
        <w:spacing w:after="440"/>
        <w:ind w:left="-15" w:right="0"/>
      </w:pPr>
      <w:r>
        <w:t xml:space="preserve">Using the DOI as a standard, the A-DMC shows good predictive validity: Overall performance on the A-DMC and most of its component tasks is associated with better decision outcomes. Although some A-DMC components (such as Applying Decision Rules) have strong correlations with measures of cognitive ability, the relationship between the A-DMC and DOI remains significant after controlling for these measures. In fact, the A-DMC appears to mediate the relationship between cognitive ability and the DOI. The A-DMC may measure specific cognitive skills that go beyond general cognitive ability in terms of their relevance to avoiding negative real-world decision outcomes, perhaps suggesting that the domain of cognitive ability could be expanded to include </w:t>
      </w:r>
      <w:proofErr w:type="spellStart"/>
      <w:r>
        <w:t>decisionmaking</w:t>
      </w:r>
      <w:proofErr w:type="spellEnd"/>
      <w:r>
        <w:t xml:space="preserve"> competence.</w:t>
      </w:r>
    </w:p>
    <w:p w:rsidR="00157A70" w:rsidRDefault="00316F15">
      <w:pPr>
        <w:pStyle w:val="1"/>
        <w:spacing w:after="188"/>
      </w:pPr>
      <w:r>
        <w:t>Limitations</w:t>
      </w:r>
    </w:p>
    <w:p w:rsidR="00157A70" w:rsidRDefault="00316F15">
      <w:pPr>
        <w:ind w:left="-15" w:right="0"/>
      </w:pPr>
      <w:r>
        <w:t xml:space="preserve">Not all of the selected A-DMC component tasks perform equally well. Path Independence, an axiom of normative decision making, does particularly poorly. Although internally consistent, </w:t>
      </w:r>
      <w:r>
        <w:t xml:space="preserve">performance on it is relatively unreliable over time, suggesting that it may be a reliable measure of a temporary state. However, performance on Path Independence is unrelated to performance on the other A-DMC components or to any of the covariate measures, including SES, real-world decision outcomes, and cognitive ability. A similar pattern was observed with adolescents, in which Path Independence scores were unrelated to risk behaviors and social background (Parker &amp; </w:t>
      </w:r>
      <w:proofErr w:type="spellStart"/>
      <w:r>
        <w:t>Fischhoff</w:t>
      </w:r>
      <w:proofErr w:type="spellEnd"/>
      <w:r>
        <w:t xml:space="preserve">, 2005). This is notable, given Path Independence’s central role in normative decision making. If Path Independence does indeed reflect an unstable ability, then it may vary too much to affect real-world decision outcomes that evolve over time. It is also possible that the abstract formulation of the paper-and-pencil task tapped some skill other than </w:t>
      </w:r>
      <w:proofErr w:type="spellStart"/>
      <w:r>
        <w:t>decisionmaking</w:t>
      </w:r>
      <w:proofErr w:type="spellEnd"/>
      <w:r>
        <w:t xml:space="preserve"> ability. Finally, Path Independence may not be relevant to real-world choices, which may consistently appear with the same structure.</w:t>
      </w:r>
    </w:p>
    <w:p w:rsidR="00157A70" w:rsidRDefault="00316F15">
      <w:pPr>
        <w:ind w:left="-15" w:right="0"/>
      </w:pPr>
      <w:r>
        <w:t>Despite being sensibly related to other decision-making tasks and to measures of SES and cognitive ability, performance on Resistance to Framing is unrelated to real-world decision outcomes and effective decision-making styles. Here, too, as with Path Independence, experiences with real-world outcomes may be buffered by conventions for frame choice. That is, real-world choices may typically appear in a common frame, perhaps conveying the communicator’s norms about how to view the choice (</w:t>
      </w:r>
      <w:proofErr w:type="spellStart"/>
      <w:r>
        <w:t>Fischhoff</w:t>
      </w:r>
      <w:proofErr w:type="spellEnd"/>
      <w:r>
        <w:t xml:space="preserve">, 1993; </w:t>
      </w:r>
      <w:proofErr w:type="spellStart"/>
      <w:r>
        <w:t>Fischhoff</w:t>
      </w:r>
      <w:proofErr w:type="spellEnd"/>
      <w:r>
        <w:t xml:space="preserve">, </w:t>
      </w:r>
      <w:proofErr w:type="spellStart"/>
      <w:r>
        <w:t>Slovic</w:t>
      </w:r>
      <w:proofErr w:type="spellEnd"/>
      <w:r>
        <w:t xml:space="preserve"> &amp; Lichtenstein, 1980; McKenzie, 2004; McKenzie &amp; Nelson, 2003; Schwarz, 1999). It is also possible that our within-subject design relied on an ability to recognize similar frames, unrelated to Resistance to Framing in between-subject designs (</w:t>
      </w:r>
      <w:proofErr w:type="spellStart"/>
      <w:r>
        <w:t>LeBoeuf</w:t>
      </w:r>
      <w:proofErr w:type="spellEnd"/>
      <w:r>
        <w:t xml:space="preserve"> &amp; </w:t>
      </w:r>
      <w:proofErr w:type="spellStart"/>
      <w:r>
        <w:t>Shafir</w:t>
      </w:r>
      <w:proofErr w:type="spellEnd"/>
      <w:r>
        <w:t>, 2003).</w:t>
      </w:r>
    </w:p>
    <w:p w:rsidR="00157A70" w:rsidRDefault="00316F15">
      <w:pPr>
        <w:ind w:left="-15" w:right="0"/>
      </w:pPr>
      <w:r>
        <w:t>Our study presented all tasks in the same order, mostly for administrative reasons. Doing so may have led to later measures being disproportionately affected by participant fatigue or learning, reducing the reliability and validity of tasks presented later. Because all participants completed the tasks in the same order, the present results do not allow examining possible order effects. Future research should vary presentation order.</w:t>
      </w:r>
    </w:p>
    <w:p w:rsidR="00157A70" w:rsidRDefault="00316F15">
      <w:pPr>
        <w:ind w:left="-15" w:right="0"/>
      </w:pPr>
      <w:r>
        <w:t>Future research should also expand the set of covariates. The present study used one set of measures for cognitive ability, decision-making styles, and SES. Although they were selected with care, in order to cover different aspects of the construct each is meant to represent, other measures might yield different results.</w:t>
      </w:r>
    </w:p>
    <w:p w:rsidR="00157A70" w:rsidRDefault="00316F15">
      <w:pPr>
        <w:ind w:left="-15" w:right="0"/>
      </w:pPr>
      <w:r>
        <w:t xml:space="preserve">Similarly, results may vary with different tasks representing these decision-making skills. The tasks that we chose for the A-DMC reflect the traditional normative approach to </w:t>
      </w:r>
      <w:proofErr w:type="spellStart"/>
      <w:r>
        <w:t>decisionmaking</w:t>
      </w:r>
      <w:proofErr w:type="spellEnd"/>
      <w:r>
        <w:t xml:space="preserve"> competence (W. Edwards, 1954; Finucane &amp; Lees, 2005; </w:t>
      </w:r>
      <w:proofErr w:type="spellStart"/>
      <w:r>
        <w:t>Raiffa</w:t>
      </w:r>
      <w:proofErr w:type="spellEnd"/>
      <w:r>
        <w:t xml:space="preserve">, 1968) and the original Y-DMC (Parker &amp; </w:t>
      </w:r>
      <w:proofErr w:type="spellStart"/>
      <w:r>
        <w:t>Fischhoff</w:t>
      </w:r>
      <w:proofErr w:type="spellEnd"/>
      <w:r>
        <w:t>, 2005). However, researchers have studied many other judgment and decision-making skills, including consistency in judgments over time (</w:t>
      </w:r>
      <w:proofErr w:type="spellStart"/>
      <w:r>
        <w:t>Fischhoff</w:t>
      </w:r>
      <w:proofErr w:type="spellEnd"/>
      <w:r>
        <w:t xml:space="preserve">, 1975), consistency in choice over time (Loewenstein &amp; </w:t>
      </w:r>
      <w:proofErr w:type="spellStart"/>
      <w:r>
        <w:t>Elster</w:t>
      </w:r>
      <w:proofErr w:type="spellEnd"/>
      <w:r>
        <w:t>, 1992), and resistance to biases arising from heuristics such as representativeness and availability (Tversky &amp; Kahneman, 1974). Future research should examine their external validity in terms of relevance to avoiding the DOI’s negative real-world outcomes.</w:t>
      </w:r>
    </w:p>
    <w:p w:rsidR="00157A70" w:rsidRDefault="00316F15">
      <w:pPr>
        <w:ind w:left="-15" w:right="0"/>
      </w:pPr>
      <w:r>
        <w:t xml:space="preserve">In summary, we have created and evaluated two new measures, one for adult decision-making skills (the A-DMC) and one for decision-making outcomes (the DOI). The present results, combined with those from Parker and </w:t>
      </w:r>
      <w:proofErr w:type="spellStart"/>
      <w:r>
        <w:t>Fischhoff</w:t>
      </w:r>
      <w:proofErr w:type="spellEnd"/>
      <w:r>
        <w:t xml:space="preserve"> (2005), support the </w:t>
      </w:r>
      <w:r>
        <w:lastRenderedPageBreak/>
        <w:t>overall construct validity of decision-making competence as well as the external validity of tasks drawn from the behavioral decision research repertoire. Although some researchers have raised questions about these tasks’ external validity (</w:t>
      </w:r>
      <w:proofErr w:type="spellStart"/>
      <w:r>
        <w:t>Gigerenzer</w:t>
      </w:r>
      <w:proofErr w:type="spellEnd"/>
      <w:r>
        <w:t xml:space="preserve"> et al., 2000; Klein, 1999), most show good internal consistency, test–retest reliability, and validity—as seen in significant, predicted correlations with real-world decision outcomes, cognitive ability, decision-making styles, and SES. The psychometric properties revealed in this systematically developed battery and large, diverse sample suggest that the A-DMC and its component tasks have promise for use as individual-differences measures. Additionally, the DOI appears to elicit internally consistent experiences of real-world outcomes, in a short, easily administered self-report format similar to that used for life-event scales (e.g., Miller, 1996).</w:t>
      </w:r>
    </w:p>
    <w:p w:rsidR="00157A70" w:rsidRDefault="00316F15">
      <w:pPr>
        <w:spacing w:after="261"/>
        <w:ind w:left="-15" w:right="0"/>
      </w:pPr>
      <w:r>
        <w:t>Future research might examine relationships of performance on other decision-making tasks with the A-DMC and DOI. If decision-making skills reflect a positive manifold, then positive correlations should be observed. Our two scales may also be used for understanding the role of decision-making competence in everyday life and how it can be illuminated by behavioral decision research—recognizing that each such study tests the construct validity of the measures.</w:t>
      </w:r>
    </w:p>
    <w:p w:rsidR="00157A70" w:rsidRDefault="00316F15">
      <w:pPr>
        <w:pStyle w:val="1"/>
        <w:ind w:right="2"/>
      </w:pPr>
      <w:r>
        <w:t>References</w:t>
      </w:r>
    </w:p>
    <w:p w:rsidR="00157A70" w:rsidRDefault="00316F15">
      <w:pPr>
        <w:spacing w:line="278" w:lineRule="auto"/>
        <w:ind w:left="155" w:right="0" w:hanging="170"/>
      </w:pPr>
      <w:proofErr w:type="spellStart"/>
      <w:r>
        <w:rPr>
          <w:sz w:val="16"/>
        </w:rPr>
        <w:t>Arkes</w:t>
      </w:r>
      <w:proofErr w:type="spellEnd"/>
      <w:r>
        <w:rPr>
          <w:sz w:val="16"/>
        </w:rPr>
        <w:t xml:space="preserve">, H. R., &amp; Blumer, C. (1985). The psychology of sunk cost. </w:t>
      </w:r>
      <w:r>
        <w:rPr>
          <w:i/>
          <w:sz w:val="16"/>
        </w:rPr>
        <w:t xml:space="preserve">Organizational Behavior and Human Decision Processes, 35, </w:t>
      </w:r>
      <w:r>
        <w:rPr>
          <w:sz w:val="16"/>
        </w:rPr>
        <w:t>124–140.</w:t>
      </w:r>
    </w:p>
    <w:p w:rsidR="00157A70" w:rsidRDefault="00316F15">
      <w:pPr>
        <w:spacing w:line="278" w:lineRule="auto"/>
        <w:ind w:left="155" w:right="0" w:hanging="170"/>
      </w:pPr>
      <w:proofErr w:type="spellStart"/>
      <w:r>
        <w:rPr>
          <w:sz w:val="16"/>
        </w:rPr>
        <w:t>Baltes</w:t>
      </w:r>
      <w:proofErr w:type="spellEnd"/>
      <w:r>
        <w:rPr>
          <w:sz w:val="16"/>
        </w:rPr>
        <w:t xml:space="preserve">, P. B., &amp; </w:t>
      </w:r>
      <w:proofErr w:type="spellStart"/>
      <w:r>
        <w:rPr>
          <w:sz w:val="16"/>
        </w:rPr>
        <w:t>Baltes</w:t>
      </w:r>
      <w:proofErr w:type="spellEnd"/>
      <w:r>
        <w:rPr>
          <w:sz w:val="16"/>
        </w:rPr>
        <w:t xml:space="preserve">, M. M. (1990). Psychological perspectives on successful aging: The model of selective optimization with compensation. In M. M. </w:t>
      </w:r>
      <w:proofErr w:type="spellStart"/>
      <w:r>
        <w:rPr>
          <w:sz w:val="16"/>
        </w:rPr>
        <w:t>Baltes</w:t>
      </w:r>
      <w:proofErr w:type="spellEnd"/>
      <w:r>
        <w:rPr>
          <w:sz w:val="16"/>
        </w:rPr>
        <w:t xml:space="preserve"> &amp; P. B. </w:t>
      </w:r>
      <w:proofErr w:type="spellStart"/>
      <w:r>
        <w:rPr>
          <w:sz w:val="16"/>
        </w:rPr>
        <w:t>Baltes</w:t>
      </w:r>
      <w:proofErr w:type="spellEnd"/>
      <w:r>
        <w:rPr>
          <w:sz w:val="16"/>
        </w:rPr>
        <w:t xml:space="preserve"> (Eds.), </w:t>
      </w:r>
      <w:r>
        <w:rPr>
          <w:i/>
          <w:sz w:val="16"/>
        </w:rPr>
        <w:t xml:space="preserve">Successful aging: Perspectives from the behavioral sciences </w:t>
      </w:r>
      <w:r>
        <w:rPr>
          <w:sz w:val="16"/>
        </w:rPr>
        <w:t>(pp. 1–34). Cambridge, MA: Cambridge University Press.</w:t>
      </w:r>
    </w:p>
    <w:p w:rsidR="00157A70" w:rsidRDefault="00316F15">
      <w:pPr>
        <w:spacing w:line="278" w:lineRule="auto"/>
        <w:ind w:left="155" w:right="0" w:hanging="170"/>
      </w:pPr>
      <w:r>
        <w:rPr>
          <w:sz w:val="16"/>
        </w:rPr>
        <w:t xml:space="preserve">Baron, J. (2000). </w:t>
      </w:r>
      <w:r>
        <w:rPr>
          <w:i/>
          <w:sz w:val="16"/>
        </w:rPr>
        <w:t>Thinking and deciding</w:t>
      </w:r>
      <w:r>
        <w:rPr>
          <w:sz w:val="16"/>
        </w:rPr>
        <w:t>. New York: Cambridge University Press.</w:t>
      </w:r>
    </w:p>
    <w:p w:rsidR="00157A70" w:rsidRDefault="00316F15">
      <w:pPr>
        <w:spacing w:line="278" w:lineRule="auto"/>
        <w:ind w:left="155" w:right="0" w:hanging="170"/>
      </w:pPr>
      <w:r>
        <w:rPr>
          <w:sz w:val="16"/>
        </w:rPr>
        <w:t xml:space="preserve">Baron, J., &amp; Brown, R. V. (1991). </w:t>
      </w:r>
      <w:r>
        <w:rPr>
          <w:i/>
          <w:sz w:val="16"/>
        </w:rPr>
        <w:t>Teaching decision making to adolescents</w:t>
      </w:r>
      <w:r>
        <w:rPr>
          <w:sz w:val="16"/>
        </w:rPr>
        <w:t>. Hillsdale, NJ: Erlbaum.</w:t>
      </w:r>
    </w:p>
    <w:p w:rsidR="00157A70" w:rsidRDefault="00316F15">
      <w:pPr>
        <w:spacing w:line="278" w:lineRule="auto"/>
        <w:ind w:left="155" w:right="0" w:hanging="170"/>
      </w:pPr>
      <w:r>
        <w:rPr>
          <w:sz w:val="16"/>
        </w:rPr>
        <w:t xml:space="preserve">Baron, J., </w:t>
      </w:r>
      <w:proofErr w:type="spellStart"/>
      <w:r>
        <w:rPr>
          <w:sz w:val="16"/>
        </w:rPr>
        <w:t>Granato</w:t>
      </w:r>
      <w:proofErr w:type="spellEnd"/>
      <w:r>
        <w:rPr>
          <w:sz w:val="16"/>
        </w:rPr>
        <w:t xml:space="preserve">, L., </w:t>
      </w:r>
      <w:proofErr w:type="spellStart"/>
      <w:r>
        <w:rPr>
          <w:sz w:val="16"/>
        </w:rPr>
        <w:t>Spranca</w:t>
      </w:r>
      <w:proofErr w:type="spellEnd"/>
      <w:r>
        <w:rPr>
          <w:sz w:val="16"/>
        </w:rPr>
        <w:t xml:space="preserve">, M., &amp; </w:t>
      </w:r>
      <w:proofErr w:type="spellStart"/>
      <w:r>
        <w:rPr>
          <w:sz w:val="16"/>
        </w:rPr>
        <w:t>Teubal</w:t>
      </w:r>
      <w:proofErr w:type="spellEnd"/>
      <w:r>
        <w:rPr>
          <w:sz w:val="16"/>
        </w:rPr>
        <w:t xml:space="preserve">, E. (1993). Decision-making biases in children and early adolescents: Exploratory studies. </w:t>
      </w:r>
      <w:proofErr w:type="spellStart"/>
      <w:r>
        <w:rPr>
          <w:i/>
          <w:sz w:val="16"/>
        </w:rPr>
        <w:t>MerrillPalmer</w:t>
      </w:r>
      <w:proofErr w:type="spellEnd"/>
      <w:r>
        <w:rPr>
          <w:i/>
          <w:sz w:val="16"/>
        </w:rPr>
        <w:t xml:space="preserve"> Quarterly, 39, </w:t>
      </w:r>
      <w:r>
        <w:rPr>
          <w:sz w:val="16"/>
        </w:rPr>
        <w:t>22–46.</w:t>
      </w:r>
    </w:p>
    <w:p w:rsidR="00157A70" w:rsidRDefault="00316F15">
      <w:pPr>
        <w:spacing w:line="278" w:lineRule="auto"/>
        <w:ind w:left="155" w:right="0" w:hanging="170"/>
      </w:pPr>
      <w:r>
        <w:rPr>
          <w:sz w:val="16"/>
        </w:rPr>
        <w:t xml:space="preserve">Baron, R. M., &amp; Kenny, D. A. (1986). The moderator-mediator variable distinction in social psychological research: Conceptual, strategic, and statistical considerations. </w:t>
      </w:r>
      <w:r>
        <w:rPr>
          <w:i/>
          <w:sz w:val="16"/>
        </w:rPr>
        <w:t xml:space="preserve">Journal of Personality and Social Psychology, 51, </w:t>
      </w:r>
      <w:r>
        <w:rPr>
          <w:sz w:val="16"/>
        </w:rPr>
        <w:t>1173–1182.</w:t>
      </w:r>
    </w:p>
    <w:p w:rsidR="00157A70" w:rsidRDefault="00316F15">
      <w:pPr>
        <w:spacing w:line="278" w:lineRule="auto"/>
        <w:ind w:left="155" w:right="0" w:hanging="170"/>
      </w:pPr>
      <w:r>
        <w:rPr>
          <w:sz w:val="16"/>
        </w:rPr>
        <w:t xml:space="preserve">Bauer, J. (2003). </w:t>
      </w:r>
      <w:r>
        <w:rPr>
          <w:i/>
          <w:sz w:val="16"/>
        </w:rPr>
        <w:t xml:space="preserve">The complete idiot’s guide to total nutrition </w:t>
      </w:r>
      <w:r>
        <w:rPr>
          <w:sz w:val="16"/>
        </w:rPr>
        <w:t>(3rd ed.). Indianapolis, IN: Alpha Books.</w:t>
      </w:r>
    </w:p>
    <w:p w:rsidR="00157A70" w:rsidRDefault="00316F15">
      <w:pPr>
        <w:spacing w:line="278" w:lineRule="auto"/>
        <w:ind w:left="155" w:right="0" w:hanging="170"/>
      </w:pPr>
      <w:r>
        <w:rPr>
          <w:sz w:val="16"/>
        </w:rPr>
        <w:t xml:space="preserve">Bauman, K. J., &amp; Graf, N. L. (2003). </w:t>
      </w:r>
      <w:r>
        <w:rPr>
          <w:i/>
          <w:sz w:val="16"/>
        </w:rPr>
        <w:t xml:space="preserve">Educational attainment: 2000. Census 2000 brief. </w:t>
      </w:r>
      <w:r>
        <w:rPr>
          <w:sz w:val="16"/>
        </w:rPr>
        <w:t>Washington, DC: U.S. Census Bureau.</w:t>
      </w:r>
    </w:p>
    <w:p w:rsidR="00157A70" w:rsidRDefault="00316F15">
      <w:pPr>
        <w:spacing w:line="278" w:lineRule="auto"/>
        <w:ind w:left="155" w:right="0" w:hanging="170"/>
      </w:pPr>
      <w:proofErr w:type="spellStart"/>
      <w:r>
        <w:rPr>
          <w:sz w:val="16"/>
        </w:rPr>
        <w:t>Beyth-Marom</w:t>
      </w:r>
      <w:proofErr w:type="spellEnd"/>
      <w:r>
        <w:rPr>
          <w:sz w:val="16"/>
        </w:rPr>
        <w:t xml:space="preserve">, R., </w:t>
      </w:r>
      <w:proofErr w:type="spellStart"/>
      <w:r>
        <w:rPr>
          <w:sz w:val="16"/>
        </w:rPr>
        <w:t>Fischhoff</w:t>
      </w:r>
      <w:proofErr w:type="spellEnd"/>
      <w:r>
        <w:rPr>
          <w:sz w:val="16"/>
        </w:rPr>
        <w:t xml:space="preserve">, B., </w:t>
      </w:r>
      <w:proofErr w:type="spellStart"/>
      <w:r>
        <w:rPr>
          <w:sz w:val="16"/>
        </w:rPr>
        <w:t>Quadrel</w:t>
      </w:r>
      <w:proofErr w:type="spellEnd"/>
      <w:r>
        <w:rPr>
          <w:sz w:val="16"/>
        </w:rPr>
        <w:t xml:space="preserve">, M. J., &amp; </w:t>
      </w:r>
      <w:proofErr w:type="spellStart"/>
      <w:r>
        <w:rPr>
          <w:sz w:val="16"/>
        </w:rPr>
        <w:t>Furby</w:t>
      </w:r>
      <w:proofErr w:type="spellEnd"/>
      <w:r>
        <w:rPr>
          <w:sz w:val="16"/>
        </w:rPr>
        <w:t xml:space="preserve">, L. (1991). Teaching </w:t>
      </w:r>
      <w:proofErr w:type="gramStart"/>
      <w:r>
        <w:rPr>
          <w:sz w:val="16"/>
        </w:rPr>
        <w:t>adolescents</w:t>
      </w:r>
      <w:proofErr w:type="gramEnd"/>
      <w:r>
        <w:rPr>
          <w:sz w:val="16"/>
        </w:rPr>
        <w:t xml:space="preserve"> decision making. In J. Baron &amp; R. Brown (Eds.), </w:t>
      </w:r>
      <w:r>
        <w:rPr>
          <w:i/>
          <w:sz w:val="16"/>
        </w:rPr>
        <w:t xml:space="preserve">Teaching decision making to adolescents </w:t>
      </w:r>
      <w:r>
        <w:rPr>
          <w:sz w:val="16"/>
        </w:rPr>
        <w:t>(pp. 19–60). Hillsdale, NJ: Erlbaum.</w:t>
      </w:r>
    </w:p>
    <w:p w:rsidR="00157A70" w:rsidRDefault="00316F15">
      <w:pPr>
        <w:spacing w:line="278" w:lineRule="auto"/>
        <w:ind w:left="155" w:right="0" w:hanging="170"/>
      </w:pPr>
      <w:proofErr w:type="spellStart"/>
      <w:r>
        <w:rPr>
          <w:sz w:val="16"/>
        </w:rPr>
        <w:t>Blais</w:t>
      </w:r>
      <w:proofErr w:type="spellEnd"/>
      <w:r>
        <w:rPr>
          <w:sz w:val="16"/>
        </w:rPr>
        <w:t xml:space="preserve">, A. R., Thompson, M. M., &amp; Baranski, J. V. (2005). Individual differences in decision processing and confidence judgments in comparative judgment tasks: The role of cognitive styles. </w:t>
      </w:r>
      <w:r>
        <w:rPr>
          <w:i/>
          <w:sz w:val="16"/>
        </w:rPr>
        <w:t xml:space="preserve">Personality and Individual Differences, 38, </w:t>
      </w:r>
      <w:r>
        <w:rPr>
          <w:sz w:val="16"/>
        </w:rPr>
        <w:t>1701–1713.</w:t>
      </w:r>
    </w:p>
    <w:p w:rsidR="00157A70" w:rsidRDefault="00316F15">
      <w:pPr>
        <w:spacing w:line="278" w:lineRule="auto"/>
        <w:ind w:left="155" w:right="0" w:hanging="170"/>
      </w:pPr>
      <w:r>
        <w:rPr>
          <w:sz w:val="16"/>
        </w:rPr>
        <w:t xml:space="preserve">Bornstein, B. H., &amp; Chapman, G. (1995). Learning lessons from sunk costs. </w:t>
      </w:r>
      <w:r>
        <w:rPr>
          <w:i/>
          <w:sz w:val="16"/>
        </w:rPr>
        <w:t xml:space="preserve">Journal of Experimental Psychology: Applied, 1, </w:t>
      </w:r>
      <w:r>
        <w:rPr>
          <w:sz w:val="16"/>
        </w:rPr>
        <w:t>251–269.</w:t>
      </w:r>
    </w:p>
    <w:p w:rsidR="00157A70" w:rsidRDefault="00316F15">
      <w:pPr>
        <w:spacing w:line="278" w:lineRule="auto"/>
        <w:ind w:left="155" w:right="0" w:hanging="170"/>
      </w:pPr>
      <w:r>
        <w:rPr>
          <w:sz w:val="16"/>
        </w:rPr>
        <w:t xml:space="preserve">Bornstein, B. H., &amp; </w:t>
      </w:r>
      <w:proofErr w:type="spellStart"/>
      <w:r>
        <w:rPr>
          <w:sz w:val="16"/>
        </w:rPr>
        <w:t>Zickafoose</w:t>
      </w:r>
      <w:proofErr w:type="spellEnd"/>
      <w:r>
        <w:rPr>
          <w:sz w:val="16"/>
        </w:rPr>
        <w:t xml:space="preserve">, D. J. (1999). “I know I know it, I know I saw it”: The stability of the confidence–accuracy relationship across domains. </w:t>
      </w:r>
      <w:r>
        <w:rPr>
          <w:i/>
          <w:sz w:val="16"/>
        </w:rPr>
        <w:t xml:space="preserve">Journal of Experimental Psychology: Applied, 5, </w:t>
      </w:r>
      <w:r>
        <w:rPr>
          <w:sz w:val="16"/>
        </w:rPr>
        <w:t>76–88.</w:t>
      </w:r>
    </w:p>
    <w:p w:rsidR="00157A70" w:rsidRDefault="00316F15">
      <w:pPr>
        <w:spacing w:line="278" w:lineRule="auto"/>
        <w:ind w:left="155" w:right="0" w:hanging="170"/>
      </w:pPr>
      <w:r>
        <w:rPr>
          <w:sz w:val="16"/>
        </w:rPr>
        <w:t xml:space="preserve">Brady, S. S., &amp; Matthews, K. A. (2002). The influence of socioeconomic status and ethnicity on adolescents’ exposure to stressful life events. </w:t>
      </w:r>
      <w:r>
        <w:rPr>
          <w:i/>
          <w:sz w:val="16"/>
        </w:rPr>
        <w:t xml:space="preserve">Journal of Pediatric Psychology, 27, </w:t>
      </w:r>
      <w:r>
        <w:rPr>
          <w:sz w:val="16"/>
        </w:rPr>
        <w:t>575–583.</w:t>
      </w:r>
    </w:p>
    <w:p w:rsidR="00157A70" w:rsidRDefault="00316F15">
      <w:pPr>
        <w:spacing w:line="278" w:lineRule="auto"/>
        <w:ind w:left="155" w:right="0" w:hanging="170"/>
      </w:pPr>
      <w:proofErr w:type="spellStart"/>
      <w:r>
        <w:rPr>
          <w:sz w:val="16"/>
        </w:rPr>
        <w:t>Bro¨der</w:t>
      </w:r>
      <w:proofErr w:type="spellEnd"/>
      <w:r>
        <w:rPr>
          <w:sz w:val="16"/>
        </w:rPr>
        <w:t xml:space="preserve">, A. (2000). Assessing the empirical validity of the “take-the-best” heuristic as a model of human probabilistic inference. </w:t>
      </w:r>
      <w:r>
        <w:rPr>
          <w:i/>
          <w:sz w:val="16"/>
        </w:rPr>
        <w:t xml:space="preserve">Journal of Experimental Psychology: Learning, Memory, and Cognition, 26, </w:t>
      </w:r>
      <w:r>
        <w:rPr>
          <w:sz w:val="16"/>
        </w:rPr>
        <w:t>1332– 1346.</w:t>
      </w:r>
    </w:p>
    <w:p w:rsidR="00157A70" w:rsidRDefault="00316F15">
      <w:pPr>
        <w:spacing w:line="278" w:lineRule="auto"/>
        <w:ind w:left="155" w:right="0" w:hanging="170"/>
      </w:pPr>
      <w:proofErr w:type="spellStart"/>
      <w:r>
        <w:rPr>
          <w:sz w:val="16"/>
        </w:rPr>
        <w:t>Bro¨der</w:t>
      </w:r>
      <w:proofErr w:type="spellEnd"/>
      <w:r>
        <w:rPr>
          <w:sz w:val="16"/>
        </w:rPr>
        <w:t xml:space="preserve">, A. (2003). Decision making with the “adaptive tool box”: Influence of environmental structure, intelligence, and working memory load. </w:t>
      </w:r>
      <w:r>
        <w:rPr>
          <w:i/>
          <w:sz w:val="16"/>
        </w:rPr>
        <w:t xml:space="preserve">Journal of Experimental Psychology: Learning, Memory, and Cognition, 29, </w:t>
      </w:r>
      <w:r>
        <w:rPr>
          <w:sz w:val="16"/>
        </w:rPr>
        <w:t>611–625.</w:t>
      </w:r>
    </w:p>
    <w:p w:rsidR="00157A70" w:rsidRDefault="00316F15">
      <w:pPr>
        <w:spacing w:line="278" w:lineRule="auto"/>
        <w:ind w:left="155" w:right="0" w:hanging="170"/>
      </w:pPr>
      <w:r>
        <w:rPr>
          <w:sz w:val="16"/>
        </w:rPr>
        <w:t xml:space="preserve">Brown, J. I., </w:t>
      </w:r>
      <w:proofErr w:type="spellStart"/>
      <w:r>
        <w:rPr>
          <w:sz w:val="16"/>
        </w:rPr>
        <w:t>Fishco</w:t>
      </w:r>
      <w:proofErr w:type="spellEnd"/>
      <w:r>
        <w:rPr>
          <w:sz w:val="16"/>
        </w:rPr>
        <w:t xml:space="preserve">, V. V., &amp; Hanna, G. (1993). </w:t>
      </w:r>
      <w:r>
        <w:rPr>
          <w:i/>
          <w:sz w:val="16"/>
        </w:rPr>
        <w:t xml:space="preserve">Nelson-Denny Reading Test: Manual for scoring and interpretation. Forms G and H. </w:t>
      </w:r>
      <w:r>
        <w:rPr>
          <w:sz w:val="16"/>
        </w:rPr>
        <w:t>Chicago: Riverside Publishing Company.</w:t>
      </w:r>
    </w:p>
    <w:p w:rsidR="00157A70" w:rsidRDefault="00316F15">
      <w:pPr>
        <w:spacing w:line="278" w:lineRule="auto"/>
        <w:ind w:left="155" w:right="0" w:hanging="170"/>
      </w:pPr>
      <w:r>
        <w:rPr>
          <w:sz w:val="16"/>
        </w:rPr>
        <w:t xml:space="preserve">Cacioppo, J. T., &amp; Petty, R. E. (1982). The need for cognition. </w:t>
      </w:r>
      <w:r>
        <w:rPr>
          <w:i/>
          <w:sz w:val="16"/>
        </w:rPr>
        <w:t xml:space="preserve">Journal of Personality and Social Psychology, 42, </w:t>
      </w:r>
      <w:r>
        <w:rPr>
          <w:sz w:val="16"/>
        </w:rPr>
        <w:t>116–131.</w:t>
      </w:r>
    </w:p>
    <w:p w:rsidR="00157A70" w:rsidRDefault="00316F15">
      <w:pPr>
        <w:spacing w:after="3" w:line="266" w:lineRule="auto"/>
        <w:ind w:left="155" w:right="-14" w:hanging="170"/>
        <w:jc w:val="left"/>
      </w:pPr>
      <w:r>
        <w:rPr>
          <w:sz w:val="16"/>
        </w:rPr>
        <w:t xml:space="preserve">Carroll, J. B. (1993). </w:t>
      </w:r>
      <w:r>
        <w:rPr>
          <w:i/>
          <w:sz w:val="16"/>
        </w:rPr>
        <w:t xml:space="preserve">Human cognitive abilities: A survey of factor-analytic studies. </w:t>
      </w:r>
      <w:r>
        <w:rPr>
          <w:sz w:val="16"/>
        </w:rPr>
        <w:t>New York: Cambridge University Press.</w:t>
      </w:r>
    </w:p>
    <w:p w:rsidR="00157A70" w:rsidRDefault="00316F15">
      <w:pPr>
        <w:spacing w:after="3" w:line="282" w:lineRule="auto"/>
        <w:ind w:left="-15" w:right="-14" w:firstLine="0"/>
        <w:jc w:val="left"/>
      </w:pPr>
      <w:r>
        <w:rPr>
          <w:sz w:val="16"/>
        </w:rPr>
        <w:t xml:space="preserve">Cattell, R. B. (1963). The theory of fluid and crystallized intelligence: A critical experiment. </w:t>
      </w:r>
      <w:r>
        <w:rPr>
          <w:i/>
          <w:sz w:val="16"/>
        </w:rPr>
        <w:t xml:space="preserve">Journal of Educational Psychology, 37, </w:t>
      </w:r>
      <w:r>
        <w:rPr>
          <w:sz w:val="16"/>
        </w:rPr>
        <w:t xml:space="preserve">209–224. Cattell, R. B. (1987). </w:t>
      </w:r>
      <w:r>
        <w:rPr>
          <w:i/>
          <w:sz w:val="16"/>
        </w:rPr>
        <w:t xml:space="preserve">Intelligence: Its structure, growth, and action. </w:t>
      </w:r>
      <w:r>
        <w:rPr>
          <w:sz w:val="16"/>
        </w:rPr>
        <w:t>New York: North-Holland.</w:t>
      </w:r>
    </w:p>
    <w:p w:rsidR="00157A70" w:rsidRDefault="00316F15">
      <w:pPr>
        <w:spacing w:line="278" w:lineRule="auto"/>
        <w:ind w:left="155" w:right="0" w:hanging="170"/>
      </w:pPr>
      <w:proofErr w:type="spellStart"/>
      <w:r>
        <w:rPr>
          <w:sz w:val="16"/>
        </w:rPr>
        <w:t>Charland</w:t>
      </w:r>
      <w:proofErr w:type="spellEnd"/>
      <w:r>
        <w:rPr>
          <w:sz w:val="16"/>
        </w:rPr>
        <w:t xml:space="preserve">, W. (1997). </w:t>
      </w:r>
      <w:r>
        <w:rPr>
          <w:i/>
          <w:sz w:val="16"/>
        </w:rPr>
        <w:t>The complete idiot’s guide to changing careers</w:t>
      </w:r>
      <w:r>
        <w:rPr>
          <w:sz w:val="16"/>
        </w:rPr>
        <w:t>. Indianapolis, IN: Alpha Books.</w:t>
      </w:r>
    </w:p>
    <w:p w:rsidR="00157A70" w:rsidRDefault="00316F15">
      <w:pPr>
        <w:spacing w:line="278" w:lineRule="auto"/>
        <w:ind w:left="155" w:right="0" w:hanging="170"/>
      </w:pPr>
      <w:r>
        <w:rPr>
          <w:sz w:val="16"/>
        </w:rPr>
        <w:t xml:space="preserve">Crawford, J. D., &amp; Stankov, L. (1996). Age differences in the realism of confidence judgments: A calibration study using tests of fluid and crystallized intelligence. </w:t>
      </w:r>
      <w:r>
        <w:rPr>
          <w:i/>
          <w:sz w:val="16"/>
        </w:rPr>
        <w:t xml:space="preserve">Learning and Individual Differences, 8, </w:t>
      </w:r>
      <w:r>
        <w:rPr>
          <w:sz w:val="16"/>
        </w:rPr>
        <w:t>83– 103.</w:t>
      </w:r>
    </w:p>
    <w:p w:rsidR="00157A70" w:rsidRDefault="00316F15">
      <w:pPr>
        <w:spacing w:line="278" w:lineRule="auto"/>
        <w:ind w:left="155" w:right="0" w:hanging="170"/>
      </w:pPr>
      <w:r>
        <w:rPr>
          <w:sz w:val="16"/>
        </w:rPr>
        <w:t xml:space="preserve">Cronbach, L. J. (1951). Coefficient alpha and the internal structure of the tests. </w:t>
      </w:r>
      <w:proofErr w:type="spellStart"/>
      <w:r>
        <w:rPr>
          <w:i/>
          <w:sz w:val="16"/>
        </w:rPr>
        <w:t>Psychometrika</w:t>
      </w:r>
      <w:proofErr w:type="spellEnd"/>
      <w:r>
        <w:rPr>
          <w:i/>
          <w:sz w:val="16"/>
        </w:rPr>
        <w:t xml:space="preserve">, 16, </w:t>
      </w:r>
      <w:r>
        <w:rPr>
          <w:sz w:val="16"/>
        </w:rPr>
        <w:t>297–334.</w:t>
      </w:r>
    </w:p>
    <w:p w:rsidR="00157A70" w:rsidRDefault="00316F15">
      <w:pPr>
        <w:spacing w:line="278" w:lineRule="auto"/>
        <w:ind w:left="155" w:right="0" w:hanging="170"/>
      </w:pPr>
      <w:r>
        <w:rPr>
          <w:sz w:val="16"/>
        </w:rPr>
        <w:t xml:space="preserve">Cronbach, L. J., &amp; </w:t>
      </w:r>
      <w:proofErr w:type="spellStart"/>
      <w:r>
        <w:rPr>
          <w:sz w:val="16"/>
        </w:rPr>
        <w:t>Meehl</w:t>
      </w:r>
      <w:proofErr w:type="spellEnd"/>
      <w:r>
        <w:rPr>
          <w:sz w:val="16"/>
        </w:rPr>
        <w:t xml:space="preserve">, P. E. (1955). Construct validity in psychological tests. </w:t>
      </w:r>
      <w:r>
        <w:rPr>
          <w:i/>
          <w:sz w:val="16"/>
        </w:rPr>
        <w:t xml:space="preserve">Psychological Bulletin, 52, </w:t>
      </w:r>
      <w:r>
        <w:rPr>
          <w:sz w:val="16"/>
        </w:rPr>
        <w:t>281–302.</w:t>
      </w:r>
    </w:p>
    <w:p w:rsidR="00157A70" w:rsidRDefault="00316F15">
      <w:pPr>
        <w:spacing w:line="278" w:lineRule="auto"/>
        <w:ind w:left="155" w:right="0" w:hanging="170"/>
      </w:pPr>
      <w:r>
        <w:rPr>
          <w:sz w:val="16"/>
        </w:rPr>
        <w:t xml:space="preserve">Crossley, C. D., &amp; </w:t>
      </w:r>
      <w:proofErr w:type="spellStart"/>
      <w:r>
        <w:rPr>
          <w:sz w:val="16"/>
        </w:rPr>
        <w:t>Highhouse</w:t>
      </w:r>
      <w:proofErr w:type="spellEnd"/>
      <w:r>
        <w:rPr>
          <w:sz w:val="16"/>
        </w:rPr>
        <w:t xml:space="preserve">, S. (2005). Relation of job search and choice process with subsequent satisfaction. </w:t>
      </w:r>
      <w:r>
        <w:rPr>
          <w:i/>
          <w:sz w:val="16"/>
        </w:rPr>
        <w:t xml:space="preserve">Journal of Economic Psychology, 26, </w:t>
      </w:r>
      <w:r>
        <w:rPr>
          <w:sz w:val="16"/>
        </w:rPr>
        <w:t>255–268.</w:t>
      </w:r>
    </w:p>
    <w:p w:rsidR="00157A70" w:rsidRDefault="00316F15">
      <w:pPr>
        <w:spacing w:line="278" w:lineRule="auto"/>
        <w:ind w:left="155" w:right="0" w:hanging="170"/>
      </w:pPr>
      <w:r>
        <w:rPr>
          <w:sz w:val="16"/>
        </w:rPr>
        <w:t xml:space="preserve">Davidson, J. (1997). </w:t>
      </w:r>
      <w:r>
        <w:rPr>
          <w:i/>
          <w:sz w:val="16"/>
        </w:rPr>
        <w:t>The complete idiot’s guide to assertiveness</w:t>
      </w:r>
      <w:r>
        <w:rPr>
          <w:sz w:val="16"/>
        </w:rPr>
        <w:t>. Indianapolis, IN: Alpha Books.</w:t>
      </w:r>
    </w:p>
    <w:p w:rsidR="00157A70" w:rsidRDefault="00316F15">
      <w:pPr>
        <w:spacing w:after="3" w:line="266" w:lineRule="auto"/>
        <w:ind w:left="-15" w:right="-14" w:firstLine="0"/>
        <w:jc w:val="left"/>
      </w:pPr>
      <w:r>
        <w:rPr>
          <w:sz w:val="16"/>
        </w:rPr>
        <w:t xml:space="preserve">Dawes, R. M., &amp; Hastie, R. (2001). </w:t>
      </w:r>
      <w:r>
        <w:rPr>
          <w:i/>
          <w:sz w:val="16"/>
        </w:rPr>
        <w:t>Rational choice in an uncertain world:</w:t>
      </w:r>
    </w:p>
    <w:p w:rsidR="00157A70" w:rsidRDefault="00316F15">
      <w:pPr>
        <w:spacing w:after="3" w:line="266" w:lineRule="auto"/>
        <w:ind w:left="160" w:right="-14" w:firstLine="0"/>
        <w:jc w:val="left"/>
      </w:pPr>
      <w:r>
        <w:rPr>
          <w:i/>
          <w:sz w:val="16"/>
        </w:rPr>
        <w:t>The psychology of judgment and decision making</w:t>
      </w:r>
      <w:r>
        <w:rPr>
          <w:sz w:val="16"/>
        </w:rPr>
        <w:t>. Thousand Oaks, CA: Sage.</w:t>
      </w:r>
    </w:p>
    <w:p w:rsidR="00157A70" w:rsidRDefault="00316F15">
      <w:pPr>
        <w:spacing w:line="278" w:lineRule="auto"/>
        <w:ind w:left="155" w:right="0" w:hanging="170"/>
      </w:pPr>
      <w:r>
        <w:rPr>
          <w:sz w:val="16"/>
        </w:rPr>
        <w:t xml:space="preserve">Denney, N. (1989). Everyday problem solving: Methodological issues, research findings, and a model. In L. W. Poon, D. C. Rubin, &amp; B. A. Wilson (Eds.), </w:t>
      </w:r>
      <w:r>
        <w:rPr>
          <w:i/>
          <w:sz w:val="16"/>
        </w:rPr>
        <w:t xml:space="preserve">Everyday cognition in adulthood and late life </w:t>
      </w:r>
      <w:r>
        <w:rPr>
          <w:sz w:val="16"/>
        </w:rPr>
        <w:t>(pp. 330– 351). New York: Cambridge University Press.</w:t>
      </w:r>
    </w:p>
    <w:p w:rsidR="00157A70" w:rsidRDefault="00316F15">
      <w:pPr>
        <w:spacing w:line="278" w:lineRule="auto"/>
        <w:ind w:left="155" w:right="0" w:hanging="170"/>
      </w:pPr>
      <w:r>
        <w:rPr>
          <w:sz w:val="16"/>
        </w:rPr>
        <w:t xml:space="preserve">Downs, J. S., Murray, P. J., </w:t>
      </w:r>
      <w:proofErr w:type="spellStart"/>
      <w:r>
        <w:rPr>
          <w:sz w:val="16"/>
        </w:rPr>
        <w:t>Bruine</w:t>
      </w:r>
      <w:proofErr w:type="spellEnd"/>
      <w:r>
        <w:rPr>
          <w:sz w:val="16"/>
        </w:rPr>
        <w:t xml:space="preserve"> de Bruin, W., White, J. P., </w:t>
      </w:r>
      <w:proofErr w:type="spellStart"/>
      <w:r>
        <w:rPr>
          <w:sz w:val="16"/>
        </w:rPr>
        <w:t>Palmgren</w:t>
      </w:r>
      <w:proofErr w:type="spellEnd"/>
      <w:r>
        <w:rPr>
          <w:sz w:val="16"/>
        </w:rPr>
        <w:t xml:space="preserve">, C., &amp; </w:t>
      </w:r>
      <w:proofErr w:type="spellStart"/>
      <w:r>
        <w:rPr>
          <w:sz w:val="16"/>
        </w:rPr>
        <w:t>Fischhoff</w:t>
      </w:r>
      <w:proofErr w:type="spellEnd"/>
      <w:r>
        <w:rPr>
          <w:sz w:val="16"/>
        </w:rPr>
        <w:t xml:space="preserve">, B. (2004). An interactive video program to reduce adolescent females’ STD risk: A randomized controlled trial. </w:t>
      </w:r>
      <w:r>
        <w:rPr>
          <w:i/>
          <w:sz w:val="16"/>
        </w:rPr>
        <w:t xml:space="preserve">Social Science and Medicine, 59, </w:t>
      </w:r>
      <w:r>
        <w:rPr>
          <w:sz w:val="16"/>
        </w:rPr>
        <w:t>1561–1572.</w:t>
      </w:r>
    </w:p>
    <w:p w:rsidR="00157A70" w:rsidRDefault="00316F15">
      <w:pPr>
        <w:spacing w:line="278" w:lineRule="auto"/>
        <w:ind w:left="155" w:right="0" w:hanging="170"/>
      </w:pPr>
      <w:proofErr w:type="spellStart"/>
      <w:r>
        <w:rPr>
          <w:sz w:val="16"/>
        </w:rPr>
        <w:t>Dunegan</w:t>
      </w:r>
      <w:proofErr w:type="spellEnd"/>
      <w:r>
        <w:rPr>
          <w:sz w:val="16"/>
        </w:rPr>
        <w:t xml:space="preserve">, K. J. (1993). Framing, cognitive modes, and image theory: Toward an understanding of a glass half full. </w:t>
      </w:r>
      <w:r>
        <w:rPr>
          <w:i/>
          <w:sz w:val="16"/>
        </w:rPr>
        <w:t xml:space="preserve">Journal of Applied Psychology, 78, </w:t>
      </w:r>
      <w:r>
        <w:rPr>
          <w:sz w:val="16"/>
        </w:rPr>
        <w:t>491–503.</w:t>
      </w:r>
    </w:p>
    <w:p w:rsidR="00157A70" w:rsidRDefault="00316F15">
      <w:pPr>
        <w:spacing w:line="278" w:lineRule="auto"/>
        <w:ind w:left="155" w:right="0" w:hanging="170"/>
      </w:pPr>
      <w:proofErr w:type="spellStart"/>
      <w:r>
        <w:rPr>
          <w:sz w:val="16"/>
        </w:rPr>
        <w:t>Dunegan</w:t>
      </w:r>
      <w:proofErr w:type="spellEnd"/>
      <w:r>
        <w:rPr>
          <w:sz w:val="16"/>
        </w:rPr>
        <w:t xml:space="preserve">, K. J. (1996). Fines, frames, and images: Examining formulation effects in punishment decisions. </w:t>
      </w:r>
      <w:r>
        <w:rPr>
          <w:i/>
          <w:sz w:val="16"/>
        </w:rPr>
        <w:t xml:space="preserve">Organizational Behavior and Human Decision Processes, 68, </w:t>
      </w:r>
      <w:r>
        <w:rPr>
          <w:sz w:val="16"/>
        </w:rPr>
        <w:t>58–67.</w:t>
      </w:r>
    </w:p>
    <w:p w:rsidR="00157A70" w:rsidRDefault="00316F15">
      <w:pPr>
        <w:spacing w:line="278" w:lineRule="auto"/>
        <w:ind w:left="155" w:right="0" w:hanging="170"/>
      </w:pPr>
      <w:r>
        <w:rPr>
          <w:sz w:val="16"/>
        </w:rPr>
        <w:t xml:space="preserve">Edwards, J. R., &amp; </w:t>
      </w:r>
      <w:proofErr w:type="spellStart"/>
      <w:r>
        <w:rPr>
          <w:sz w:val="16"/>
        </w:rPr>
        <w:t>Bagozzi</w:t>
      </w:r>
      <w:proofErr w:type="spellEnd"/>
      <w:r>
        <w:rPr>
          <w:sz w:val="16"/>
        </w:rPr>
        <w:t xml:space="preserve">, R. P. (2000). On the nature and direction of relationships between constructs and measures. </w:t>
      </w:r>
      <w:r>
        <w:rPr>
          <w:i/>
          <w:sz w:val="16"/>
        </w:rPr>
        <w:t xml:space="preserve">Psychological Methods, 5, </w:t>
      </w:r>
      <w:r>
        <w:rPr>
          <w:sz w:val="16"/>
        </w:rPr>
        <w:t>155–174.</w:t>
      </w:r>
    </w:p>
    <w:p w:rsidR="00157A70" w:rsidRDefault="00316F15">
      <w:pPr>
        <w:spacing w:line="278" w:lineRule="auto"/>
        <w:ind w:left="155" w:right="0" w:hanging="170"/>
      </w:pPr>
      <w:r>
        <w:rPr>
          <w:sz w:val="16"/>
        </w:rPr>
        <w:t xml:space="preserve">Edwards, W. (1954). The theory of decision making. </w:t>
      </w:r>
      <w:r>
        <w:rPr>
          <w:i/>
          <w:sz w:val="16"/>
        </w:rPr>
        <w:t xml:space="preserve">Psychological Bulletin, 51, </w:t>
      </w:r>
      <w:r>
        <w:rPr>
          <w:sz w:val="16"/>
        </w:rPr>
        <w:t>380–417.</w:t>
      </w:r>
    </w:p>
    <w:p w:rsidR="00157A70" w:rsidRDefault="00316F15">
      <w:pPr>
        <w:spacing w:line="278" w:lineRule="auto"/>
        <w:ind w:left="155" w:right="0" w:hanging="170"/>
      </w:pPr>
      <w:r>
        <w:rPr>
          <w:sz w:val="16"/>
        </w:rPr>
        <w:t xml:space="preserve">Edwards, W. (1984). What constitutes “a good decision”? </w:t>
      </w:r>
      <w:r>
        <w:rPr>
          <w:i/>
          <w:sz w:val="16"/>
        </w:rPr>
        <w:t xml:space="preserve">Acta </w:t>
      </w:r>
      <w:proofErr w:type="spellStart"/>
      <w:r>
        <w:rPr>
          <w:i/>
          <w:sz w:val="16"/>
        </w:rPr>
        <w:t>Psychologica</w:t>
      </w:r>
      <w:proofErr w:type="spellEnd"/>
      <w:r>
        <w:rPr>
          <w:i/>
          <w:sz w:val="16"/>
        </w:rPr>
        <w:t xml:space="preserve">, 56, </w:t>
      </w:r>
      <w:r>
        <w:rPr>
          <w:sz w:val="16"/>
        </w:rPr>
        <w:t>5–27.</w:t>
      </w:r>
    </w:p>
    <w:p w:rsidR="00157A70" w:rsidRDefault="00316F15">
      <w:pPr>
        <w:spacing w:line="278" w:lineRule="auto"/>
        <w:ind w:left="155" w:right="0" w:hanging="170"/>
      </w:pPr>
      <w:proofErr w:type="spellStart"/>
      <w:r>
        <w:rPr>
          <w:sz w:val="16"/>
        </w:rPr>
        <w:t>Ensminger</w:t>
      </w:r>
      <w:proofErr w:type="spellEnd"/>
      <w:r>
        <w:rPr>
          <w:sz w:val="16"/>
        </w:rPr>
        <w:t xml:space="preserve">, M. E., &amp; Fothergill, K. E. (2003). A decade of measuring SES: What it tells us and where to go from here. In M. H. Bornstein &amp; R. H. </w:t>
      </w:r>
      <w:r>
        <w:rPr>
          <w:sz w:val="16"/>
        </w:rPr>
        <w:lastRenderedPageBreak/>
        <w:t xml:space="preserve">Bradley (Eds.), </w:t>
      </w:r>
      <w:r>
        <w:rPr>
          <w:i/>
          <w:sz w:val="16"/>
        </w:rPr>
        <w:t xml:space="preserve">Socioeconomic status, parenting, and child development </w:t>
      </w:r>
      <w:r>
        <w:rPr>
          <w:sz w:val="16"/>
        </w:rPr>
        <w:t>(pp. 13–27). Mahwah, NJ: Erlbaum.</w:t>
      </w:r>
    </w:p>
    <w:p w:rsidR="00157A70" w:rsidRDefault="00316F15">
      <w:pPr>
        <w:spacing w:line="278" w:lineRule="auto"/>
        <w:ind w:left="155" w:right="0" w:hanging="170"/>
      </w:pPr>
      <w:r>
        <w:rPr>
          <w:sz w:val="16"/>
        </w:rPr>
        <w:t xml:space="preserve">Epstein, S., &amp; Meier, P. (1989). Constructive thinking: A broad coping variable with specific components. </w:t>
      </w:r>
      <w:r>
        <w:rPr>
          <w:i/>
          <w:sz w:val="16"/>
        </w:rPr>
        <w:t xml:space="preserve">Journal of Personality and Social Psychology, 57, </w:t>
      </w:r>
      <w:r>
        <w:rPr>
          <w:sz w:val="16"/>
        </w:rPr>
        <w:t>332–350.</w:t>
      </w:r>
    </w:p>
    <w:p w:rsidR="00157A70" w:rsidRDefault="00316F15">
      <w:pPr>
        <w:spacing w:line="278" w:lineRule="auto"/>
        <w:ind w:left="155" w:right="0" w:hanging="170"/>
      </w:pPr>
      <w:proofErr w:type="spellStart"/>
      <w:r>
        <w:rPr>
          <w:sz w:val="16"/>
        </w:rPr>
        <w:t>Fagley</w:t>
      </w:r>
      <w:proofErr w:type="spellEnd"/>
      <w:r>
        <w:rPr>
          <w:sz w:val="16"/>
        </w:rPr>
        <w:t xml:space="preserve">, N. S., &amp; Miller, P. M. (1990). The effect of framing on choice: Interactions with risk-taking, propensity, cognitive style, and sex. </w:t>
      </w:r>
      <w:r>
        <w:rPr>
          <w:i/>
          <w:sz w:val="16"/>
        </w:rPr>
        <w:t xml:space="preserve">Personality and Social Psychology Bulletin, 16, </w:t>
      </w:r>
      <w:r>
        <w:rPr>
          <w:sz w:val="16"/>
        </w:rPr>
        <w:t>496–510.</w:t>
      </w:r>
    </w:p>
    <w:p w:rsidR="00157A70" w:rsidRDefault="00316F15">
      <w:pPr>
        <w:spacing w:line="278" w:lineRule="auto"/>
        <w:ind w:left="155" w:right="0" w:hanging="170"/>
      </w:pPr>
      <w:r>
        <w:rPr>
          <w:sz w:val="16"/>
        </w:rPr>
        <w:t xml:space="preserve">Finucane, M. L., &amp; Lees, N. B. (2005, November 29). </w:t>
      </w:r>
      <w:r>
        <w:rPr>
          <w:i/>
          <w:sz w:val="16"/>
        </w:rPr>
        <w:t xml:space="preserve">Decision-making competence of older adults: Models and methods. </w:t>
      </w:r>
      <w:r>
        <w:rPr>
          <w:sz w:val="16"/>
        </w:rPr>
        <w:t>Paper presented at the National Research Council Workshop on Decision Making by Older Adults, Washington, DC.</w:t>
      </w:r>
    </w:p>
    <w:p w:rsidR="00157A70" w:rsidRDefault="00316F15">
      <w:pPr>
        <w:spacing w:after="3" w:line="282" w:lineRule="auto"/>
        <w:ind w:left="155" w:right="-14" w:hanging="170"/>
        <w:jc w:val="left"/>
      </w:pPr>
      <w:r>
        <w:rPr>
          <w:sz w:val="16"/>
        </w:rPr>
        <w:t xml:space="preserve">Finucane, M. L., Mertz, C. K., </w:t>
      </w:r>
      <w:proofErr w:type="spellStart"/>
      <w:r>
        <w:rPr>
          <w:sz w:val="16"/>
        </w:rPr>
        <w:t>Slovic</w:t>
      </w:r>
      <w:proofErr w:type="spellEnd"/>
      <w:r>
        <w:rPr>
          <w:sz w:val="16"/>
        </w:rPr>
        <w:t xml:space="preserve">, P., &amp; Schmidt, E. S. (2005). Task complexity and older adults’ decision-making competence. </w:t>
      </w:r>
      <w:r>
        <w:rPr>
          <w:i/>
          <w:sz w:val="16"/>
        </w:rPr>
        <w:t xml:space="preserve">Psychology and Aging, 20, </w:t>
      </w:r>
      <w:r>
        <w:rPr>
          <w:sz w:val="16"/>
        </w:rPr>
        <w:t>71–84.</w:t>
      </w:r>
    </w:p>
    <w:p w:rsidR="00157A70" w:rsidRDefault="00316F15">
      <w:pPr>
        <w:spacing w:line="278" w:lineRule="auto"/>
        <w:ind w:left="155" w:right="0" w:hanging="170"/>
      </w:pPr>
      <w:r>
        <w:rPr>
          <w:sz w:val="16"/>
        </w:rPr>
        <w:t xml:space="preserve">Finucane, M. L., </w:t>
      </w:r>
      <w:proofErr w:type="spellStart"/>
      <w:r>
        <w:rPr>
          <w:sz w:val="16"/>
        </w:rPr>
        <w:t>Slovic</w:t>
      </w:r>
      <w:proofErr w:type="spellEnd"/>
      <w:r>
        <w:rPr>
          <w:sz w:val="16"/>
        </w:rPr>
        <w:t xml:space="preserve">, P., Hibbard, J. H., Peters, E., Mertz, C. K., &amp; MacGregor, D. G. (2002). Aging and decision-making competence: An analysis of comprehension and consistency skills in older versus younger adults. </w:t>
      </w:r>
      <w:r>
        <w:rPr>
          <w:i/>
          <w:sz w:val="16"/>
        </w:rPr>
        <w:t xml:space="preserve">Journal of Behavioral Decision Making, 15, </w:t>
      </w:r>
      <w:r>
        <w:rPr>
          <w:sz w:val="16"/>
        </w:rPr>
        <w:t>141–164.</w:t>
      </w:r>
    </w:p>
    <w:p w:rsidR="00157A70" w:rsidRDefault="00316F15">
      <w:pPr>
        <w:spacing w:line="278" w:lineRule="auto"/>
        <w:ind w:left="155" w:right="0" w:hanging="170"/>
      </w:pPr>
      <w:proofErr w:type="spellStart"/>
      <w:r>
        <w:rPr>
          <w:sz w:val="16"/>
        </w:rPr>
        <w:t>Fischhoff</w:t>
      </w:r>
      <w:proofErr w:type="spellEnd"/>
      <w:r>
        <w:rPr>
          <w:sz w:val="16"/>
        </w:rPr>
        <w:t xml:space="preserve">, B. (1975). </w:t>
      </w:r>
      <w:proofErr w:type="gramStart"/>
      <w:r>
        <w:rPr>
          <w:sz w:val="16"/>
        </w:rPr>
        <w:t xml:space="preserve">Hindsight </w:t>
      </w:r>
      <w:r>
        <w:rPr>
          <w:rFonts w:ascii="Calibri" w:eastAsia="Calibri" w:hAnsi="Calibri" w:cs="Calibri"/>
          <w:sz w:val="16"/>
        </w:rPr>
        <w:t xml:space="preserve"> </w:t>
      </w:r>
      <w:r>
        <w:rPr>
          <w:sz w:val="16"/>
        </w:rPr>
        <w:t>foresight</w:t>
      </w:r>
      <w:proofErr w:type="gramEnd"/>
      <w:r>
        <w:rPr>
          <w:sz w:val="16"/>
        </w:rPr>
        <w:t xml:space="preserve">: The effect of outcome knowledge on judgment under uncertainty. </w:t>
      </w:r>
      <w:r>
        <w:rPr>
          <w:i/>
          <w:sz w:val="16"/>
        </w:rPr>
        <w:t xml:space="preserve">Journal of Experimental Psychology: Human Perception and Performance, 1, </w:t>
      </w:r>
      <w:r>
        <w:rPr>
          <w:sz w:val="16"/>
        </w:rPr>
        <w:t>288–299.</w:t>
      </w:r>
    </w:p>
    <w:p w:rsidR="00157A70" w:rsidRDefault="00316F15">
      <w:pPr>
        <w:spacing w:after="3" w:line="266" w:lineRule="auto"/>
        <w:ind w:left="155" w:right="-14" w:hanging="170"/>
        <w:jc w:val="left"/>
      </w:pPr>
      <w:proofErr w:type="spellStart"/>
      <w:r>
        <w:rPr>
          <w:sz w:val="16"/>
        </w:rPr>
        <w:t>Fischhoff</w:t>
      </w:r>
      <w:proofErr w:type="spellEnd"/>
      <w:r>
        <w:rPr>
          <w:sz w:val="16"/>
        </w:rPr>
        <w:t xml:space="preserve">, B. (1983). Predicting frames. </w:t>
      </w:r>
      <w:r>
        <w:rPr>
          <w:i/>
          <w:sz w:val="16"/>
        </w:rPr>
        <w:t xml:space="preserve">Journal of Experimental Psychology: Learning, Memory, and Cognition, 9, </w:t>
      </w:r>
      <w:r>
        <w:rPr>
          <w:sz w:val="16"/>
        </w:rPr>
        <w:t>113–116.</w:t>
      </w:r>
    </w:p>
    <w:p w:rsidR="00157A70" w:rsidRDefault="00316F15">
      <w:pPr>
        <w:spacing w:line="278" w:lineRule="auto"/>
        <w:ind w:left="155" w:right="0" w:hanging="170"/>
      </w:pPr>
      <w:proofErr w:type="spellStart"/>
      <w:r>
        <w:rPr>
          <w:sz w:val="16"/>
        </w:rPr>
        <w:t>Fischhoff</w:t>
      </w:r>
      <w:proofErr w:type="spellEnd"/>
      <w:r>
        <w:rPr>
          <w:sz w:val="16"/>
        </w:rPr>
        <w:t xml:space="preserve">, B. (1993). Transaction analysis: A framework and an application to insurance decisions. </w:t>
      </w:r>
      <w:r>
        <w:rPr>
          <w:i/>
          <w:sz w:val="16"/>
        </w:rPr>
        <w:t xml:space="preserve">Journal of Risk and Uncertainty, 7, </w:t>
      </w:r>
      <w:r>
        <w:rPr>
          <w:sz w:val="16"/>
        </w:rPr>
        <w:t>53–69.</w:t>
      </w:r>
    </w:p>
    <w:p w:rsidR="00157A70" w:rsidRDefault="00316F15">
      <w:pPr>
        <w:spacing w:line="278" w:lineRule="auto"/>
        <w:ind w:left="155" w:right="0" w:hanging="170"/>
      </w:pPr>
      <w:proofErr w:type="spellStart"/>
      <w:r>
        <w:rPr>
          <w:sz w:val="16"/>
        </w:rPr>
        <w:t>Fischhoff</w:t>
      </w:r>
      <w:proofErr w:type="spellEnd"/>
      <w:r>
        <w:rPr>
          <w:sz w:val="16"/>
        </w:rPr>
        <w:t xml:space="preserve">, B., </w:t>
      </w:r>
      <w:proofErr w:type="spellStart"/>
      <w:r>
        <w:rPr>
          <w:sz w:val="16"/>
        </w:rPr>
        <w:t>Slovic</w:t>
      </w:r>
      <w:proofErr w:type="spellEnd"/>
      <w:r>
        <w:rPr>
          <w:sz w:val="16"/>
        </w:rPr>
        <w:t xml:space="preserve">, P., &amp; Lichtenstein, S. (1980). Knowing what you want: Measuring labile values. In T. </w:t>
      </w:r>
      <w:proofErr w:type="spellStart"/>
      <w:r>
        <w:rPr>
          <w:sz w:val="16"/>
        </w:rPr>
        <w:t>Wallsten</w:t>
      </w:r>
      <w:proofErr w:type="spellEnd"/>
      <w:r>
        <w:rPr>
          <w:sz w:val="16"/>
        </w:rPr>
        <w:t xml:space="preserve"> (Ed.), </w:t>
      </w:r>
      <w:r>
        <w:rPr>
          <w:i/>
          <w:sz w:val="16"/>
        </w:rPr>
        <w:t xml:space="preserve">Cognitive processes in choice and decision behavior </w:t>
      </w:r>
      <w:r>
        <w:rPr>
          <w:sz w:val="16"/>
        </w:rPr>
        <w:t>(pp. 117–141). Hillsdale, NJ: Erlbaum.</w:t>
      </w:r>
    </w:p>
    <w:p w:rsidR="00157A70" w:rsidRDefault="00316F15">
      <w:pPr>
        <w:spacing w:line="278" w:lineRule="auto"/>
        <w:ind w:left="155" w:right="0" w:hanging="170"/>
      </w:pPr>
      <w:r>
        <w:rPr>
          <w:sz w:val="16"/>
        </w:rPr>
        <w:t xml:space="preserve">Fisher, S. Y., &amp; Shelley, S. (2002). </w:t>
      </w:r>
      <w:r>
        <w:rPr>
          <w:i/>
          <w:sz w:val="16"/>
        </w:rPr>
        <w:t xml:space="preserve">The complete idiot’s guide to personal finance in your 20s and 30s </w:t>
      </w:r>
      <w:r>
        <w:rPr>
          <w:sz w:val="16"/>
        </w:rPr>
        <w:t>(2nd ed.). Indianapolis, IN: Alpha Books.</w:t>
      </w:r>
    </w:p>
    <w:p w:rsidR="00157A70" w:rsidRDefault="00316F15">
      <w:pPr>
        <w:spacing w:after="3" w:line="266" w:lineRule="auto"/>
        <w:ind w:left="155" w:right="-14" w:hanging="170"/>
        <w:jc w:val="left"/>
      </w:pPr>
      <w:r>
        <w:rPr>
          <w:sz w:val="16"/>
        </w:rPr>
        <w:t xml:space="preserve">Frisch, D. (1993). Reasons for framing effects. </w:t>
      </w:r>
      <w:r>
        <w:rPr>
          <w:i/>
          <w:sz w:val="16"/>
        </w:rPr>
        <w:t xml:space="preserve">Organizational Behavior and Human Decision Processes, 54, </w:t>
      </w:r>
      <w:r>
        <w:rPr>
          <w:sz w:val="16"/>
        </w:rPr>
        <w:t>399–429.</w:t>
      </w:r>
    </w:p>
    <w:p w:rsidR="00157A70" w:rsidRDefault="00316F15">
      <w:pPr>
        <w:spacing w:line="278" w:lineRule="auto"/>
        <w:ind w:left="155" w:right="0" w:hanging="170"/>
      </w:pPr>
      <w:proofErr w:type="spellStart"/>
      <w:r>
        <w:rPr>
          <w:sz w:val="16"/>
        </w:rPr>
        <w:t>Gigerenzer</w:t>
      </w:r>
      <w:proofErr w:type="spellEnd"/>
      <w:r>
        <w:rPr>
          <w:sz w:val="16"/>
        </w:rPr>
        <w:t xml:space="preserve">, G., Todd, P. M., &amp; the ABC Group (2000). </w:t>
      </w:r>
      <w:r>
        <w:rPr>
          <w:i/>
          <w:sz w:val="16"/>
        </w:rPr>
        <w:t>Simple heuristics that make us smart</w:t>
      </w:r>
      <w:r>
        <w:rPr>
          <w:sz w:val="16"/>
        </w:rPr>
        <w:t>. Cary, NC: Oxford University Press.</w:t>
      </w:r>
    </w:p>
    <w:p w:rsidR="00157A70" w:rsidRDefault="00316F15">
      <w:pPr>
        <w:spacing w:line="278" w:lineRule="auto"/>
        <w:ind w:left="155" w:right="0" w:hanging="170"/>
      </w:pPr>
      <w:proofErr w:type="spellStart"/>
      <w:r>
        <w:rPr>
          <w:sz w:val="16"/>
        </w:rPr>
        <w:t>Highhouse</w:t>
      </w:r>
      <w:proofErr w:type="spellEnd"/>
      <w:r>
        <w:rPr>
          <w:sz w:val="16"/>
        </w:rPr>
        <w:t xml:space="preserve">, S., &amp; </w:t>
      </w:r>
      <w:proofErr w:type="spellStart"/>
      <w:r>
        <w:rPr>
          <w:sz w:val="16"/>
        </w:rPr>
        <w:t>Paese</w:t>
      </w:r>
      <w:proofErr w:type="spellEnd"/>
      <w:r>
        <w:rPr>
          <w:sz w:val="16"/>
        </w:rPr>
        <w:t xml:space="preserve">, P. W. (1996). Problem domain and prospect frame: Choice under opportunity versus threat. </w:t>
      </w:r>
      <w:r>
        <w:rPr>
          <w:i/>
          <w:sz w:val="16"/>
        </w:rPr>
        <w:t xml:space="preserve">Personality and Social Psychology Bulletin, 22, </w:t>
      </w:r>
      <w:r>
        <w:rPr>
          <w:sz w:val="16"/>
        </w:rPr>
        <w:t>124–132.</w:t>
      </w:r>
    </w:p>
    <w:p w:rsidR="00157A70" w:rsidRDefault="00316F15">
      <w:pPr>
        <w:spacing w:line="278" w:lineRule="auto"/>
        <w:ind w:left="-15" w:right="0" w:firstLine="0"/>
      </w:pPr>
      <w:r>
        <w:rPr>
          <w:sz w:val="16"/>
        </w:rPr>
        <w:t xml:space="preserve">Horn, J. (1985). Remodeling old models of intelligence. In B. B. Wolman (Ed.), </w:t>
      </w:r>
      <w:r>
        <w:rPr>
          <w:i/>
          <w:sz w:val="16"/>
        </w:rPr>
        <w:t xml:space="preserve">Handbook of intelligence: Theories, measurements and applications </w:t>
      </w:r>
      <w:r>
        <w:rPr>
          <w:sz w:val="16"/>
        </w:rPr>
        <w:t>(pp. 267–300). New York: Wiley.</w:t>
      </w:r>
    </w:p>
    <w:p w:rsidR="00157A70" w:rsidRDefault="00316F15">
      <w:pPr>
        <w:spacing w:line="278" w:lineRule="auto"/>
        <w:ind w:left="155" w:right="0" w:hanging="170"/>
      </w:pPr>
      <w:r>
        <w:rPr>
          <w:sz w:val="16"/>
        </w:rPr>
        <w:t xml:space="preserve">Ireland, S. (2002). </w:t>
      </w:r>
      <w:r>
        <w:rPr>
          <w:i/>
          <w:sz w:val="16"/>
        </w:rPr>
        <w:t xml:space="preserve">The complete idiot’s guide to the perfect resume </w:t>
      </w:r>
      <w:r>
        <w:rPr>
          <w:sz w:val="16"/>
        </w:rPr>
        <w:t>(2nd ed.). Indianapolis, IN: Alpha Books.</w:t>
      </w:r>
    </w:p>
    <w:p w:rsidR="00157A70" w:rsidRDefault="00316F15">
      <w:pPr>
        <w:spacing w:line="278" w:lineRule="auto"/>
        <w:ind w:left="155" w:right="0" w:hanging="170"/>
      </w:pPr>
      <w:r>
        <w:rPr>
          <w:sz w:val="16"/>
        </w:rPr>
        <w:t xml:space="preserve">Jacobs, J. E., Greenwald, J. P., &amp; Osgood, D. W. (1995). Developmental differences in </w:t>
      </w:r>
      <w:proofErr w:type="spellStart"/>
      <w:r>
        <w:rPr>
          <w:sz w:val="16"/>
        </w:rPr>
        <w:t>baserate</w:t>
      </w:r>
      <w:proofErr w:type="spellEnd"/>
      <w:r>
        <w:rPr>
          <w:sz w:val="16"/>
        </w:rPr>
        <w:t xml:space="preserve"> estimates of social behaviors and attitudes. </w:t>
      </w:r>
      <w:r>
        <w:rPr>
          <w:i/>
          <w:sz w:val="16"/>
        </w:rPr>
        <w:t xml:space="preserve">Social Development, 4, </w:t>
      </w:r>
      <w:r>
        <w:rPr>
          <w:sz w:val="16"/>
        </w:rPr>
        <w:t>165–181.</w:t>
      </w:r>
    </w:p>
    <w:p w:rsidR="00157A70" w:rsidRDefault="00316F15">
      <w:pPr>
        <w:spacing w:line="278" w:lineRule="auto"/>
        <w:ind w:left="155" w:right="0" w:hanging="170"/>
      </w:pPr>
      <w:r>
        <w:rPr>
          <w:sz w:val="16"/>
        </w:rPr>
        <w:t xml:space="preserve">Jepson, C., Krantz, D. H., &amp; Nisbett, R. E. (1983). Inductive reasoning: Competence or skill? </w:t>
      </w:r>
      <w:r>
        <w:rPr>
          <w:i/>
          <w:sz w:val="16"/>
        </w:rPr>
        <w:t xml:space="preserve">Behavioral and Brain Sciences, 6, </w:t>
      </w:r>
      <w:r>
        <w:rPr>
          <w:sz w:val="16"/>
        </w:rPr>
        <w:t>494–501.</w:t>
      </w:r>
    </w:p>
    <w:p w:rsidR="00157A70" w:rsidRDefault="00316F15">
      <w:pPr>
        <w:spacing w:line="278" w:lineRule="auto"/>
        <w:ind w:left="155" w:right="0" w:hanging="170"/>
      </w:pPr>
      <w:r>
        <w:rPr>
          <w:sz w:val="16"/>
        </w:rPr>
        <w:t xml:space="preserve">Job, R. F. S. (1990). The application of learning theory to driving confidence: The effect of age and the impact of random breath testing. </w:t>
      </w:r>
      <w:r>
        <w:rPr>
          <w:i/>
          <w:sz w:val="16"/>
        </w:rPr>
        <w:t xml:space="preserve">Accident Analysis &amp; Prevention, 22, </w:t>
      </w:r>
      <w:r>
        <w:rPr>
          <w:sz w:val="16"/>
        </w:rPr>
        <w:t>97–107.</w:t>
      </w:r>
    </w:p>
    <w:p w:rsidR="00157A70" w:rsidRDefault="00316F15">
      <w:pPr>
        <w:spacing w:line="278" w:lineRule="auto"/>
        <w:ind w:left="155" w:right="0" w:hanging="170"/>
      </w:pPr>
      <w:r>
        <w:rPr>
          <w:sz w:val="16"/>
        </w:rPr>
        <w:t xml:space="preserve">Johnson, M. M. (1990). Age differences in decision making: A process methodology for examining strategic information processing. </w:t>
      </w:r>
      <w:r>
        <w:rPr>
          <w:i/>
          <w:sz w:val="16"/>
        </w:rPr>
        <w:t xml:space="preserve">Journal of Gerontology, 45, </w:t>
      </w:r>
      <w:r>
        <w:rPr>
          <w:sz w:val="16"/>
        </w:rPr>
        <w:t>75–78.</w:t>
      </w:r>
    </w:p>
    <w:p w:rsidR="00157A70" w:rsidRDefault="00316F15">
      <w:pPr>
        <w:spacing w:line="278" w:lineRule="auto"/>
        <w:ind w:left="155" w:right="0" w:hanging="170"/>
      </w:pPr>
      <w:r>
        <w:rPr>
          <w:sz w:val="16"/>
        </w:rPr>
        <w:t xml:space="preserve">Jonsson, A. C., &amp; Allwood, C. M. (2003). Stability and variability in realism of confidence judgments over time, content domain, and gender. </w:t>
      </w:r>
      <w:r>
        <w:rPr>
          <w:i/>
          <w:sz w:val="16"/>
        </w:rPr>
        <w:t xml:space="preserve">Personality and Individual Differences, 34, </w:t>
      </w:r>
      <w:r>
        <w:rPr>
          <w:sz w:val="16"/>
        </w:rPr>
        <w:t>559–574.</w:t>
      </w:r>
    </w:p>
    <w:p w:rsidR="00157A70" w:rsidRDefault="00316F15">
      <w:pPr>
        <w:spacing w:line="278" w:lineRule="auto"/>
        <w:ind w:left="155" w:right="0" w:hanging="170"/>
      </w:pPr>
      <w:r>
        <w:rPr>
          <w:sz w:val="16"/>
        </w:rPr>
        <w:t xml:space="preserve">Kahneman, D., </w:t>
      </w:r>
      <w:proofErr w:type="spellStart"/>
      <w:r>
        <w:rPr>
          <w:sz w:val="16"/>
        </w:rPr>
        <w:t>Slovic</w:t>
      </w:r>
      <w:proofErr w:type="spellEnd"/>
      <w:r>
        <w:rPr>
          <w:sz w:val="16"/>
        </w:rPr>
        <w:t xml:space="preserve">, P., &amp; Tversky, A. (1982). </w:t>
      </w:r>
      <w:r>
        <w:rPr>
          <w:i/>
          <w:sz w:val="16"/>
        </w:rPr>
        <w:t>Judgment under uncertainty: Heuristics and biases</w:t>
      </w:r>
      <w:r>
        <w:rPr>
          <w:sz w:val="16"/>
        </w:rPr>
        <w:t>. New York: Cambridge University Press.</w:t>
      </w:r>
    </w:p>
    <w:p w:rsidR="00157A70" w:rsidRDefault="00316F15">
      <w:pPr>
        <w:spacing w:line="278" w:lineRule="auto"/>
        <w:ind w:left="155" w:right="0" w:hanging="170"/>
      </w:pPr>
      <w:r>
        <w:rPr>
          <w:sz w:val="16"/>
        </w:rPr>
        <w:t xml:space="preserve">Katz, L., &amp; Epstein, S. (1991). Constructive thinking and coping with laboratory-induced stress. </w:t>
      </w:r>
      <w:r>
        <w:rPr>
          <w:i/>
          <w:sz w:val="16"/>
        </w:rPr>
        <w:t xml:space="preserve">Journal of Personality and Social Psychology, 61, </w:t>
      </w:r>
      <w:r>
        <w:rPr>
          <w:sz w:val="16"/>
        </w:rPr>
        <w:t>789–800.</w:t>
      </w:r>
    </w:p>
    <w:p w:rsidR="00157A70" w:rsidRDefault="00316F15">
      <w:pPr>
        <w:spacing w:line="278" w:lineRule="auto"/>
        <w:ind w:left="155" w:right="0" w:hanging="170"/>
      </w:pPr>
      <w:r>
        <w:rPr>
          <w:sz w:val="16"/>
        </w:rPr>
        <w:t xml:space="preserve">Keren, G., &amp; </w:t>
      </w:r>
      <w:proofErr w:type="spellStart"/>
      <w:r>
        <w:rPr>
          <w:sz w:val="16"/>
        </w:rPr>
        <w:t>Bruine</w:t>
      </w:r>
      <w:proofErr w:type="spellEnd"/>
      <w:r>
        <w:rPr>
          <w:sz w:val="16"/>
        </w:rPr>
        <w:t xml:space="preserve"> de Bruin, W. (2003). On the assessment of decision quality: Considerations regarding utility, conflict, and accountability. In D. </w:t>
      </w:r>
      <w:proofErr w:type="spellStart"/>
      <w:r>
        <w:rPr>
          <w:sz w:val="16"/>
        </w:rPr>
        <w:t>Hardma</w:t>
      </w:r>
      <w:proofErr w:type="spellEnd"/>
      <w:r>
        <w:rPr>
          <w:sz w:val="16"/>
        </w:rPr>
        <w:t xml:space="preserve"> &amp; L. </w:t>
      </w:r>
      <w:proofErr w:type="spellStart"/>
      <w:r>
        <w:rPr>
          <w:sz w:val="16"/>
        </w:rPr>
        <w:t>Macchi</w:t>
      </w:r>
      <w:proofErr w:type="spellEnd"/>
      <w:r>
        <w:rPr>
          <w:sz w:val="16"/>
        </w:rPr>
        <w:t xml:space="preserve"> (Eds.), </w:t>
      </w:r>
      <w:r>
        <w:rPr>
          <w:i/>
          <w:sz w:val="16"/>
        </w:rPr>
        <w:t xml:space="preserve">Thinking: Psychological perspectives on reasoning, judgment and decision making </w:t>
      </w:r>
      <w:r>
        <w:rPr>
          <w:sz w:val="16"/>
        </w:rPr>
        <w:t>(pp. 347–363). New York: Wiley.</w:t>
      </w:r>
    </w:p>
    <w:p w:rsidR="00157A70" w:rsidRDefault="00316F15">
      <w:pPr>
        <w:spacing w:line="278" w:lineRule="auto"/>
        <w:ind w:left="155" w:right="0" w:hanging="170"/>
      </w:pPr>
      <w:proofErr w:type="spellStart"/>
      <w:r>
        <w:rPr>
          <w:sz w:val="16"/>
        </w:rPr>
        <w:t>Klayman</w:t>
      </w:r>
      <w:proofErr w:type="spellEnd"/>
      <w:r>
        <w:rPr>
          <w:sz w:val="16"/>
        </w:rPr>
        <w:t xml:space="preserve">, J., Soll, J. B., </w:t>
      </w:r>
      <w:proofErr w:type="spellStart"/>
      <w:r>
        <w:rPr>
          <w:sz w:val="16"/>
        </w:rPr>
        <w:t>Gonza´lez</w:t>
      </w:r>
      <w:proofErr w:type="spellEnd"/>
      <w:r>
        <w:rPr>
          <w:sz w:val="16"/>
        </w:rPr>
        <w:t xml:space="preserve">-Vallejo, C., &amp; </w:t>
      </w:r>
      <w:proofErr w:type="spellStart"/>
      <w:r>
        <w:rPr>
          <w:sz w:val="16"/>
        </w:rPr>
        <w:t>Barlas</w:t>
      </w:r>
      <w:proofErr w:type="spellEnd"/>
      <w:r>
        <w:rPr>
          <w:sz w:val="16"/>
        </w:rPr>
        <w:t xml:space="preserve">, S. (1999). Overconfidence: It depends on how, what and whom you ask. </w:t>
      </w:r>
      <w:r>
        <w:rPr>
          <w:i/>
          <w:sz w:val="16"/>
        </w:rPr>
        <w:t xml:space="preserve">Organizational Behavior and Human Decision Processes, 79, </w:t>
      </w:r>
      <w:r>
        <w:rPr>
          <w:sz w:val="16"/>
        </w:rPr>
        <w:t>216–247.</w:t>
      </w:r>
    </w:p>
    <w:p w:rsidR="00157A70" w:rsidRDefault="00316F15">
      <w:pPr>
        <w:spacing w:line="278" w:lineRule="auto"/>
        <w:ind w:left="155" w:right="0" w:hanging="170"/>
      </w:pPr>
      <w:r>
        <w:rPr>
          <w:sz w:val="16"/>
        </w:rPr>
        <w:t xml:space="preserve">Klein, G. (1999). </w:t>
      </w:r>
      <w:r>
        <w:rPr>
          <w:i/>
          <w:sz w:val="16"/>
        </w:rPr>
        <w:t>Sources of power: How people make decisions</w:t>
      </w:r>
      <w:r>
        <w:rPr>
          <w:sz w:val="16"/>
        </w:rPr>
        <w:t>. Cambridge, MA: MIT Press.</w:t>
      </w:r>
    </w:p>
    <w:p w:rsidR="00157A70" w:rsidRDefault="00316F15">
      <w:pPr>
        <w:spacing w:line="278" w:lineRule="auto"/>
        <w:ind w:left="155" w:right="0" w:hanging="170"/>
      </w:pPr>
      <w:r>
        <w:rPr>
          <w:sz w:val="16"/>
        </w:rPr>
        <w:t xml:space="preserve">Kleinman, L., &amp; Messina-Kleinman, D. (2000). </w:t>
      </w:r>
      <w:r>
        <w:rPr>
          <w:i/>
          <w:sz w:val="16"/>
        </w:rPr>
        <w:t>The complete idiot’s guide to quitting smoking</w:t>
      </w:r>
      <w:r>
        <w:rPr>
          <w:sz w:val="16"/>
        </w:rPr>
        <w:t>. Indianapolis, IN: Alpha Books.</w:t>
      </w:r>
    </w:p>
    <w:p w:rsidR="00157A70" w:rsidRDefault="00316F15">
      <w:pPr>
        <w:spacing w:line="278" w:lineRule="auto"/>
        <w:ind w:left="155" w:right="0" w:hanging="170"/>
      </w:pPr>
      <w:r>
        <w:rPr>
          <w:sz w:val="16"/>
        </w:rPr>
        <w:t xml:space="preserve">Koch, E. T., &amp; DeSalvo, D. (2003). </w:t>
      </w:r>
      <w:r>
        <w:rPr>
          <w:i/>
          <w:sz w:val="16"/>
        </w:rPr>
        <w:t>The complete idiot’s guide to savvy investing</w:t>
      </w:r>
      <w:r>
        <w:rPr>
          <w:sz w:val="16"/>
        </w:rPr>
        <w:t>. Indianapolis, IN: Alpha Books.</w:t>
      </w:r>
    </w:p>
    <w:p w:rsidR="00157A70" w:rsidRDefault="00316F15">
      <w:pPr>
        <w:spacing w:line="278" w:lineRule="auto"/>
        <w:ind w:left="155" w:right="0" w:hanging="170"/>
      </w:pPr>
      <w:proofErr w:type="spellStart"/>
      <w:r>
        <w:rPr>
          <w:sz w:val="16"/>
        </w:rPr>
        <w:t>Kuriansky</w:t>
      </w:r>
      <w:proofErr w:type="spellEnd"/>
      <w:r>
        <w:rPr>
          <w:sz w:val="16"/>
        </w:rPr>
        <w:t xml:space="preserve">, J. (2002). </w:t>
      </w:r>
      <w:r>
        <w:rPr>
          <w:i/>
          <w:sz w:val="16"/>
        </w:rPr>
        <w:t xml:space="preserve">The complete idiot’s guide to a healthy relationship </w:t>
      </w:r>
      <w:r>
        <w:rPr>
          <w:sz w:val="16"/>
        </w:rPr>
        <w:t>(2nd ed.). Indianapolis, IN: Alpha Books.</w:t>
      </w:r>
    </w:p>
    <w:p w:rsidR="00157A70" w:rsidRDefault="00316F15">
      <w:pPr>
        <w:spacing w:line="278" w:lineRule="auto"/>
        <w:ind w:left="155" w:right="0" w:hanging="170"/>
      </w:pPr>
      <w:r>
        <w:rPr>
          <w:sz w:val="16"/>
        </w:rPr>
        <w:t xml:space="preserve">Kurland, M., &amp; </w:t>
      </w:r>
      <w:proofErr w:type="spellStart"/>
      <w:r>
        <w:rPr>
          <w:sz w:val="16"/>
        </w:rPr>
        <w:t>Lupoff</w:t>
      </w:r>
      <w:proofErr w:type="spellEnd"/>
      <w:r>
        <w:rPr>
          <w:sz w:val="16"/>
        </w:rPr>
        <w:t xml:space="preserve">, R. (1999). </w:t>
      </w:r>
      <w:r>
        <w:rPr>
          <w:i/>
          <w:sz w:val="16"/>
        </w:rPr>
        <w:t>The complete idiot’s guide to improving your memory</w:t>
      </w:r>
      <w:r>
        <w:rPr>
          <w:sz w:val="16"/>
        </w:rPr>
        <w:t>. Indianapolis, IN: Alpha Books.</w:t>
      </w:r>
    </w:p>
    <w:p w:rsidR="00157A70" w:rsidRDefault="00316F15">
      <w:pPr>
        <w:spacing w:line="278" w:lineRule="auto"/>
        <w:ind w:left="155" w:right="0" w:hanging="170"/>
      </w:pPr>
      <w:proofErr w:type="spellStart"/>
      <w:r>
        <w:rPr>
          <w:sz w:val="16"/>
        </w:rPr>
        <w:t>Larrick</w:t>
      </w:r>
      <w:proofErr w:type="spellEnd"/>
      <w:r>
        <w:rPr>
          <w:sz w:val="16"/>
        </w:rPr>
        <w:t xml:space="preserve">, R. P., Nisbett, R. E., &amp; Morgan, J. N. (1993). Who uses the cost-benefit rules of choice? Implications for the normative status of microeconomic theory. </w:t>
      </w:r>
      <w:r>
        <w:rPr>
          <w:i/>
          <w:sz w:val="16"/>
        </w:rPr>
        <w:t xml:space="preserve">Organizational Behavior and Human Decision Processes, 56, </w:t>
      </w:r>
      <w:r>
        <w:rPr>
          <w:sz w:val="16"/>
        </w:rPr>
        <w:t>331–347.</w:t>
      </w:r>
    </w:p>
    <w:p w:rsidR="00157A70" w:rsidRDefault="00316F15">
      <w:pPr>
        <w:spacing w:line="278" w:lineRule="auto"/>
        <w:ind w:left="155" w:right="0" w:hanging="170"/>
      </w:pPr>
      <w:proofErr w:type="spellStart"/>
      <w:r>
        <w:rPr>
          <w:sz w:val="16"/>
        </w:rPr>
        <w:t>Lauriola</w:t>
      </w:r>
      <w:proofErr w:type="spellEnd"/>
      <w:r>
        <w:rPr>
          <w:sz w:val="16"/>
        </w:rPr>
        <w:t xml:space="preserve">, M., Russo, P. M., </w:t>
      </w:r>
      <w:proofErr w:type="spellStart"/>
      <w:r>
        <w:rPr>
          <w:sz w:val="16"/>
        </w:rPr>
        <w:t>Lucidi</w:t>
      </w:r>
      <w:proofErr w:type="spellEnd"/>
      <w:r>
        <w:rPr>
          <w:sz w:val="16"/>
        </w:rPr>
        <w:t xml:space="preserve">, F., </w:t>
      </w:r>
      <w:proofErr w:type="spellStart"/>
      <w:r>
        <w:rPr>
          <w:sz w:val="16"/>
        </w:rPr>
        <w:t>Violani</w:t>
      </w:r>
      <w:proofErr w:type="spellEnd"/>
      <w:r>
        <w:rPr>
          <w:sz w:val="16"/>
        </w:rPr>
        <w:t xml:space="preserve">, C., &amp; Levin, I. (2005). The role of personality in positively and negatively framed health decisions. </w:t>
      </w:r>
      <w:r>
        <w:rPr>
          <w:i/>
          <w:sz w:val="16"/>
        </w:rPr>
        <w:t xml:space="preserve">Personality and Individual Differences, 38, </w:t>
      </w:r>
      <w:r>
        <w:rPr>
          <w:sz w:val="16"/>
        </w:rPr>
        <w:t>45–59.</w:t>
      </w:r>
    </w:p>
    <w:p w:rsidR="00157A70" w:rsidRDefault="00316F15">
      <w:pPr>
        <w:spacing w:line="278" w:lineRule="auto"/>
        <w:ind w:left="155" w:right="0" w:hanging="170"/>
      </w:pPr>
      <w:proofErr w:type="spellStart"/>
      <w:r>
        <w:rPr>
          <w:sz w:val="16"/>
        </w:rPr>
        <w:t>LeBoeuf</w:t>
      </w:r>
      <w:proofErr w:type="spellEnd"/>
      <w:r>
        <w:rPr>
          <w:sz w:val="16"/>
        </w:rPr>
        <w:t xml:space="preserve">, R. A., &amp; </w:t>
      </w:r>
      <w:proofErr w:type="spellStart"/>
      <w:r>
        <w:rPr>
          <w:sz w:val="16"/>
        </w:rPr>
        <w:t>Shafir</w:t>
      </w:r>
      <w:proofErr w:type="spellEnd"/>
      <w:r>
        <w:rPr>
          <w:sz w:val="16"/>
        </w:rPr>
        <w:t xml:space="preserve">, E. (2003). Deep thoughts and shallow frames: On the susceptibility to framing effects. </w:t>
      </w:r>
      <w:r>
        <w:rPr>
          <w:i/>
          <w:sz w:val="16"/>
        </w:rPr>
        <w:t xml:space="preserve">Journal of Behavioral Decision Making, 16, </w:t>
      </w:r>
      <w:r>
        <w:rPr>
          <w:sz w:val="16"/>
        </w:rPr>
        <w:t>77–92.</w:t>
      </w:r>
    </w:p>
    <w:p w:rsidR="00157A70" w:rsidRDefault="00316F15">
      <w:pPr>
        <w:spacing w:line="278" w:lineRule="auto"/>
        <w:ind w:left="155" w:right="0" w:hanging="170"/>
      </w:pPr>
      <w:r>
        <w:rPr>
          <w:sz w:val="16"/>
        </w:rPr>
        <w:t xml:space="preserve">Leong, F. T., &amp; Morris, J. (1989). Assessing the construct validity of Holland, </w:t>
      </w:r>
      <w:proofErr w:type="spellStart"/>
      <w:r>
        <w:rPr>
          <w:sz w:val="16"/>
        </w:rPr>
        <w:t>Daiger</w:t>
      </w:r>
      <w:proofErr w:type="spellEnd"/>
      <w:r>
        <w:rPr>
          <w:sz w:val="16"/>
        </w:rPr>
        <w:t xml:space="preserve">, and Power’s measure of vocational identity. </w:t>
      </w:r>
      <w:r>
        <w:rPr>
          <w:i/>
          <w:sz w:val="16"/>
        </w:rPr>
        <w:t xml:space="preserve">Measurement &amp; Evaluation in Counseling &amp; Development, 22, </w:t>
      </w:r>
      <w:r>
        <w:rPr>
          <w:sz w:val="16"/>
        </w:rPr>
        <w:t>117–125.</w:t>
      </w:r>
    </w:p>
    <w:p w:rsidR="00157A70" w:rsidRDefault="00316F15">
      <w:pPr>
        <w:spacing w:line="278" w:lineRule="auto"/>
        <w:ind w:left="155" w:right="0" w:hanging="170"/>
      </w:pPr>
      <w:r>
        <w:rPr>
          <w:sz w:val="16"/>
        </w:rPr>
        <w:t xml:space="preserve">Levin, I. P., &amp; </w:t>
      </w:r>
      <w:proofErr w:type="spellStart"/>
      <w:r>
        <w:rPr>
          <w:sz w:val="16"/>
        </w:rPr>
        <w:t>Gaeth</w:t>
      </w:r>
      <w:proofErr w:type="spellEnd"/>
      <w:r>
        <w:rPr>
          <w:sz w:val="16"/>
        </w:rPr>
        <w:t xml:space="preserve">, G. J. (1988). Framing of attribute information before and after consuming the product. </w:t>
      </w:r>
      <w:r>
        <w:rPr>
          <w:i/>
          <w:sz w:val="16"/>
        </w:rPr>
        <w:t xml:space="preserve">Journal of Consumer Research, 15, </w:t>
      </w:r>
      <w:r>
        <w:rPr>
          <w:sz w:val="16"/>
        </w:rPr>
        <w:t>374–378.</w:t>
      </w:r>
    </w:p>
    <w:p w:rsidR="00157A70" w:rsidRDefault="00316F15">
      <w:pPr>
        <w:spacing w:line="278" w:lineRule="auto"/>
        <w:ind w:left="155" w:right="0" w:hanging="170"/>
      </w:pPr>
      <w:r>
        <w:rPr>
          <w:sz w:val="16"/>
        </w:rPr>
        <w:t xml:space="preserve">Levin, I. P., </w:t>
      </w:r>
      <w:proofErr w:type="spellStart"/>
      <w:r>
        <w:rPr>
          <w:sz w:val="16"/>
        </w:rPr>
        <w:t>Gaeth</w:t>
      </w:r>
      <w:proofErr w:type="spellEnd"/>
      <w:r>
        <w:rPr>
          <w:sz w:val="16"/>
        </w:rPr>
        <w:t xml:space="preserve">, G. J., Schreiber, J., &amp; </w:t>
      </w:r>
      <w:proofErr w:type="spellStart"/>
      <w:r>
        <w:rPr>
          <w:sz w:val="16"/>
        </w:rPr>
        <w:t>Lauriola</w:t>
      </w:r>
      <w:proofErr w:type="spellEnd"/>
      <w:r>
        <w:rPr>
          <w:sz w:val="16"/>
        </w:rPr>
        <w:t xml:space="preserve">, M. (2002). A new look at framing effects: Distribution of effect sizes, individual differences, and independence of types of effects. </w:t>
      </w:r>
      <w:r>
        <w:rPr>
          <w:i/>
          <w:sz w:val="16"/>
        </w:rPr>
        <w:t xml:space="preserve">Organizational Behavior and Human Decision Processes, 88, </w:t>
      </w:r>
      <w:r>
        <w:rPr>
          <w:sz w:val="16"/>
        </w:rPr>
        <w:t>411–429.</w:t>
      </w:r>
    </w:p>
    <w:p w:rsidR="00157A70" w:rsidRDefault="00316F15">
      <w:pPr>
        <w:spacing w:line="278" w:lineRule="auto"/>
        <w:ind w:left="155" w:right="0" w:hanging="170"/>
      </w:pPr>
      <w:r>
        <w:rPr>
          <w:sz w:val="16"/>
        </w:rPr>
        <w:t xml:space="preserve">Levin, I. P., Johnson, R. D., Russo, C. P., &amp; Deldin, P. J. (1985). Framing effects in judgment tasks with varying amounts of information. </w:t>
      </w:r>
      <w:r>
        <w:rPr>
          <w:i/>
          <w:sz w:val="16"/>
        </w:rPr>
        <w:t xml:space="preserve">Organizational Behavior and Human Decision Processes, 36, </w:t>
      </w:r>
      <w:r>
        <w:rPr>
          <w:sz w:val="16"/>
        </w:rPr>
        <w:t>362–377.</w:t>
      </w:r>
    </w:p>
    <w:p w:rsidR="00157A70" w:rsidRDefault="00316F15">
      <w:pPr>
        <w:spacing w:line="278" w:lineRule="auto"/>
        <w:ind w:left="155" w:right="0" w:hanging="170"/>
      </w:pPr>
      <w:r>
        <w:rPr>
          <w:sz w:val="16"/>
        </w:rPr>
        <w:t xml:space="preserve">Levin, I. P., Schneider, S. L., &amp; </w:t>
      </w:r>
      <w:proofErr w:type="spellStart"/>
      <w:r>
        <w:rPr>
          <w:sz w:val="16"/>
        </w:rPr>
        <w:t>Gaeth</w:t>
      </w:r>
      <w:proofErr w:type="spellEnd"/>
      <w:r>
        <w:rPr>
          <w:sz w:val="16"/>
        </w:rPr>
        <w:t xml:space="preserve">, G. J. (1998). All frames are not created equal: A typology and critical analysis of framing effects. </w:t>
      </w:r>
      <w:r>
        <w:rPr>
          <w:i/>
          <w:sz w:val="16"/>
        </w:rPr>
        <w:t xml:space="preserve">Organizational Behavior and Human Decision Processes, 76, </w:t>
      </w:r>
      <w:r>
        <w:rPr>
          <w:sz w:val="16"/>
        </w:rPr>
        <w:t>149–188.</w:t>
      </w:r>
    </w:p>
    <w:p w:rsidR="00157A70" w:rsidRDefault="00316F15">
      <w:pPr>
        <w:spacing w:line="278" w:lineRule="auto"/>
        <w:ind w:left="155" w:right="0" w:hanging="170"/>
      </w:pPr>
      <w:r>
        <w:rPr>
          <w:sz w:val="16"/>
        </w:rPr>
        <w:t xml:space="preserve">Levin, I. P., </w:t>
      </w:r>
      <w:proofErr w:type="spellStart"/>
      <w:r>
        <w:rPr>
          <w:sz w:val="16"/>
        </w:rPr>
        <w:t>Schnittjer</w:t>
      </w:r>
      <w:proofErr w:type="spellEnd"/>
      <w:r>
        <w:rPr>
          <w:sz w:val="16"/>
        </w:rPr>
        <w:t xml:space="preserve">, S. K., &amp; Thee, S. L. (1988). Information framing effects in social and personal decisions. </w:t>
      </w:r>
      <w:r>
        <w:rPr>
          <w:i/>
          <w:sz w:val="16"/>
        </w:rPr>
        <w:t xml:space="preserve">Journal of Experimental Social Psychology, 24, </w:t>
      </w:r>
      <w:r>
        <w:rPr>
          <w:sz w:val="16"/>
        </w:rPr>
        <w:t>520–529.</w:t>
      </w:r>
    </w:p>
    <w:p w:rsidR="00157A70" w:rsidRDefault="00316F15">
      <w:pPr>
        <w:spacing w:line="278" w:lineRule="auto"/>
        <w:ind w:left="155" w:right="0" w:hanging="170"/>
      </w:pPr>
      <w:r>
        <w:rPr>
          <w:sz w:val="16"/>
        </w:rPr>
        <w:t xml:space="preserve">Linville, P. W., Fischer, G. W., &amp; </w:t>
      </w:r>
      <w:proofErr w:type="spellStart"/>
      <w:r>
        <w:rPr>
          <w:sz w:val="16"/>
        </w:rPr>
        <w:t>Fischhoff</w:t>
      </w:r>
      <w:proofErr w:type="spellEnd"/>
      <w:r>
        <w:rPr>
          <w:sz w:val="16"/>
        </w:rPr>
        <w:t xml:space="preserve">, B. (1993). AIDS risk perceptions and decision biases. In J. B. Pryor &amp; G. D. Reeder (Eds.), </w:t>
      </w:r>
      <w:r>
        <w:rPr>
          <w:i/>
          <w:sz w:val="16"/>
        </w:rPr>
        <w:t xml:space="preserve">The social psychology of HIV infection </w:t>
      </w:r>
      <w:r>
        <w:rPr>
          <w:sz w:val="16"/>
        </w:rPr>
        <w:t>(pp. 5–38). Hillsdale, NJ: Erlbaum.</w:t>
      </w:r>
    </w:p>
    <w:p w:rsidR="00157A70" w:rsidRDefault="00316F15">
      <w:pPr>
        <w:spacing w:line="278" w:lineRule="auto"/>
        <w:ind w:left="155" w:right="0" w:hanging="170"/>
      </w:pPr>
      <w:r>
        <w:rPr>
          <w:sz w:val="16"/>
        </w:rPr>
        <w:t xml:space="preserve">Lockwood, G. (2003). </w:t>
      </w:r>
      <w:r>
        <w:rPr>
          <w:i/>
          <w:sz w:val="16"/>
        </w:rPr>
        <w:t xml:space="preserve">The complete idiot’s guide to organizing your life </w:t>
      </w:r>
      <w:r>
        <w:rPr>
          <w:sz w:val="16"/>
        </w:rPr>
        <w:t>(3rd ed.). Indianapolis, IN: Alpha Books.</w:t>
      </w:r>
    </w:p>
    <w:p w:rsidR="00157A70" w:rsidRDefault="00316F15">
      <w:pPr>
        <w:spacing w:line="278" w:lineRule="auto"/>
        <w:ind w:left="155" w:right="0" w:hanging="170"/>
      </w:pPr>
      <w:proofErr w:type="spellStart"/>
      <w:r>
        <w:rPr>
          <w:sz w:val="16"/>
        </w:rPr>
        <w:t>Loeber</w:t>
      </w:r>
      <w:proofErr w:type="spellEnd"/>
      <w:r>
        <w:rPr>
          <w:sz w:val="16"/>
        </w:rPr>
        <w:t xml:space="preserve">, R. (1989). </w:t>
      </w:r>
      <w:r>
        <w:rPr>
          <w:i/>
          <w:sz w:val="16"/>
        </w:rPr>
        <w:t xml:space="preserve">Values and attitudes towards delinquent behavior. </w:t>
      </w:r>
      <w:r>
        <w:rPr>
          <w:sz w:val="16"/>
        </w:rPr>
        <w:t>Pittsburgh, PA: Pittsburgh Youth Study, Department of Psychiatry, University of Pittsburgh.</w:t>
      </w:r>
    </w:p>
    <w:p w:rsidR="00157A70" w:rsidRDefault="00316F15">
      <w:pPr>
        <w:spacing w:line="278" w:lineRule="auto"/>
        <w:ind w:left="155" w:right="0" w:hanging="170"/>
      </w:pPr>
      <w:r>
        <w:rPr>
          <w:sz w:val="16"/>
        </w:rPr>
        <w:t xml:space="preserve">Loewenstein, G., &amp; </w:t>
      </w:r>
      <w:proofErr w:type="spellStart"/>
      <w:r>
        <w:rPr>
          <w:sz w:val="16"/>
        </w:rPr>
        <w:t>Elster</w:t>
      </w:r>
      <w:proofErr w:type="spellEnd"/>
      <w:r>
        <w:rPr>
          <w:sz w:val="16"/>
        </w:rPr>
        <w:t xml:space="preserve">, J. (Eds.). (1992). </w:t>
      </w:r>
      <w:r>
        <w:rPr>
          <w:i/>
          <w:sz w:val="16"/>
        </w:rPr>
        <w:t>Choice over time</w:t>
      </w:r>
      <w:r>
        <w:rPr>
          <w:sz w:val="16"/>
        </w:rPr>
        <w:t>. New York: Russell Sage Foundation.</w:t>
      </w:r>
    </w:p>
    <w:p w:rsidR="00157A70" w:rsidRDefault="00316F15">
      <w:pPr>
        <w:spacing w:line="278" w:lineRule="auto"/>
        <w:ind w:left="155" w:right="0" w:hanging="170"/>
      </w:pPr>
      <w:r>
        <w:rPr>
          <w:sz w:val="16"/>
        </w:rPr>
        <w:lastRenderedPageBreak/>
        <w:t xml:space="preserve">Loo, R. (2000). A psychometric evaluation of the General </w:t>
      </w:r>
      <w:proofErr w:type="spellStart"/>
      <w:r>
        <w:rPr>
          <w:sz w:val="16"/>
        </w:rPr>
        <w:t>DecisionMaking</w:t>
      </w:r>
      <w:proofErr w:type="spellEnd"/>
      <w:r>
        <w:rPr>
          <w:sz w:val="16"/>
        </w:rPr>
        <w:t xml:space="preserve"> Style Inventory. </w:t>
      </w:r>
      <w:r>
        <w:rPr>
          <w:i/>
          <w:sz w:val="16"/>
        </w:rPr>
        <w:t xml:space="preserve">Personality and Individual Differences, 29, </w:t>
      </w:r>
      <w:r>
        <w:rPr>
          <w:sz w:val="16"/>
        </w:rPr>
        <w:t>895–905.</w:t>
      </w:r>
    </w:p>
    <w:p w:rsidR="00157A70" w:rsidRDefault="00316F15">
      <w:pPr>
        <w:spacing w:line="278" w:lineRule="auto"/>
        <w:ind w:left="155" w:right="0" w:hanging="170"/>
      </w:pPr>
      <w:r>
        <w:rPr>
          <w:sz w:val="16"/>
        </w:rPr>
        <w:t xml:space="preserve">McClain, J. R., &amp; </w:t>
      </w:r>
      <w:proofErr w:type="spellStart"/>
      <w:r>
        <w:rPr>
          <w:sz w:val="16"/>
        </w:rPr>
        <w:t>Levert</w:t>
      </w:r>
      <w:proofErr w:type="spellEnd"/>
      <w:r>
        <w:rPr>
          <w:sz w:val="16"/>
        </w:rPr>
        <w:t xml:space="preserve">, S. (2000). </w:t>
      </w:r>
      <w:r>
        <w:rPr>
          <w:i/>
          <w:sz w:val="16"/>
        </w:rPr>
        <w:t>The complete idiot’s guide to breaking bad habits</w:t>
      </w:r>
      <w:r>
        <w:rPr>
          <w:sz w:val="16"/>
        </w:rPr>
        <w:t>. Indianapolis, IN: Alpha Books.</w:t>
      </w:r>
    </w:p>
    <w:p w:rsidR="00157A70" w:rsidRDefault="00316F15">
      <w:pPr>
        <w:spacing w:line="278" w:lineRule="auto"/>
        <w:ind w:left="155" w:right="0" w:hanging="170"/>
      </w:pPr>
      <w:r>
        <w:rPr>
          <w:sz w:val="16"/>
        </w:rPr>
        <w:t xml:space="preserve">McElroy, T., &amp; Seta, J. J. (2003). Framing effects: An analytic-holistic perspective. </w:t>
      </w:r>
      <w:r>
        <w:rPr>
          <w:i/>
          <w:sz w:val="16"/>
        </w:rPr>
        <w:t xml:space="preserve">Journal of Experimental Social Psychology, 39, </w:t>
      </w:r>
      <w:r>
        <w:rPr>
          <w:sz w:val="16"/>
        </w:rPr>
        <w:t>610–617.</w:t>
      </w:r>
    </w:p>
    <w:p w:rsidR="00157A70" w:rsidRDefault="00316F15">
      <w:pPr>
        <w:spacing w:after="0" w:line="287" w:lineRule="auto"/>
        <w:ind w:right="0" w:firstLine="0"/>
        <w:jc w:val="center"/>
      </w:pPr>
      <w:r>
        <w:rPr>
          <w:sz w:val="16"/>
        </w:rPr>
        <w:t xml:space="preserve">McKenzie, C. R. M. (2004). Framing effects in inference tasks–and why they’re normatively defensible. </w:t>
      </w:r>
      <w:r>
        <w:rPr>
          <w:i/>
          <w:sz w:val="16"/>
        </w:rPr>
        <w:t xml:space="preserve">Memory &amp; Cognition, 32, </w:t>
      </w:r>
      <w:r>
        <w:rPr>
          <w:sz w:val="16"/>
        </w:rPr>
        <w:t>874–885.</w:t>
      </w:r>
    </w:p>
    <w:p w:rsidR="00157A70" w:rsidRDefault="00316F15">
      <w:pPr>
        <w:spacing w:line="278" w:lineRule="auto"/>
        <w:ind w:left="155" w:right="0" w:hanging="170"/>
      </w:pPr>
      <w:r>
        <w:rPr>
          <w:sz w:val="16"/>
        </w:rPr>
        <w:t xml:space="preserve">McKenzie, C. R. M., &amp; Nelson, J. D. (2003). What a speaker’s choice of frame reveals: Reference points, frame selection, and framing effects. </w:t>
      </w:r>
      <w:r>
        <w:rPr>
          <w:i/>
          <w:sz w:val="16"/>
        </w:rPr>
        <w:t xml:space="preserve">Psychonomic Bulletin &amp; Review, 10, </w:t>
      </w:r>
      <w:r>
        <w:rPr>
          <w:sz w:val="16"/>
        </w:rPr>
        <w:t>596–602.</w:t>
      </w:r>
    </w:p>
    <w:p w:rsidR="00157A70" w:rsidRDefault="00316F15">
      <w:pPr>
        <w:spacing w:line="278" w:lineRule="auto"/>
        <w:ind w:left="155" w:right="0" w:hanging="170"/>
      </w:pPr>
      <w:r>
        <w:rPr>
          <w:sz w:val="16"/>
        </w:rPr>
        <w:t xml:space="preserve">Miller, T. W. (1996). Current measures in the assessment of stressful life events. In T. W. Miller (Ed.), </w:t>
      </w:r>
      <w:r>
        <w:rPr>
          <w:i/>
          <w:sz w:val="16"/>
        </w:rPr>
        <w:t xml:space="preserve">Theory and assessment of stressful life events </w:t>
      </w:r>
      <w:r>
        <w:rPr>
          <w:sz w:val="16"/>
        </w:rPr>
        <w:t>(pp. 209–233). Madison, CT: International Universities Press.</w:t>
      </w:r>
    </w:p>
    <w:p w:rsidR="00157A70" w:rsidRDefault="00316F15">
      <w:pPr>
        <w:spacing w:line="278" w:lineRule="auto"/>
        <w:ind w:left="155" w:right="0" w:hanging="170"/>
      </w:pPr>
      <w:r>
        <w:rPr>
          <w:sz w:val="16"/>
        </w:rPr>
        <w:t xml:space="preserve">Nunnally, J. C., &amp; Bernstein, I. H. (1994). </w:t>
      </w:r>
      <w:r>
        <w:rPr>
          <w:i/>
          <w:sz w:val="16"/>
        </w:rPr>
        <w:t>Psychometric theory</w:t>
      </w:r>
      <w:r>
        <w:rPr>
          <w:sz w:val="16"/>
        </w:rPr>
        <w:t>. New York: McGraw-Hill.</w:t>
      </w:r>
    </w:p>
    <w:p w:rsidR="00157A70" w:rsidRDefault="00316F15">
      <w:pPr>
        <w:spacing w:line="278" w:lineRule="auto"/>
        <w:ind w:left="155" w:right="0" w:hanging="170"/>
      </w:pPr>
      <w:r>
        <w:rPr>
          <w:sz w:val="16"/>
        </w:rPr>
        <w:t xml:space="preserve">O’Hara, S., &amp; Warner, N. D. (2000). </w:t>
      </w:r>
      <w:r>
        <w:rPr>
          <w:i/>
          <w:sz w:val="16"/>
        </w:rPr>
        <w:t xml:space="preserve">The complete idiot’s guide to buying and selling a home </w:t>
      </w:r>
      <w:r>
        <w:rPr>
          <w:sz w:val="16"/>
        </w:rPr>
        <w:t>(3rd ed.). Indianapolis, IN: Alpha Books.</w:t>
      </w:r>
    </w:p>
    <w:p w:rsidR="00157A70" w:rsidRDefault="00316F15">
      <w:pPr>
        <w:spacing w:line="278" w:lineRule="auto"/>
        <w:ind w:left="155" w:right="0" w:hanging="170"/>
      </w:pPr>
      <w:r>
        <w:rPr>
          <w:sz w:val="16"/>
        </w:rPr>
        <w:t xml:space="preserve">Parker, A. M., &amp; </w:t>
      </w:r>
      <w:proofErr w:type="spellStart"/>
      <w:r>
        <w:rPr>
          <w:sz w:val="16"/>
        </w:rPr>
        <w:t>Fischhoff</w:t>
      </w:r>
      <w:proofErr w:type="spellEnd"/>
      <w:r>
        <w:rPr>
          <w:sz w:val="16"/>
        </w:rPr>
        <w:t xml:space="preserve">, B. (2005). Decision-making competence: External validation through an individual-differences approach. </w:t>
      </w:r>
      <w:r>
        <w:rPr>
          <w:i/>
          <w:sz w:val="16"/>
        </w:rPr>
        <w:t xml:space="preserve">Journal of Behavioral Decision Making, 18, </w:t>
      </w:r>
      <w:r>
        <w:rPr>
          <w:sz w:val="16"/>
        </w:rPr>
        <w:t>1–27.</w:t>
      </w:r>
    </w:p>
    <w:p w:rsidR="00157A70" w:rsidRDefault="00316F15">
      <w:pPr>
        <w:spacing w:line="278" w:lineRule="auto"/>
        <w:ind w:left="155" w:right="0" w:hanging="170"/>
      </w:pPr>
      <w:r>
        <w:rPr>
          <w:sz w:val="16"/>
        </w:rPr>
        <w:t xml:space="preserve">Parker, A. M., </w:t>
      </w:r>
      <w:proofErr w:type="spellStart"/>
      <w:r>
        <w:rPr>
          <w:sz w:val="16"/>
        </w:rPr>
        <w:t>Fischhoff</w:t>
      </w:r>
      <w:proofErr w:type="spellEnd"/>
      <w:r>
        <w:rPr>
          <w:sz w:val="16"/>
        </w:rPr>
        <w:t xml:space="preserve">, B., &amp; </w:t>
      </w:r>
      <w:proofErr w:type="spellStart"/>
      <w:r>
        <w:rPr>
          <w:sz w:val="16"/>
        </w:rPr>
        <w:t>Bruine</w:t>
      </w:r>
      <w:proofErr w:type="spellEnd"/>
      <w:r>
        <w:rPr>
          <w:sz w:val="16"/>
        </w:rPr>
        <w:t xml:space="preserve"> de Bruin, B. (2004, March 11–14). </w:t>
      </w:r>
      <w:r>
        <w:rPr>
          <w:i/>
          <w:sz w:val="16"/>
        </w:rPr>
        <w:t>Further development of a measure of decision-making competence</w:t>
      </w:r>
      <w:r>
        <w:rPr>
          <w:sz w:val="16"/>
        </w:rPr>
        <w:t>. Paper presented at the Society for Research on Adolescence biennial meeting, Baltimore, MD.</w:t>
      </w:r>
    </w:p>
    <w:p w:rsidR="00157A70" w:rsidRDefault="00316F15">
      <w:pPr>
        <w:spacing w:line="278" w:lineRule="auto"/>
        <w:ind w:left="155" w:right="0" w:hanging="170"/>
      </w:pPr>
      <w:r>
        <w:rPr>
          <w:sz w:val="16"/>
        </w:rPr>
        <w:t xml:space="preserve">Payne, J. W., </w:t>
      </w:r>
      <w:proofErr w:type="spellStart"/>
      <w:r>
        <w:rPr>
          <w:sz w:val="16"/>
        </w:rPr>
        <w:t>Bettman</w:t>
      </w:r>
      <w:proofErr w:type="spellEnd"/>
      <w:r>
        <w:rPr>
          <w:sz w:val="16"/>
        </w:rPr>
        <w:t xml:space="preserve">, J. R., &amp; Johnson, E. J. (1993). </w:t>
      </w:r>
      <w:r>
        <w:rPr>
          <w:i/>
          <w:sz w:val="16"/>
        </w:rPr>
        <w:t>The adaptive decision maker</w:t>
      </w:r>
      <w:r>
        <w:rPr>
          <w:sz w:val="16"/>
        </w:rPr>
        <w:t>. New York: Cambridge University Press.</w:t>
      </w:r>
    </w:p>
    <w:p w:rsidR="00157A70" w:rsidRDefault="00316F15">
      <w:pPr>
        <w:spacing w:line="278" w:lineRule="auto"/>
        <w:ind w:left="155" w:right="0" w:hanging="170"/>
      </w:pPr>
      <w:r>
        <w:rPr>
          <w:sz w:val="16"/>
        </w:rPr>
        <w:t xml:space="preserve">Peters, E., </w:t>
      </w:r>
      <w:proofErr w:type="spellStart"/>
      <w:r>
        <w:rPr>
          <w:sz w:val="16"/>
        </w:rPr>
        <w:t>Va¨stfja¨ll</w:t>
      </w:r>
      <w:proofErr w:type="spellEnd"/>
      <w:r>
        <w:rPr>
          <w:sz w:val="16"/>
        </w:rPr>
        <w:t xml:space="preserve">, D., </w:t>
      </w:r>
      <w:proofErr w:type="spellStart"/>
      <w:r>
        <w:rPr>
          <w:sz w:val="16"/>
        </w:rPr>
        <w:t>Slovic</w:t>
      </w:r>
      <w:proofErr w:type="spellEnd"/>
      <w:r>
        <w:rPr>
          <w:sz w:val="16"/>
        </w:rPr>
        <w:t xml:space="preserve">, P., Mertz, C. K., </w:t>
      </w:r>
      <w:proofErr w:type="spellStart"/>
      <w:r>
        <w:rPr>
          <w:sz w:val="16"/>
        </w:rPr>
        <w:t>Mazzocco</w:t>
      </w:r>
      <w:proofErr w:type="spellEnd"/>
      <w:r>
        <w:rPr>
          <w:sz w:val="16"/>
        </w:rPr>
        <w:t xml:space="preserve">, K., &amp; </w:t>
      </w:r>
      <w:proofErr w:type="spellStart"/>
      <w:r>
        <w:rPr>
          <w:sz w:val="16"/>
        </w:rPr>
        <w:t>Dickert</w:t>
      </w:r>
      <w:proofErr w:type="spellEnd"/>
      <w:r>
        <w:rPr>
          <w:sz w:val="16"/>
        </w:rPr>
        <w:t xml:space="preserve">, S. (2006). Numeracy and decision making. </w:t>
      </w:r>
      <w:r>
        <w:rPr>
          <w:i/>
          <w:sz w:val="16"/>
        </w:rPr>
        <w:t xml:space="preserve">Psychological Science, 17, </w:t>
      </w:r>
      <w:r>
        <w:rPr>
          <w:sz w:val="16"/>
        </w:rPr>
        <w:t>407–413.</w:t>
      </w:r>
    </w:p>
    <w:p w:rsidR="00157A70" w:rsidRDefault="00316F15">
      <w:pPr>
        <w:spacing w:line="278" w:lineRule="auto"/>
        <w:ind w:left="155" w:right="0" w:hanging="170"/>
      </w:pPr>
      <w:r>
        <w:rPr>
          <w:sz w:val="16"/>
        </w:rPr>
        <w:t xml:space="preserve">Phillips, S. D., &amp; </w:t>
      </w:r>
      <w:proofErr w:type="spellStart"/>
      <w:r>
        <w:rPr>
          <w:sz w:val="16"/>
        </w:rPr>
        <w:t>Strohmer</w:t>
      </w:r>
      <w:proofErr w:type="spellEnd"/>
      <w:r>
        <w:rPr>
          <w:sz w:val="16"/>
        </w:rPr>
        <w:t xml:space="preserve">, D. C. (1982). Decision-making style and vocational maturity. </w:t>
      </w:r>
      <w:r>
        <w:rPr>
          <w:i/>
          <w:sz w:val="16"/>
        </w:rPr>
        <w:t xml:space="preserve">Journal of Vocational Behavior, 20, </w:t>
      </w:r>
      <w:r>
        <w:rPr>
          <w:sz w:val="16"/>
        </w:rPr>
        <w:t>215–222.</w:t>
      </w:r>
    </w:p>
    <w:p w:rsidR="00157A70" w:rsidRDefault="00316F15">
      <w:pPr>
        <w:spacing w:line="278" w:lineRule="auto"/>
        <w:ind w:left="-15" w:right="0" w:firstLine="0"/>
      </w:pPr>
      <w:proofErr w:type="spellStart"/>
      <w:r>
        <w:rPr>
          <w:sz w:val="16"/>
        </w:rPr>
        <w:t>Raiffa</w:t>
      </w:r>
      <w:proofErr w:type="spellEnd"/>
      <w:r>
        <w:rPr>
          <w:sz w:val="16"/>
        </w:rPr>
        <w:t xml:space="preserve">, H. (1968). </w:t>
      </w:r>
      <w:r>
        <w:rPr>
          <w:i/>
          <w:sz w:val="16"/>
        </w:rPr>
        <w:t>Decision analysis</w:t>
      </w:r>
      <w:r>
        <w:rPr>
          <w:sz w:val="16"/>
        </w:rPr>
        <w:t>. Reading, MA: Addison-Wesley.</w:t>
      </w:r>
    </w:p>
    <w:p w:rsidR="00157A70" w:rsidRDefault="00316F15">
      <w:pPr>
        <w:spacing w:line="278" w:lineRule="auto"/>
        <w:ind w:left="155" w:right="0" w:hanging="170"/>
      </w:pPr>
      <w:r>
        <w:rPr>
          <w:sz w:val="16"/>
        </w:rPr>
        <w:t xml:space="preserve">Raven, J., Raven, J. C., &amp; Court, J. H. (2003). </w:t>
      </w:r>
      <w:r>
        <w:rPr>
          <w:i/>
          <w:sz w:val="16"/>
        </w:rPr>
        <w:t>Manual for Raven’s Progressive Matrices and Vocabulary Scales, Section 3</w:t>
      </w:r>
      <w:r>
        <w:rPr>
          <w:sz w:val="16"/>
        </w:rPr>
        <w:t>. San Antonio, TX: Harcourt Assessment.</w:t>
      </w:r>
    </w:p>
    <w:p w:rsidR="00157A70" w:rsidRDefault="00316F15">
      <w:pPr>
        <w:spacing w:line="278" w:lineRule="auto"/>
        <w:ind w:left="155" w:right="0" w:hanging="170"/>
      </w:pPr>
      <w:r>
        <w:rPr>
          <w:sz w:val="16"/>
        </w:rPr>
        <w:t xml:space="preserve">Reyna, V. F. (2004). How people make decisions that involve risk: A dual-processes approach. </w:t>
      </w:r>
      <w:r>
        <w:rPr>
          <w:i/>
          <w:sz w:val="16"/>
        </w:rPr>
        <w:t xml:space="preserve">Current Directions in Psychological Science, 13, </w:t>
      </w:r>
      <w:r>
        <w:rPr>
          <w:sz w:val="16"/>
        </w:rPr>
        <w:t>60–66.</w:t>
      </w:r>
    </w:p>
    <w:p w:rsidR="00157A70" w:rsidRDefault="00316F15">
      <w:pPr>
        <w:spacing w:line="278" w:lineRule="auto"/>
        <w:ind w:left="155" w:right="0" w:hanging="170"/>
      </w:pPr>
      <w:r>
        <w:rPr>
          <w:sz w:val="16"/>
        </w:rPr>
        <w:t xml:space="preserve">Rich, H., &amp; Kravitz, H. L. (2001). </w:t>
      </w:r>
      <w:r>
        <w:rPr>
          <w:i/>
          <w:sz w:val="16"/>
        </w:rPr>
        <w:t xml:space="preserve">The complete idiot’s guide to the perfect marriage. </w:t>
      </w:r>
      <w:r>
        <w:rPr>
          <w:sz w:val="16"/>
        </w:rPr>
        <w:t>Indianapolis, IN: Alpha Books.</w:t>
      </w:r>
    </w:p>
    <w:p w:rsidR="00157A70" w:rsidRDefault="00316F15">
      <w:pPr>
        <w:spacing w:line="278" w:lineRule="auto"/>
        <w:ind w:left="155" w:right="0" w:hanging="170"/>
      </w:pPr>
      <w:r>
        <w:rPr>
          <w:sz w:val="16"/>
        </w:rPr>
        <w:t xml:space="preserve">Rosen, R. (2000). </w:t>
      </w:r>
      <w:r>
        <w:rPr>
          <w:i/>
          <w:sz w:val="16"/>
        </w:rPr>
        <w:t>The complete idiot’s guide to living together</w:t>
      </w:r>
      <w:r>
        <w:rPr>
          <w:sz w:val="16"/>
        </w:rPr>
        <w:t>. Indianapolis, IN: Alpha Books.</w:t>
      </w:r>
    </w:p>
    <w:p w:rsidR="00157A70" w:rsidRDefault="00316F15">
      <w:pPr>
        <w:spacing w:line="278" w:lineRule="auto"/>
        <w:ind w:left="155" w:right="0" w:hanging="170"/>
      </w:pPr>
      <w:r>
        <w:rPr>
          <w:sz w:val="16"/>
        </w:rPr>
        <w:t xml:space="preserve">Roszkowski, M. J., &amp; </w:t>
      </w:r>
      <w:proofErr w:type="spellStart"/>
      <w:r>
        <w:rPr>
          <w:sz w:val="16"/>
        </w:rPr>
        <w:t>Snelbecker</w:t>
      </w:r>
      <w:proofErr w:type="spellEnd"/>
      <w:r>
        <w:rPr>
          <w:sz w:val="16"/>
        </w:rPr>
        <w:t xml:space="preserve">, G. E. (1990). Effects of “framing” on measures of risk tolerance: Financial planners are not immune. </w:t>
      </w:r>
      <w:r>
        <w:rPr>
          <w:i/>
          <w:sz w:val="16"/>
        </w:rPr>
        <w:t xml:space="preserve">Journal of Behavioral Economics, 19, </w:t>
      </w:r>
      <w:r>
        <w:rPr>
          <w:sz w:val="16"/>
        </w:rPr>
        <w:t>237–246.</w:t>
      </w:r>
    </w:p>
    <w:p w:rsidR="00157A70" w:rsidRDefault="00316F15">
      <w:pPr>
        <w:spacing w:line="278" w:lineRule="auto"/>
        <w:ind w:left="155" w:right="0" w:hanging="170"/>
      </w:pPr>
      <w:r>
        <w:rPr>
          <w:sz w:val="16"/>
        </w:rPr>
        <w:t xml:space="preserve">Russ, F. A., McNeilly, K. M., &amp; Comer, J. M. (1996). Leadership, decision-making and performance of sales managers: A multi-level approach. </w:t>
      </w:r>
      <w:r>
        <w:rPr>
          <w:i/>
          <w:sz w:val="16"/>
        </w:rPr>
        <w:t xml:space="preserve">Journal of Personal Selling and Sales Management, 3, </w:t>
      </w:r>
      <w:r>
        <w:rPr>
          <w:sz w:val="16"/>
        </w:rPr>
        <w:t>1–15.</w:t>
      </w:r>
    </w:p>
    <w:p w:rsidR="00157A70" w:rsidRDefault="00316F15">
      <w:pPr>
        <w:spacing w:line="278" w:lineRule="auto"/>
        <w:ind w:left="155" w:right="0" w:hanging="170"/>
      </w:pPr>
      <w:r>
        <w:rPr>
          <w:sz w:val="16"/>
        </w:rPr>
        <w:t xml:space="preserve">Salthouse, T. A. (1991). Mediation of adult age differences in cognition by reductions in working memory and speed of processing. </w:t>
      </w:r>
      <w:r>
        <w:rPr>
          <w:i/>
          <w:sz w:val="16"/>
        </w:rPr>
        <w:t xml:space="preserve">Psychological Science, 2, </w:t>
      </w:r>
      <w:r>
        <w:rPr>
          <w:sz w:val="16"/>
        </w:rPr>
        <w:t>179–183.</w:t>
      </w:r>
    </w:p>
    <w:p w:rsidR="00157A70" w:rsidRDefault="00316F15">
      <w:pPr>
        <w:spacing w:line="278" w:lineRule="auto"/>
        <w:ind w:left="155" w:right="0" w:hanging="170"/>
      </w:pPr>
      <w:r>
        <w:rPr>
          <w:sz w:val="16"/>
        </w:rPr>
        <w:t xml:space="preserve">Schneider, S. L. (1992). Framing and conflict: Aspiration level contingency, the status quo, and current theories of risky choice. </w:t>
      </w:r>
      <w:r>
        <w:rPr>
          <w:i/>
          <w:sz w:val="16"/>
        </w:rPr>
        <w:t xml:space="preserve">Journal of Experimental Psychology: Learning, Memory, and Cognition, 18, </w:t>
      </w:r>
      <w:r>
        <w:rPr>
          <w:sz w:val="16"/>
        </w:rPr>
        <w:t>1040–1057.</w:t>
      </w:r>
    </w:p>
    <w:p w:rsidR="00157A70" w:rsidRDefault="00316F15">
      <w:pPr>
        <w:spacing w:line="278" w:lineRule="auto"/>
        <w:ind w:left="155" w:right="0" w:hanging="170"/>
      </w:pPr>
      <w:r>
        <w:rPr>
          <w:sz w:val="16"/>
        </w:rPr>
        <w:t xml:space="preserve">Schwartz, B., Ward, A., </w:t>
      </w:r>
      <w:proofErr w:type="spellStart"/>
      <w:r>
        <w:rPr>
          <w:sz w:val="16"/>
        </w:rPr>
        <w:t>Monterosso</w:t>
      </w:r>
      <w:proofErr w:type="spellEnd"/>
      <w:r>
        <w:rPr>
          <w:sz w:val="16"/>
        </w:rPr>
        <w:t xml:space="preserve">, J., Lyubomirsky, S., White, K., &amp; Lehman, D. R. (2002). Maximizing versus satisficing: Happiness is a matter of choice. </w:t>
      </w:r>
      <w:r>
        <w:rPr>
          <w:i/>
          <w:sz w:val="16"/>
        </w:rPr>
        <w:t xml:space="preserve">Journal of Personality and Social Psychology, 83, </w:t>
      </w:r>
      <w:r>
        <w:rPr>
          <w:sz w:val="16"/>
        </w:rPr>
        <w:t>1178–1197.</w:t>
      </w:r>
    </w:p>
    <w:p w:rsidR="00157A70" w:rsidRDefault="00316F15">
      <w:pPr>
        <w:spacing w:line="278" w:lineRule="auto"/>
        <w:ind w:left="155" w:right="0" w:hanging="170"/>
      </w:pPr>
      <w:r>
        <w:rPr>
          <w:sz w:val="16"/>
        </w:rPr>
        <w:t xml:space="preserve">Schwarz, N. (1999). Self-reports: How the questions shape the answers. </w:t>
      </w:r>
      <w:r>
        <w:rPr>
          <w:i/>
          <w:sz w:val="16"/>
        </w:rPr>
        <w:t xml:space="preserve">American Psychologist, 54, </w:t>
      </w:r>
      <w:r>
        <w:rPr>
          <w:sz w:val="16"/>
        </w:rPr>
        <w:t>93–105.</w:t>
      </w:r>
    </w:p>
    <w:p w:rsidR="00157A70" w:rsidRDefault="00316F15">
      <w:pPr>
        <w:spacing w:line="278" w:lineRule="auto"/>
        <w:ind w:left="155" w:right="0" w:hanging="170"/>
      </w:pPr>
      <w:r>
        <w:rPr>
          <w:sz w:val="16"/>
        </w:rPr>
        <w:t xml:space="preserve">Scott, S. G., &amp; Bruce, R. A. (1985). Decision-making style: The development and assessment of a new measure. </w:t>
      </w:r>
      <w:r>
        <w:rPr>
          <w:i/>
          <w:sz w:val="16"/>
        </w:rPr>
        <w:t xml:space="preserve">Educational and Psychological Measurement, 55, </w:t>
      </w:r>
      <w:r>
        <w:rPr>
          <w:sz w:val="16"/>
        </w:rPr>
        <w:t>818–831.</w:t>
      </w:r>
    </w:p>
    <w:p w:rsidR="00157A70" w:rsidRDefault="00316F15">
      <w:pPr>
        <w:spacing w:line="278" w:lineRule="auto"/>
        <w:ind w:left="155" w:right="0" w:hanging="170"/>
      </w:pPr>
      <w:r>
        <w:rPr>
          <w:sz w:val="16"/>
        </w:rPr>
        <w:t xml:space="preserve">Singh, R., &amp; </w:t>
      </w:r>
      <w:proofErr w:type="spellStart"/>
      <w:r>
        <w:rPr>
          <w:sz w:val="16"/>
        </w:rPr>
        <w:t>Greenhaus</w:t>
      </w:r>
      <w:proofErr w:type="spellEnd"/>
      <w:r>
        <w:rPr>
          <w:sz w:val="16"/>
        </w:rPr>
        <w:t xml:space="preserve">, J. H. (2004). The relation between career decision-making strategies and person-job fit: A study of job changers. </w:t>
      </w:r>
      <w:r>
        <w:rPr>
          <w:i/>
          <w:sz w:val="16"/>
        </w:rPr>
        <w:t xml:space="preserve">Journal of Vocational Behavior, 64, </w:t>
      </w:r>
      <w:r>
        <w:rPr>
          <w:sz w:val="16"/>
        </w:rPr>
        <w:t>198–221.</w:t>
      </w:r>
    </w:p>
    <w:p w:rsidR="00157A70" w:rsidRDefault="00316F15">
      <w:pPr>
        <w:spacing w:line="278" w:lineRule="auto"/>
        <w:ind w:left="155" w:right="0" w:hanging="170"/>
      </w:pPr>
      <w:r>
        <w:rPr>
          <w:sz w:val="16"/>
        </w:rPr>
        <w:t xml:space="preserve">Smith, S. M., &amp; Levin, I. P. (1996). Need for cognition and choice framing effects. </w:t>
      </w:r>
      <w:r>
        <w:rPr>
          <w:i/>
          <w:sz w:val="16"/>
        </w:rPr>
        <w:t xml:space="preserve">Journal of Behavioral Decision Making, 9, </w:t>
      </w:r>
      <w:r>
        <w:rPr>
          <w:sz w:val="16"/>
        </w:rPr>
        <w:t>283–290.</w:t>
      </w:r>
    </w:p>
    <w:p w:rsidR="00157A70" w:rsidRDefault="00316F15">
      <w:pPr>
        <w:spacing w:line="278" w:lineRule="auto"/>
        <w:ind w:left="155" w:right="0" w:hanging="170"/>
      </w:pPr>
      <w:r>
        <w:rPr>
          <w:sz w:val="16"/>
        </w:rPr>
        <w:t xml:space="preserve">Soane, E., &amp; </w:t>
      </w:r>
      <w:proofErr w:type="spellStart"/>
      <w:r>
        <w:rPr>
          <w:sz w:val="16"/>
        </w:rPr>
        <w:t>Chmiel</w:t>
      </w:r>
      <w:proofErr w:type="spellEnd"/>
      <w:r>
        <w:rPr>
          <w:sz w:val="16"/>
        </w:rPr>
        <w:t xml:space="preserve">, N. (2005). Are risk preferences consistent? The influence of decision domain and personality. </w:t>
      </w:r>
      <w:r>
        <w:rPr>
          <w:i/>
          <w:sz w:val="16"/>
        </w:rPr>
        <w:t xml:space="preserve">Personality and Individual Differences, 38, </w:t>
      </w:r>
      <w:r>
        <w:rPr>
          <w:sz w:val="16"/>
        </w:rPr>
        <w:t>1781–1791.</w:t>
      </w:r>
    </w:p>
    <w:p w:rsidR="00157A70" w:rsidRDefault="00316F15">
      <w:pPr>
        <w:spacing w:after="3" w:line="282" w:lineRule="auto"/>
        <w:ind w:left="155" w:right="-14" w:hanging="170"/>
        <w:jc w:val="left"/>
      </w:pPr>
      <w:r>
        <w:rPr>
          <w:sz w:val="16"/>
        </w:rPr>
        <w:t xml:space="preserve">Stankov, L., &amp; Crawford, J. D. (1996). Confidence judgments in studies of individual differences. </w:t>
      </w:r>
      <w:r>
        <w:rPr>
          <w:i/>
          <w:sz w:val="16"/>
        </w:rPr>
        <w:t xml:space="preserve">Personality and Individual Differences, 21, </w:t>
      </w:r>
      <w:r>
        <w:rPr>
          <w:sz w:val="16"/>
        </w:rPr>
        <w:t>971– 986.</w:t>
      </w:r>
    </w:p>
    <w:p w:rsidR="00157A70" w:rsidRDefault="00316F15">
      <w:pPr>
        <w:spacing w:line="278" w:lineRule="auto"/>
        <w:ind w:left="155" w:right="0" w:hanging="170"/>
      </w:pPr>
      <w:r>
        <w:rPr>
          <w:sz w:val="16"/>
        </w:rPr>
        <w:t xml:space="preserve">Stankov, L., &amp; Crawford, J. D. (1997). Self-confidence and performance on tests of cognitive abilities. </w:t>
      </w:r>
      <w:r>
        <w:rPr>
          <w:i/>
          <w:sz w:val="16"/>
        </w:rPr>
        <w:t xml:space="preserve">Intelligence, 25, </w:t>
      </w:r>
      <w:r>
        <w:rPr>
          <w:sz w:val="16"/>
        </w:rPr>
        <w:t>93–109.</w:t>
      </w:r>
    </w:p>
    <w:p w:rsidR="00157A70" w:rsidRDefault="00316F15">
      <w:pPr>
        <w:spacing w:after="3" w:line="266" w:lineRule="auto"/>
        <w:ind w:left="155" w:right="-14" w:hanging="170"/>
        <w:jc w:val="left"/>
      </w:pPr>
      <w:r>
        <w:rPr>
          <w:sz w:val="16"/>
        </w:rPr>
        <w:t xml:space="preserve">Stanovich, K. E. (1999). </w:t>
      </w:r>
      <w:r>
        <w:rPr>
          <w:i/>
          <w:sz w:val="16"/>
        </w:rPr>
        <w:t>Who is rational? Studies of individual differences in reasoning</w:t>
      </w:r>
      <w:r>
        <w:rPr>
          <w:sz w:val="16"/>
        </w:rPr>
        <w:t>. Mahwah, NJ: Erlbaum.</w:t>
      </w:r>
    </w:p>
    <w:p w:rsidR="00157A70" w:rsidRDefault="00316F15">
      <w:pPr>
        <w:spacing w:line="278" w:lineRule="auto"/>
        <w:ind w:left="155" w:right="0" w:hanging="170"/>
      </w:pPr>
      <w:r>
        <w:rPr>
          <w:sz w:val="16"/>
        </w:rPr>
        <w:t xml:space="preserve">Stanovich, K. E., Grunewald, M., &amp; West, R. F. (2003). Cost–benefit reasoning in students with multiple secondary school suspensions. </w:t>
      </w:r>
      <w:r>
        <w:rPr>
          <w:i/>
          <w:sz w:val="16"/>
        </w:rPr>
        <w:t xml:space="preserve">Personality and Individual Differences, 35, </w:t>
      </w:r>
      <w:r>
        <w:rPr>
          <w:sz w:val="16"/>
        </w:rPr>
        <w:t>1061–1072.</w:t>
      </w:r>
    </w:p>
    <w:p w:rsidR="00157A70" w:rsidRDefault="00316F15">
      <w:pPr>
        <w:spacing w:line="278" w:lineRule="auto"/>
        <w:ind w:left="155" w:right="0" w:hanging="170"/>
      </w:pPr>
      <w:r>
        <w:rPr>
          <w:sz w:val="16"/>
        </w:rPr>
        <w:t xml:space="preserve">Stanovich, K. E., &amp; West, R. F. (1998). Individual differences in rational thought. </w:t>
      </w:r>
      <w:r>
        <w:rPr>
          <w:i/>
          <w:sz w:val="16"/>
        </w:rPr>
        <w:t xml:space="preserve">Journal of Experimental Psychology: General, 127, </w:t>
      </w:r>
      <w:r>
        <w:rPr>
          <w:sz w:val="16"/>
        </w:rPr>
        <w:t>161–188.</w:t>
      </w:r>
    </w:p>
    <w:p w:rsidR="00157A70" w:rsidRDefault="00316F15">
      <w:pPr>
        <w:spacing w:line="278" w:lineRule="auto"/>
        <w:ind w:left="155" w:right="0" w:hanging="170"/>
      </w:pPr>
      <w:r>
        <w:rPr>
          <w:sz w:val="16"/>
        </w:rPr>
        <w:t xml:space="preserve">Stanovich, K. E., &amp; West, R. F. (2000). Individual differences in reasoning: Implications for the rationality debate? </w:t>
      </w:r>
      <w:r>
        <w:rPr>
          <w:i/>
          <w:sz w:val="16"/>
        </w:rPr>
        <w:t xml:space="preserve">Behavioral and Brain Sciences, 23, </w:t>
      </w:r>
      <w:r>
        <w:rPr>
          <w:sz w:val="16"/>
        </w:rPr>
        <w:t>645–726.</w:t>
      </w:r>
    </w:p>
    <w:p w:rsidR="00157A70" w:rsidRDefault="00316F15">
      <w:pPr>
        <w:spacing w:line="278" w:lineRule="auto"/>
        <w:ind w:left="155" w:right="0" w:hanging="170"/>
      </w:pPr>
      <w:r>
        <w:rPr>
          <w:sz w:val="16"/>
        </w:rPr>
        <w:t xml:space="preserve">Strauss, S. D., &amp; Jaffe, A. (2003). </w:t>
      </w:r>
      <w:r>
        <w:rPr>
          <w:i/>
          <w:sz w:val="16"/>
        </w:rPr>
        <w:t>The complete idiot’s guide to beating debt</w:t>
      </w:r>
      <w:r>
        <w:rPr>
          <w:sz w:val="16"/>
        </w:rPr>
        <w:t>. Indianapolis, IN: Alpha Books.</w:t>
      </w:r>
    </w:p>
    <w:p w:rsidR="00157A70" w:rsidRDefault="00316F15">
      <w:pPr>
        <w:spacing w:line="278" w:lineRule="auto"/>
        <w:ind w:left="155" w:right="0" w:hanging="170"/>
      </w:pPr>
      <w:proofErr w:type="spellStart"/>
      <w:r>
        <w:rPr>
          <w:sz w:val="16"/>
        </w:rPr>
        <w:t>Streiner</w:t>
      </w:r>
      <w:proofErr w:type="spellEnd"/>
      <w:r>
        <w:rPr>
          <w:sz w:val="16"/>
        </w:rPr>
        <w:t xml:space="preserve">, D. L. (2003). Being inconsistent about consistency: When coefficient alpha does and doesn’t matter. </w:t>
      </w:r>
      <w:r>
        <w:rPr>
          <w:i/>
          <w:sz w:val="16"/>
        </w:rPr>
        <w:t xml:space="preserve">Journal of Personality Assessment, 80, </w:t>
      </w:r>
      <w:r>
        <w:rPr>
          <w:sz w:val="16"/>
        </w:rPr>
        <w:t>217–222.</w:t>
      </w:r>
    </w:p>
    <w:p w:rsidR="00157A70" w:rsidRDefault="00316F15">
      <w:pPr>
        <w:spacing w:line="278" w:lineRule="auto"/>
        <w:ind w:left="155" w:right="0" w:hanging="170"/>
      </w:pPr>
      <w:proofErr w:type="spellStart"/>
      <w:r>
        <w:rPr>
          <w:sz w:val="16"/>
        </w:rPr>
        <w:t>Strube</w:t>
      </w:r>
      <w:proofErr w:type="spellEnd"/>
      <w:r>
        <w:rPr>
          <w:sz w:val="16"/>
        </w:rPr>
        <w:t xml:space="preserve">, M. J. (1985). Combining and comparing significance levels from </w:t>
      </w:r>
      <w:proofErr w:type="spellStart"/>
      <w:r>
        <w:rPr>
          <w:sz w:val="16"/>
        </w:rPr>
        <w:t>nonindependent</w:t>
      </w:r>
      <w:proofErr w:type="spellEnd"/>
      <w:r>
        <w:rPr>
          <w:sz w:val="16"/>
        </w:rPr>
        <w:t xml:space="preserve"> hypothesis tests. </w:t>
      </w:r>
      <w:r>
        <w:rPr>
          <w:i/>
          <w:sz w:val="16"/>
        </w:rPr>
        <w:t xml:space="preserve">Psychological Bulletin, 97, </w:t>
      </w:r>
      <w:r>
        <w:rPr>
          <w:sz w:val="16"/>
        </w:rPr>
        <w:t>334–341.</w:t>
      </w:r>
    </w:p>
    <w:p w:rsidR="00157A70" w:rsidRDefault="00316F15">
      <w:pPr>
        <w:spacing w:line="278" w:lineRule="auto"/>
        <w:ind w:left="155" w:right="0" w:hanging="170"/>
      </w:pPr>
      <w:r>
        <w:rPr>
          <w:sz w:val="16"/>
        </w:rPr>
        <w:t xml:space="preserve">Svenson, O., &amp; Benson, L., III. (1993). Framing and time pressure in decision making. In O. Svenson &amp; A. J. Maule (Eds.), </w:t>
      </w:r>
      <w:r>
        <w:rPr>
          <w:i/>
          <w:sz w:val="16"/>
        </w:rPr>
        <w:t xml:space="preserve">Time pressure and stress in human judgment and decision making </w:t>
      </w:r>
      <w:r>
        <w:rPr>
          <w:sz w:val="16"/>
        </w:rPr>
        <w:t>(pp. 133–144). New York: Plenum Press.</w:t>
      </w:r>
    </w:p>
    <w:p w:rsidR="00157A70" w:rsidRDefault="00316F15">
      <w:pPr>
        <w:spacing w:after="3" w:line="266" w:lineRule="auto"/>
        <w:ind w:left="155" w:right="-14" w:hanging="170"/>
        <w:jc w:val="left"/>
      </w:pPr>
      <w:proofErr w:type="spellStart"/>
      <w:r>
        <w:rPr>
          <w:sz w:val="16"/>
        </w:rPr>
        <w:t>Toropov</w:t>
      </w:r>
      <w:proofErr w:type="spellEnd"/>
      <w:r>
        <w:rPr>
          <w:sz w:val="16"/>
        </w:rPr>
        <w:t xml:space="preserve">, B. (1997). </w:t>
      </w:r>
      <w:r>
        <w:rPr>
          <w:i/>
          <w:sz w:val="16"/>
        </w:rPr>
        <w:t xml:space="preserve">The complete idiot’s guide to getting along with difficult people. </w:t>
      </w:r>
      <w:r>
        <w:rPr>
          <w:sz w:val="16"/>
        </w:rPr>
        <w:t>Indianapolis, IN: Alpha Books.</w:t>
      </w:r>
    </w:p>
    <w:p w:rsidR="00157A70" w:rsidRDefault="00316F15">
      <w:pPr>
        <w:spacing w:after="3" w:line="266" w:lineRule="auto"/>
        <w:ind w:left="155" w:right="-14" w:hanging="170"/>
        <w:jc w:val="left"/>
      </w:pPr>
      <w:proofErr w:type="spellStart"/>
      <w:r>
        <w:rPr>
          <w:sz w:val="16"/>
        </w:rPr>
        <w:t>Tullier</w:t>
      </w:r>
      <w:proofErr w:type="spellEnd"/>
      <w:r>
        <w:rPr>
          <w:sz w:val="16"/>
        </w:rPr>
        <w:t xml:space="preserve">, M. (1999). </w:t>
      </w:r>
      <w:r>
        <w:rPr>
          <w:i/>
          <w:sz w:val="16"/>
        </w:rPr>
        <w:t>The complete idiot’s guide to overcoming procrastination</w:t>
      </w:r>
      <w:r>
        <w:rPr>
          <w:sz w:val="16"/>
        </w:rPr>
        <w:t>. Indianapolis, IN: Alpha Books.</w:t>
      </w:r>
    </w:p>
    <w:p w:rsidR="00157A70" w:rsidRDefault="00316F15">
      <w:pPr>
        <w:spacing w:line="278" w:lineRule="auto"/>
        <w:ind w:left="155" w:right="0" w:hanging="170"/>
      </w:pPr>
      <w:r>
        <w:rPr>
          <w:sz w:val="16"/>
        </w:rPr>
        <w:t xml:space="preserve">Tversky, A., &amp; Kahneman, D. (1974, September 27). Judgment under uncertainty: Heuristics and biases. </w:t>
      </w:r>
      <w:r>
        <w:rPr>
          <w:i/>
          <w:sz w:val="16"/>
        </w:rPr>
        <w:t xml:space="preserve">Science, 185, </w:t>
      </w:r>
      <w:r>
        <w:rPr>
          <w:sz w:val="16"/>
        </w:rPr>
        <w:t>1124–1130.</w:t>
      </w:r>
    </w:p>
    <w:p w:rsidR="00157A70" w:rsidRDefault="00316F15">
      <w:pPr>
        <w:spacing w:line="278" w:lineRule="auto"/>
        <w:ind w:left="155" w:right="0" w:hanging="170"/>
      </w:pPr>
      <w:r>
        <w:rPr>
          <w:sz w:val="16"/>
        </w:rPr>
        <w:t xml:space="preserve">Tversky, A., &amp; Kahneman, D. (1981, January 30). The framing of decisions and the psychology of choice. </w:t>
      </w:r>
      <w:r>
        <w:rPr>
          <w:i/>
          <w:sz w:val="16"/>
        </w:rPr>
        <w:t xml:space="preserve">Science, 211, </w:t>
      </w:r>
      <w:r>
        <w:rPr>
          <w:sz w:val="16"/>
        </w:rPr>
        <w:t>453–458.</w:t>
      </w:r>
    </w:p>
    <w:p w:rsidR="00157A70" w:rsidRDefault="00316F15">
      <w:pPr>
        <w:spacing w:line="278" w:lineRule="auto"/>
        <w:ind w:left="155" w:right="0" w:hanging="170"/>
      </w:pPr>
      <w:r>
        <w:rPr>
          <w:sz w:val="16"/>
        </w:rPr>
        <w:t xml:space="preserve">Tversky, A., &amp; Kahneman, D. (1988). Rational choice and the framing of decisions. In D. E. Bell, H. </w:t>
      </w:r>
      <w:proofErr w:type="spellStart"/>
      <w:r>
        <w:rPr>
          <w:sz w:val="16"/>
        </w:rPr>
        <w:t>Raiffa</w:t>
      </w:r>
      <w:proofErr w:type="spellEnd"/>
      <w:r>
        <w:rPr>
          <w:sz w:val="16"/>
        </w:rPr>
        <w:t xml:space="preserve">, &amp; A. Tversky (Eds.), </w:t>
      </w:r>
      <w:r>
        <w:rPr>
          <w:i/>
          <w:sz w:val="16"/>
        </w:rPr>
        <w:t xml:space="preserve">Decision making: Descriptive, normative, and prescriptive interactions </w:t>
      </w:r>
      <w:r>
        <w:rPr>
          <w:sz w:val="16"/>
        </w:rPr>
        <w:t>(pp. 167– 192). New York: Cambridge University Press.</w:t>
      </w:r>
    </w:p>
    <w:p w:rsidR="00157A70" w:rsidRDefault="00316F15">
      <w:pPr>
        <w:spacing w:after="3" w:line="266" w:lineRule="auto"/>
        <w:ind w:left="155" w:right="-14" w:hanging="170"/>
        <w:jc w:val="left"/>
      </w:pPr>
      <w:r>
        <w:rPr>
          <w:sz w:val="16"/>
        </w:rPr>
        <w:t xml:space="preserve">U.S. Census Bureau. (2003). </w:t>
      </w:r>
      <w:r>
        <w:rPr>
          <w:i/>
          <w:sz w:val="16"/>
        </w:rPr>
        <w:t>2000 American Community Survey, Pittsburgh city, Pennsylvania.</w:t>
      </w:r>
    </w:p>
    <w:p w:rsidR="00157A70" w:rsidRDefault="00316F15">
      <w:pPr>
        <w:spacing w:line="278" w:lineRule="auto"/>
        <w:ind w:left="155" w:right="0" w:hanging="170"/>
      </w:pPr>
      <w:r>
        <w:rPr>
          <w:sz w:val="16"/>
        </w:rPr>
        <w:t xml:space="preserve">West, R. F., &amp; Stanovich, K. E. (1997). The domain specificity and generality of overconfidence: Individual differences in performance estimation bias. </w:t>
      </w:r>
      <w:r>
        <w:rPr>
          <w:i/>
          <w:sz w:val="16"/>
        </w:rPr>
        <w:t xml:space="preserve">Psychonomic Bulletin &amp; Review, 4, </w:t>
      </w:r>
      <w:r>
        <w:rPr>
          <w:sz w:val="16"/>
        </w:rPr>
        <w:t>387–392.</w:t>
      </w:r>
    </w:p>
    <w:p w:rsidR="00157A70" w:rsidRDefault="00316F15">
      <w:pPr>
        <w:spacing w:line="278" w:lineRule="auto"/>
        <w:ind w:left="155" w:right="0" w:hanging="170"/>
      </w:pPr>
      <w:r>
        <w:rPr>
          <w:sz w:val="16"/>
        </w:rPr>
        <w:t xml:space="preserve">Willis, S. L. (1991). Cognition and everyday competence. </w:t>
      </w:r>
      <w:r>
        <w:rPr>
          <w:i/>
          <w:sz w:val="16"/>
        </w:rPr>
        <w:t xml:space="preserve">Annual Review of Gerontology and Geriatrics, 11, </w:t>
      </w:r>
      <w:r>
        <w:rPr>
          <w:sz w:val="16"/>
        </w:rPr>
        <w:t>80–109.</w:t>
      </w:r>
    </w:p>
    <w:p w:rsidR="00157A70" w:rsidRDefault="00316F15">
      <w:pPr>
        <w:spacing w:line="278" w:lineRule="auto"/>
        <w:ind w:left="155" w:right="0" w:hanging="170"/>
      </w:pPr>
      <w:r>
        <w:rPr>
          <w:sz w:val="16"/>
        </w:rPr>
        <w:t xml:space="preserve">Wolfe, R. N., &amp; Grosch, J. W. (1990). Personality correlates of confidence in one’s decisions. </w:t>
      </w:r>
      <w:r>
        <w:rPr>
          <w:i/>
          <w:sz w:val="16"/>
        </w:rPr>
        <w:t xml:space="preserve">Journal of Personality, 58, </w:t>
      </w:r>
      <w:r>
        <w:rPr>
          <w:sz w:val="16"/>
        </w:rPr>
        <w:t>515–534.</w:t>
      </w:r>
    </w:p>
    <w:p w:rsidR="00157A70" w:rsidRDefault="00316F15">
      <w:pPr>
        <w:spacing w:line="278" w:lineRule="auto"/>
        <w:ind w:left="-15" w:right="0" w:firstLine="0"/>
      </w:pPr>
      <w:r>
        <w:rPr>
          <w:sz w:val="16"/>
        </w:rPr>
        <w:t xml:space="preserve">Yates, J. F. (1990). </w:t>
      </w:r>
      <w:r>
        <w:rPr>
          <w:i/>
          <w:sz w:val="16"/>
        </w:rPr>
        <w:t>Judgment and decision making</w:t>
      </w:r>
      <w:r>
        <w:rPr>
          <w:sz w:val="16"/>
        </w:rPr>
        <w:t>. Englewood Cliffs, NJ:</w:t>
      </w:r>
    </w:p>
    <w:p w:rsidR="00157A70" w:rsidRDefault="00316F15">
      <w:pPr>
        <w:spacing w:line="278" w:lineRule="auto"/>
        <w:ind w:left="160" w:right="0" w:firstLine="0"/>
      </w:pPr>
      <w:r>
        <w:rPr>
          <w:sz w:val="16"/>
        </w:rPr>
        <w:t>Prentice Hall.</w:t>
      </w:r>
    </w:p>
    <w:p w:rsidR="00157A70" w:rsidRDefault="00157A70">
      <w:pPr>
        <w:sectPr w:rsidR="00157A70">
          <w:type w:val="continuous"/>
          <w:pgSz w:w="11880" w:h="15840"/>
          <w:pgMar w:top="1516" w:right="945" w:bottom="1043" w:left="973" w:header="720" w:footer="720" w:gutter="0"/>
          <w:cols w:num="2" w:space="359"/>
        </w:sectPr>
      </w:pPr>
    </w:p>
    <w:p w:rsidR="00157A70" w:rsidRDefault="00316F15">
      <w:pPr>
        <w:spacing w:after="194" w:line="254" w:lineRule="auto"/>
        <w:ind w:left="10" w:right="2" w:hanging="10"/>
        <w:jc w:val="center"/>
      </w:pPr>
      <w:r>
        <w:rPr>
          <w:sz w:val="20"/>
        </w:rPr>
        <w:lastRenderedPageBreak/>
        <w:t>Appendix A</w:t>
      </w:r>
    </w:p>
    <w:p w:rsidR="00157A70" w:rsidRDefault="00316F15">
      <w:pPr>
        <w:spacing w:after="214" w:line="254" w:lineRule="auto"/>
        <w:ind w:left="10" w:right="2" w:hanging="10"/>
        <w:jc w:val="center"/>
      </w:pPr>
      <w:r>
        <w:rPr>
          <w:sz w:val="20"/>
        </w:rPr>
        <w:t>Sample DMC Items</w:t>
      </w:r>
    </w:p>
    <w:p w:rsidR="00157A70" w:rsidRDefault="00316F15">
      <w:pPr>
        <w:pStyle w:val="1"/>
        <w:ind w:right="2"/>
      </w:pPr>
      <w:r>
        <w:t>Resistance to Framing</w:t>
      </w:r>
    </w:p>
    <w:p w:rsidR="00157A70" w:rsidRDefault="00316F15">
      <w:pPr>
        <w:pStyle w:val="2"/>
        <w:ind w:left="-5"/>
      </w:pPr>
      <w:r>
        <w:t>Part I</w:t>
      </w:r>
    </w:p>
    <w:p w:rsidR="00157A70" w:rsidRDefault="00316F15">
      <w:pPr>
        <w:spacing w:after="174"/>
        <w:ind w:left="-15" w:right="0"/>
      </w:pPr>
      <w:r>
        <w:t>Imagine that recent evidence has shown that a pesticide is threatening the lives of 1,200 endangered animals. Two response options have been suggested:</w:t>
      </w:r>
    </w:p>
    <w:p w:rsidR="00157A70" w:rsidRDefault="00316F15">
      <w:pPr>
        <w:spacing w:after="173"/>
        <w:ind w:left="360" w:right="0" w:firstLine="0"/>
      </w:pPr>
      <w:r>
        <w:t>If Option A is used, 600 animals will be saved for sure.</w:t>
      </w:r>
    </w:p>
    <w:p w:rsidR="00157A70" w:rsidRDefault="00316F15">
      <w:pPr>
        <w:spacing w:after="170" w:line="265" w:lineRule="auto"/>
        <w:ind w:left="10" w:right="77" w:hanging="10"/>
        <w:jc w:val="center"/>
      </w:pPr>
      <w:r>
        <w:t>If Option B is used, there is a 75% chance that 800 animals will be saved and a 25% chance that no animals will be saved.</w:t>
      </w:r>
    </w:p>
    <w:p w:rsidR="00157A70" w:rsidRDefault="00316F15">
      <w:pPr>
        <w:spacing w:after="254"/>
        <w:ind w:left="-15" w:right="0" w:firstLine="0"/>
      </w:pPr>
      <w:r>
        <w:t>Which option do you recommend to use?</w:t>
      </w:r>
    </w:p>
    <w:p w:rsidR="00157A70" w:rsidRDefault="00316F15">
      <w:pPr>
        <w:tabs>
          <w:tab w:val="center" w:pos="1245"/>
          <w:tab w:val="center" w:pos="1695"/>
          <w:tab w:val="center" w:pos="2145"/>
          <w:tab w:val="center" w:pos="2595"/>
          <w:tab w:val="center" w:pos="3045"/>
          <w:tab w:val="center" w:pos="3495"/>
        </w:tabs>
        <w:spacing w:after="68"/>
        <w:ind w:right="0" w:firstLine="0"/>
        <w:jc w:val="left"/>
      </w:pPr>
      <w:r>
        <w:rPr>
          <w:rFonts w:ascii="Calibri" w:eastAsia="Calibri" w:hAnsi="Calibri" w:cs="Calibri"/>
          <w:color w:val="000000"/>
          <w:sz w:val="22"/>
        </w:rPr>
        <w:tab/>
      </w:r>
      <w:r>
        <w:t>1</w:t>
      </w:r>
      <w:r>
        <w:tab/>
        <w:t>2</w:t>
      </w:r>
      <w:r>
        <w:tab/>
        <w:t>3</w:t>
      </w:r>
      <w:r>
        <w:tab/>
        <w:t>4</w:t>
      </w:r>
      <w:r>
        <w:tab/>
        <w:t>5</w:t>
      </w:r>
      <w:r>
        <w:tab/>
        <w:t>6</w:t>
      </w:r>
    </w:p>
    <w:tbl>
      <w:tblPr>
        <w:tblStyle w:val="TableGrid"/>
        <w:tblW w:w="3680" w:type="dxa"/>
        <w:tblInd w:w="600" w:type="dxa"/>
        <w:tblLook w:val="04A0" w:firstRow="1" w:lastRow="0" w:firstColumn="1" w:lastColumn="0" w:noHBand="0" w:noVBand="1"/>
      </w:tblPr>
      <w:tblGrid>
        <w:gridCol w:w="2400"/>
        <w:gridCol w:w="1280"/>
      </w:tblGrid>
      <w:tr w:rsidR="00157A70">
        <w:trPr>
          <w:trHeight w:val="312"/>
        </w:trPr>
        <w:tc>
          <w:tcPr>
            <w:tcW w:w="2400" w:type="dxa"/>
            <w:tcBorders>
              <w:top w:val="nil"/>
              <w:left w:val="nil"/>
              <w:bottom w:val="nil"/>
              <w:right w:val="nil"/>
            </w:tcBorders>
          </w:tcPr>
          <w:p w:rsidR="00157A70" w:rsidRDefault="00316F15">
            <w:pPr>
              <w:spacing w:after="0" w:line="259" w:lineRule="auto"/>
              <w:ind w:right="0" w:firstLine="0"/>
              <w:jc w:val="left"/>
            </w:pPr>
            <w:r>
              <w:t>Definitely would</w:t>
            </w:r>
          </w:p>
        </w:tc>
        <w:tc>
          <w:tcPr>
            <w:tcW w:w="1280" w:type="dxa"/>
            <w:tcBorders>
              <w:top w:val="nil"/>
              <w:left w:val="nil"/>
              <w:bottom w:val="nil"/>
              <w:right w:val="nil"/>
            </w:tcBorders>
          </w:tcPr>
          <w:p w:rsidR="00157A70" w:rsidRDefault="00316F15">
            <w:pPr>
              <w:spacing w:after="0" w:line="259" w:lineRule="auto"/>
              <w:ind w:left="40" w:right="0" w:firstLine="0"/>
            </w:pPr>
            <w:r>
              <w:t>Definitely would</w:t>
            </w:r>
          </w:p>
        </w:tc>
      </w:tr>
      <w:tr w:rsidR="00157A70">
        <w:trPr>
          <w:trHeight w:val="312"/>
        </w:trPr>
        <w:tc>
          <w:tcPr>
            <w:tcW w:w="2400" w:type="dxa"/>
            <w:tcBorders>
              <w:top w:val="nil"/>
              <w:left w:val="nil"/>
              <w:bottom w:val="nil"/>
              <w:right w:val="nil"/>
            </w:tcBorders>
            <w:vAlign w:val="bottom"/>
          </w:tcPr>
          <w:p w:rsidR="00157A70" w:rsidRDefault="00316F15">
            <w:pPr>
              <w:spacing w:after="0" w:line="259" w:lineRule="auto"/>
              <w:ind w:left="240" w:right="0" w:firstLine="0"/>
              <w:jc w:val="left"/>
            </w:pPr>
            <w:r>
              <w:t>choose A</w:t>
            </w:r>
          </w:p>
        </w:tc>
        <w:tc>
          <w:tcPr>
            <w:tcW w:w="1280" w:type="dxa"/>
            <w:tcBorders>
              <w:top w:val="nil"/>
              <w:left w:val="nil"/>
              <w:bottom w:val="nil"/>
              <w:right w:val="nil"/>
            </w:tcBorders>
            <w:vAlign w:val="bottom"/>
          </w:tcPr>
          <w:p w:rsidR="00157A70" w:rsidRDefault="00316F15">
            <w:pPr>
              <w:spacing w:after="0" w:line="259" w:lineRule="auto"/>
              <w:ind w:left="60" w:right="0" w:firstLine="0"/>
              <w:jc w:val="center"/>
            </w:pPr>
            <w:r>
              <w:t>choose B</w:t>
            </w:r>
          </w:p>
        </w:tc>
      </w:tr>
    </w:tbl>
    <w:p w:rsidR="00157A70" w:rsidRDefault="00316F15">
      <w:pPr>
        <w:pStyle w:val="2"/>
        <w:ind w:left="-5"/>
      </w:pPr>
      <w:r>
        <w:t>Part II</w:t>
      </w:r>
    </w:p>
    <w:p w:rsidR="00157A70" w:rsidRDefault="00316F15">
      <w:pPr>
        <w:spacing w:after="174"/>
        <w:ind w:left="-15" w:right="0"/>
      </w:pPr>
      <w:r>
        <w:t>Imagine that recent evidence has shown that a pesticide is threatening the lives of 1,200 endangered animals. Two response options have been suggested:</w:t>
      </w:r>
    </w:p>
    <w:p w:rsidR="00157A70" w:rsidRDefault="00316F15">
      <w:pPr>
        <w:spacing w:after="173"/>
        <w:ind w:left="360" w:right="0" w:firstLine="0"/>
      </w:pPr>
      <w:r>
        <w:t>If Option A is used, 600 animals will be lost for sure.</w:t>
      </w:r>
    </w:p>
    <w:p w:rsidR="00157A70" w:rsidRDefault="00316F15">
      <w:pPr>
        <w:spacing w:after="173"/>
        <w:ind w:left="360" w:right="0" w:firstLine="0"/>
      </w:pPr>
      <w:r>
        <w:t>If Option B is used, there is a 75% chance that 400 animals will be lost and a 25% chance that 1,200 animals will be lost.</w:t>
      </w:r>
    </w:p>
    <w:p w:rsidR="00157A70" w:rsidRDefault="00316F15">
      <w:pPr>
        <w:spacing w:after="134"/>
        <w:ind w:left="-15" w:right="0" w:firstLine="0"/>
      </w:pPr>
      <w:r>
        <w:t>Which option do you recommend to use?</w:t>
      </w:r>
    </w:p>
    <w:p w:rsidR="00157A70" w:rsidRDefault="00316F15">
      <w:pPr>
        <w:tabs>
          <w:tab w:val="center" w:pos="1245"/>
          <w:tab w:val="center" w:pos="1695"/>
          <w:tab w:val="center" w:pos="2145"/>
          <w:tab w:val="center" w:pos="2595"/>
          <w:tab w:val="center" w:pos="3045"/>
          <w:tab w:val="center" w:pos="3495"/>
        </w:tabs>
        <w:ind w:right="0" w:firstLine="0"/>
        <w:jc w:val="left"/>
      </w:pPr>
      <w:r>
        <w:rPr>
          <w:rFonts w:ascii="Calibri" w:eastAsia="Calibri" w:hAnsi="Calibri" w:cs="Calibri"/>
          <w:color w:val="000000"/>
          <w:sz w:val="22"/>
        </w:rPr>
        <w:tab/>
      </w:r>
      <w:r>
        <w:t>1</w:t>
      </w:r>
      <w:r>
        <w:tab/>
        <w:t>2</w:t>
      </w:r>
      <w:r>
        <w:tab/>
        <w:t>3</w:t>
      </w:r>
      <w:r>
        <w:tab/>
        <w:t>4</w:t>
      </w:r>
      <w:r>
        <w:tab/>
        <w:t>5</w:t>
      </w:r>
      <w:r>
        <w:tab/>
        <w:t>6</w:t>
      </w:r>
    </w:p>
    <w:tbl>
      <w:tblPr>
        <w:tblStyle w:val="TableGrid"/>
        <w:tblW w:w="3680" w:type="dxa"/>
        <w:tblInd w:w="600" w:type="dxa"/>
        <w:tblLook w:val="04A0" w:firstRow="1" w:lastRow="0" w:firstColumn="1" w:lastColumn="0" w:noHBand="0" w:noVBand="1"/>
      </w:tblPr>
      <w:tblGrid>
        <w:gridCol w:w="2400"/>
        <w:gridCol w:w="1280"/>
      </w:tblGrid>
      <w:tr w:rsidR="00157A70">
        <w:trPr>
          <w:trHeight w:val="312"/>
        </w:trPr>
        <w:tc>
          <w:tcPr>
            <w:tcW w:w="2400" w:type="dxa"/>
            <w:tcBorders>
              <w:top w:val="nil"/>
              <w:left w:val="nil"/>
              <w:bottom w:val="nil"/>
              <w:right w:val="nil"/>
            </w:tcBorders>
          </w:tcPr>
          <w:p w:rsidR="00157A70" w:rsidRDefault="00316F15">
            <w:pPr>
              <w:spacing w:after="0" w:line="259" w:lineRule="auto"/>
              <w:ind w:right="0" w:firstLine="0"/>
              <w:jc w:val="left"/>
            </w:pPr>
            <w:r>
              <w:t>Definitely would</w:t>
            </w:r>
          </w:p>
        </w:tc>
        <w:tc>
          <w:tcPr>
            <w:tcW w:w="1280" w:type="dxa"/>
            <w:tcBorders>
              <w:top w:val="nil"/>
              <w:left w:val="nil"/>
              <w:bottom w:val="nil"/>
              <w:right w:val="nil"/>
            </w:tcBorders>
          </w:tcPr>
          <w:p w:rsidR="00157A70" w:rsidRDefault="00316F15">
            <w:pPr>
              <w:spacing w:after="0" w:line="259" w:lineRule="auto"/>
              <w:ind w:left="40" w:right="0" w:firstLine="0"/>
            </w:pPr>
            <w:r>
              <w:t>Definitely would</w:t>
            </w:r>
          </w:p>
        </w:tc>
      </w:tr>
      <w:tr w:rsidR="00157A70">
        <w:trPr>
          <w:trHeight w:val="312"/>
        </w:trPr>
        <w:tc>
          <w:tcPr>
            <w:tcW w:w="2400" w:type="dxa"/>
            <w:tcBorders>
              <w:top w:val="nil"/>
              <w:left w:val="nil"/>
              <w:bottom w:val="nil"/>
              <w:right w:val="nil"/>
            </w:tcBorders>
            <w:vAlign w:val="bottom"/>
          </w:tcPr>
          <w:p w:rsidR="00157A70" w:rsidRDefault="00316F15">
            <w:pPr>
              <w:spacing w:after="0" w:line="259" w:lineRule="auto"/>
              <w:ind w:left="240" w:right="0" w:firstLine="0"/>
              <w:jc w:val="left"/>
            </w:pPr>
            <w:r>
              <w:t>choose A</w:t>
            </w:r>
          </w:p>
        </w:tc>
        <w:tc>
          <w:tcPr>
            <w:tcW w:w="1280" w:type="dxa"/>
            <w:tcBorders>
              <w:top w:val="nil"/>
              <w:left w:val="nil"/>
              <w:bottom w:val="nil"/>
              <w:right w:val="nil"/>
            </w:tcBorders>
            <w:vAlign w:val="bottom"/>
          </w:tcPr>
          <w:p w:rsidR="00157A70" w:rsidRDefault="00316F15">
            <w:pPr>
              <w:spacing w:after="0" w:line="259" w:lineRule="auto"/>
              <w:ind w:right="20" w:firstLine="0"/>
              <w:jc w:val="center"/>
            </w:pPr>
            <w:r>
              <w:t>choose B</w:t>
            </w:r>
          </w:p>
        </w:tc>
      </w:tr>
    </w:tbl>
    <w:p w:rsidR="00157A70" w:rsidRDefault="00316F15">
      <w:pPr>
        <w:pStyle w:val="1"/>
        <w:ind w:right="2"/>
      </w:pPr>
      <w:r>
        <w:t>Recognizing Social Norms</w:t>
      </w:r>
    </w:p>
    <w:p w:rsidR="00157A70" w:rsidRDefault="00316F15">
      <w:pPr>
        <w:pStyle w:val="2"/>
        <w:ind w:left="-5"/>
      </w:pPr>
      <w:r>
        <w:t>Part I</w:t>
      </w:r>
    </w:p>
    <w:p w:rsidR="00157A70" w:rsidRDefault="00316F15">
      <w:pPr>
        <w:spacing w:after="233"/>
        <w:ind w:left="180" w:right="0" w:firstLine="0"/>
      </w:pPr>
      <w:r>
        <w:t xml:space="preserve">Do you think it is sometimes </w:t>
      </w:r>
      <w:proofErr w:type="gramStart"/>
      <w:r>
        <w:t>OK . . .</w:t>
      </w:r>
      <w:proofErr w:type="gramEnd"/>
    </w:p>
    <w:p w:rsidR="00157A70" w:rsidRDefault="00316F15">
      <w:pPr>
        <w:spacing w:after="194"/>
        <w:ind w:left="1320" w:right="0" w:firstLine="0"/>
      </w:pPr>
      <w:r>
        <w:t>. . . to steal under certain circumstances?</w:t>
      </w:r>
    </w:p>
    <w:p w:rsidR="00157A70" w:rsidRDefault="00316F15">
      <w:pPr>
        <w:tabs>
          <w:tab w:val="center" w:pos="2060"/>
          <w:tab w:val="center" w:pos="3150"/>
        </w:tabs>
        <w:spacing w:after="258"/>
        <w:ind w:right="0" w:firstLine="0"/>
        <w:jc w:val="left"/>
      </w:pPr>
      <w:r>
        <w:rPr>
          <w:rFonts w:ascii="Calibri" w:eastAsia="Calibri" w:hAnsi="Calibri" w:cs="Calibri"/>
          <w:color w:val="000000"/>
          <w:sz w:val="22"/>
        </w:rPr>
        <w:tab/>
      </w:r>
      <w:r>
        <w:t>Yes</w:t>
      </w:r>
      <w:r>
        <w:tab/>
        <w:t>No</w:t>
      </w:r>
    </w:p>
    <w:p w:rsidR="00157A70" w:rsidRDefault="00316F15">
      <w:pPr>
        <w:pStyle w:val="2"/>
        <w:ind w:left="-5"/>
      </w:pPr>
      <w:r>
        <w:t>Part II</w:t>
      </w:r>
    </w:p>
    <w:p w:rsidR="00157A70" w:rsidRDefault="00316F15">
      <w:pPr>
        <w:spacing w:after="113"/>
        <w:ind w:left="180" w:right="0" w:firstLine="0"/>
      </w:pPr>
      <w:r>
        <w:t>Out of 100 people your age, how many would say it is sometimes OK . . .</w:t>
      </w:r>
    </w:p>
    <w:p w:rsidR="00157A70" w:rsidRDefault="00316F15">
      <w:pPr>
        <w:spacing w:after="254"/>
        <w:ind w:left="960" w:right="0" w:firstLine="0"/>
      </w:pPr>
      <w:r>
        <w:t>. . . to steal under certain circumstances?</w:t>
      </w:r>
    </w:p>
    <w:p w:rsidR="00157A70" w:rsidRDefault="00316F15">
      <w:pPr>
        <w:tabs>
          <w:tab w:val="center" w:pos="285"/>
          <w:tab w:val="center" w:pos="780"/>
          <w:tab w:val="center" w:pos="1320"/>
          <w:tab w:val="center" w:pos="1860"/>
          <w:tab w:val="center" w:pos="2400"/>
          <w:tab w:val="center" w:pos="2940"/>
          <w:tab w:val="center" w:pos="3480"/>
          <w:tab w:val="center" w:pos="4020"/>
          <w:tab w:val="center" w:pos="4560"/>
          <w:tab w:val="center" w:pos="5100"/>
          <w:tab w:val="center" w:pos="5685"/>
        </w:tabs>
        <w:spacing w:after="259"/>
        <w:ind w:right="0" w:firstLine="0"/>
        <w:jc w:val="left"/>
      </w:pPr>
      <w:r>
        <w:rPr>
          <w:rFonts w:ascii="Calibri" w:eastAsia="Calibri" w:hAnsi="Calibri" w:cs="Calibri"/>
          <w:color w:val="000000"/>
          <w:sz w:val="22"/>
        </w:rPr>
        <w:tab/>
      </w:r>
      <w:r>
        <w:t>0</w:t>
      </w:r>
      <w:r>
        <w:tab/>
        <w:t>10</w:t>
      </w:r>
      <w:r>
        <w:tab/>
        <w:t>20</w:t>
      </w:r>
      <w:r>
        <w:tab/>
        <w:t>30</w:t>
      </w:r>
      <w:r>
        <w:tab/>
        <w:t>40</w:t>
      </w:r>
      <w:r>
        <w:tab/>
        <w:t>50</w:t>
      </w:r>
      <w:r>
        <w:tab/>
        <w:t>60</w:t>
      </w:r>
      <w:r>
        <w:tab/>
        <w:t>70</w:t>
      </w:r>
      <w:r>
        <w:tab/>
        <w:t>80</w:t>
      </w:r>
      <w:r>
        <w:tab/>
        <w:t>90</w:t>
      </w:r>
      <w:r>
        <w:tab/>
        <w:t>100</w:t>
      </w:r>
    </w:p>
    <w:p w:rsidR="00157A70" w:rsidRDefault="00316F15">
      <w:pPr>
        <w:tabs>
          <w:tab w:val="center" w:pos="5685"/>
        </w:tabs>
        <w:spacing w:after="598"/>
        <w:ind w:left="-15" w:right="0" w:firstLine="0"/>
        <w:jc w:val="left"/>
      </w:pPr>
      <w:r>
        <w:t>No one</w:t>
      </w:r>
      <w:r>
        <w:tab/>
        <w:t>Everyone</w:t>
      </w:r>
    </w:p>
    <w:p w:rsidR="00157A70" w:rsidRDefault="00316F15">
      <w:pPr>
        <w:spacing w:after="128" w:line="259" w:lineRule="auto"/>
        <w:ind w:left="10" w:right="2" w:hanging="10"/>
        <w:jc w:val="center"/>
      </w:pPr>
      <w:r>
        <w:t>(</w:t>
      </w:r>
      <w:r>
        <w:rPr>
          <w:i/>
        </w:rPr>
        <w:t>Appendixes continue</w:t>
      </w:r>
      <w:r>
        <w:t>)</w:t>
      </w:r>
    </w:p>
    <w:p w:rsidR="00157A70" w:rsidRDefault="00316F15">
      <w:pPr>
        <w:pStyle w:val="2"/>
        <w:spacing w:after="205"/>
        <w:ind w:left="-5"/>
      </w:pPr>
      <w:r>
        <w:lastRenderedPageBreak/>
        <w:t>Under/overconfidence</w:t>
      </w:r>
    </w:p>
    <w:p w:rsidR="00157A70" w:rsidRDefault="00316F15">
      <w:pPr>
        <w:spacing w:after="233"/>
        <w:ind w:left="180" w:right="0" w:firstLine="0"/>
      </w:pPr>
      <w:r>
        <w:t>Alcohol causes dehydration.</w:t>
      </w:r>
    </w:p>
    <w:p w:rsidR="00157A70" w:rsidRDefault="00316F15">
      <w:pPr>
        <w:spacing w:after="254"/>
        <w:ind w:left="180" w:right="0" w:firstLine="0"/>
      </w:pPr>
      <w:r>
        <w:t>This statement is [True/False].</w:t>
      </w:r>
    </w:p>
    <w:p w:rsidR="00157A70" w:rsidRDefault="00316F15">
      <w:pPr>
        <w:spacing w:line="559" w:lineRule="auto"/>
        <w:ind w:left="900" w:right="4613" w:firstLine="300"/>
      </w:pPr>
      <w:r>
        <w:t>50%</w:t>
      </w:r>
      <w:r>
        <w:tab/>
        <w:t>60%</w:t>
      </w:r>
      <w:r>
        <w:tab/>
        <w:t>70%</w:t>
      </w:r>
      <w:r>
        <w:tab/>
        <w:t>80%</w:t>
      </w:r>
      <w:r>
        <w:tab/>
        <w:t>90%</w:t>
      </w:r>
      <w:r>
        <w:tab/>
        <w:t>100% just guessing</w:t>
      </w:r>
      <w:r>
        <w:tab/>
        <w:t>absolutely sure</w:t>
      </w:r>
    </w:p>
    <w:p w:rsidR="00157A70" w:rsidRDefault="00316F15">
      <w:pPr>
        <w:pStyle w:val="2"/>
        <w:spacing w:after="315"/>
        <w:ind w:left="-5"/>
      </w:pPr>
      <w:r>
        <w:t>Applying Decision Rules</w:t>
      </w:r>
    </w:p>
    <w:p w:rsidR="00157A70" w:rsidRDefault="00316F15">
      <w:pPr>
        <w:spacing w:after="401" w:line="259" w:lineRule="auto"/>
        <w:ind w:left="810" w:right="0" w:firstLine="0"/>
        <w:jc w:val="center"/>
      </w:pPr>
      <w:r>
        <w:rPr>
          <w:sz w:val="14"/>
        </w:rPr>
        <w:t>Features</w:t>
      </w:r>
    </w:p>
    <w:tbl>
      <w:tblPr>
        <w:tblStyle w:val="TableGrid"/>
        <w:tblpPr w:vertAnchor="text" w:tblpX="2429" w:tblpY="-377"/>
        <w:tblOverlap w:val="never"/>
        <w:tblW w:w="5546" w:type="dxa"/>
        <w:tblInd w:w="0" w:type="dxa"/>
        <w:tblCellMar>
          <w:top w:w="36" w:type="dxa"/>
          <w:right w:w="100" w:type="dxa"/>
        </w:tblCellMar>
        <w:tblLook w:val="04A0" w:firstRow="1" w:lastRow="0" w:firstColumn="1" w:lastColumn="0" w:noHBand="0" w:noVBand="1"/>
      </w:tblPr>
      <w:tblGrid>
        <w:gridCol w:w="369"/>
        <w:gridCol w:w="1162"/>
        <w:gridCol w:w="1181"/>
        <w:gridCol w:w="1278"/>
        <w:gridCol w:w="1107"/>
        <w:gridCol w:w="449"/>
      </w:tblGrid>
      <w:tr w:rsidR="00157A70">
        <w:trPr>
          <w:trHeight w:val="342"/>
        </w:trPr>
        <w:tc>
          <w:tcPr>
            <w:tcW w:w="368" w:type="dxa"/>
            <w:tcBorders>
              <w:top w:val="nil"/>
              <w:left w:val="nil"/>
              <w:bottom w:val="single" w:sz="3" w:space="0" w:color="181717"/>
              <w:right w:val="single" w:sz="4" w:space="0" w:color="181717"/>
            </w:tcBorders>
          </w:tcPr>
          <w:p w:rsidR="00157A70" w:rsidRDefault="00157A70">
            <w:pPr>
              <w:spacing w:after="160" w:line="259" w:lineRule="auto"/>
              <w:ind w:right="0" w:firstLine="0"/>
              <w:jc w:val="left"/>
            </w:pPr>
          </w:p>
        </w:tc>
        <w:tc>
          <w:tcPr>
            <w:tcW w:w="1162" w:type="dxa"/>
            <w:tcBorders>
              <w:top w:val="single" w:sz="4" w:space="0" w:color="181717"/>
              <w:left w:val="single" w:sz="4" w:space="0" w:color="181717"/>
              <w:bottom w:val="single" w:sz="3" w:space="0" w:color="181717"/>
              <w:right w:val="nil"/>
            </w:tcBorders>
          </w:tcPr>
          <w:p w:rsidR="00157A70" w:rsidRDefault="00316F15">
            <w:pPr>
              <w:spacing w:after="0" w:line="259" w:lineRule="auto"/>
              <w:ind w:left="83" w:right="0" w:firstLine="0"/>
              <w:jc w:val="center"/>
            </w:pPr>
            <w:r>
              <w:rPr>
                <w:sz w:val="14"/>
              </w:rPr>
              <w:t xml:space="preserve">Picture Quality </w:t>
            </w:r>
          </w:p>
        </w:tc>
        <w:tc>
          <w:tcPr>
            <w:tcW w:w="1181" w:type="dxa"/>
            <w:tcBorders>
              <w:top w:val="single" w:sz="4" w:space="0" w:color="181717"/>
              <w:left w:val="nil"/>
              <w:bottom w:val="single" w:sz="3" w:space="0" w:color="181717"/>
              <w:right w:val="nil"/>
            </w:tcBorders>
          </w:tcPr>
          <w:p w:rsidR="00157A70" w:rsidRDefault="00316F15">
            <w:pPr>
              <w:spacing w:after="0" w:line="259" w:lineRule="auto"/>
              <w:ind w:left="109" w:right="0" w:firstLine="0"/>
              <w:jc w:val="left"/>
            </w:pPr>
            <w:r>
              <w:rPr>
                <w:sz w:val="14"/>
              </w:rPr>
              <w:t xml:space="preserve">Sound Quality </w:t>
            </w:r>
          </w:p>
        </w:tc>
        <w:tc>
          <w:tcPr>
            <w:tcW w:w="1278" w:type="dxa"/>
            <w:tcBorders>
              <w:top w:val="single" w:sz="4" w:space="0" w:color="181717"/>
              <w:left w:val="nil"/>
              <w:bottom w:val="single" w:sz="3" w:space="0" w:color="181717"/>
              <w:right w:val="nil"/>
            </w:tcBorders>
          </w:tcPr>
          <w:p w:rsidR="00157A70" w:rsidRDefault="00316F15">
            <w:pPr>
              <w:spacing w:after="0" w:line="259" w:lineRule="auto"/>
              <w:ind w:left="262" w:right="0" w:hanging="168"/>
              <w:jc w:val="left"/>
            </w:pPr>
            <w:r>
              <w:rPr>
                <w:sz w:val="14"/>
              </w:rPr>
              <w:t xml:space="preserve">Programming Options </w:t>
            </w:r>
          </w:p>
        </w:tc>
        <w:tc>
          <w:tcPr>
            <w:tcW w:w="1107" w:type="dxa"/>
            <w:tcBorders>
              <w:top w:val="single" w:sz="4" w:space="0" w:color="181717"/>
              <w:left w:val="nil"/>
              <w:bottom w:val="single" w:sz="3" w:space="0" w:color="181717"/>
              <w:right w:val="nil"/>
            </w:tcBorders>
          </w:tcPr>
          <w:p w:rsidR="00157A70" w:rsidRDefault="00316F15">
            <w:pPr>
              <w:spacing w:after="0" w:line="259" w:lineRule="auto"/>
              <w:ind w:left="207" w:right="0" w:hanging="207"/>
              <w:jc w:val="left"/>
            </w:pPr>
            <w:r>
              <w:rPr>
                <w:sz w:val="14"/>
              </w:rPr>
              <w:t xml:space="preserve">Reliability of Brand </w:t>
            </w:r>
          </w:p>
        </w:tc>
        <w:tc>
          <w:tcPr>
            <w:tcW w:w="449" w:type="dxa"/>
            <w:tcBorders>
              <w:top w:val="single" w:sz="4" w:space="0" w:color="181717"/>
              <w:left w:val="nil"/>
              <w:bottom w:val="single" w:sz="3" w:space="0" w:color="181717"/>
              <w:right w:val="single" w:sz="4" w:space="0" w:color="181717"/>
            </w:tcBorders>
          </w:tcPr>
          <w:p w:rsidR="00157A70" w:rsidRDefault="00316F15">
            <w:pPr>
              <w:spacing w:after="0" w:line="259" w:lineRule="auto"/>
              <w:ind w:right="0" w:firstLine="0"/>
              <w:jc w:val="left"/>
            </w:pPr>
            <w:r>
              <w:rPr>
                <w:sz w:val="14"/>
              </w:rPr>
              <w:t>Price</w:t>
            </w:r>
          </w:p>
        </w:tc>
      </w:tr>
      <w:tr w:rsidR="00157A70">
        <w:trPr>
          <w:trHeight w:val="261"/>
        </w:trPr>
        <w:tc>
          <w:tcPr>
            <w:tcW w:w="368" w:type="dxa"/>
            <w:tcBorders>
              <w:top w:val="single" w:sz="3" w:space="0" w:color="181717"/>
              <w:left w:val="single" w:sz="4" w:space="0" w:color="181717"/>
              <w:bottom w:val="nil"/>
              <w:right w:val="single" w:sz="4" w:space="0" w:color="181717"/>
            </w:tcBorders>
          </w:tcPr>
          <w:p w:rsidR="00157A70" w:rsidRDefault="00316F15">
            <w:pPr>
              <w:spacing w:after="0" w:line="259" w:lineRule="auto"/>
              <w:ind w:left="132" w:right="0" w:firstLine="0"/>
              <w:jc w:val="left"/>
            </w:pPr>
            <w:r>
              <w:rPr>
                <w:sz w:val="14"/>
              </w:rPr>
              <w:t>A</w:t>
            </w:r>
          </w:p>
        </w:tc>
        <w:tc>
          <w:tcPr>
            <w:tcW w:w="1162" w:type="dxa"/>
            <w:tcBorders>
              <w:top w:val="single" w:sz="3" w:space="0" w:color="181717"/>
              <w:left w:val="single" w:sz="4" w:space="0" w:color="181717"/>
              <w:bottom w:val="nil"/>
              <w:right w:val="nil"/>
            </w:tcBorders>
          </w:tcPr>
          <w:p w:rsidR="00157A70" w:rsidRDefault="00316F15">
            <w:pPr>
              <w:spacing w:after="0" w:line="259" w:lineRule="auto"/>
              <w:ind w:left="82" w:right="0" w:firstLine="0"/>
              <w:jc w:val="center"/>
            </w:pPr>
            <w:r>
              <w:rPr>
                <w:sz w:val="14"/>
              </w:rPr>
              <w:t>3</w:t>
            </w:r>
          </w:p>
        </w:tc>
        <w:tc>
          <w:tcPr>
            <w:tcW w:w="1181" w:type="dxa"/>
            <w:tcBorders>
              <w:top w:val="single" w:sz="3" w:space="0" w:color="181717"/>
              <w:left w:val="nil"/>
              <w:bottom w:val="nil"/>
              <w:right w:val="nil"/>
            </w:tcBorders>
          </w:tcPr>
          <w:p w:rsidR="00157A70" w:rsidRDefault="00316F15">
            <w:pPr>
              <w:spacing w:after="0" w:line="259" w:lineRule="auto"/>
              <w:ind w:right="25" w:firstLine="0"/>
              <w:jc w:val="center"/>
            </w:pPr>
            <w:r>
              <w:rPr>
                <w:sz w:val="14"/>
              </w:rPr>
              <w:t>5</w:t>
            </w:r>
          </w:p>
        </w:tc>
        <w:tc>
          <w:tcPr>
            <w:tcW w:w="1278" w:type="dxa"/>
            <w:tcBorders>
              <w:top w:val="single" w:sz="3" w:space="0" w:color="181717"/>
              <w:left w:val="nil"/>
              <w:bottom w:val="nil"/>
              <w:right w:val="nil"/>
            </w:tcBorders>
          </w:tcPr>
          <w:p w:rsidR="00157A70" w:rsidRDefault="00316F15">
            <w:pPr>
              <w:spacing w:after="0" w:line="259" w:lineRule="auto"/>
              <w:ind w:left="455" w:right="0" w:firstLine="0"/>
              <w:jc w:val="left"/>
            </w:pPr>
            <w:r>
              <w:rPr>
                <w:sz w:val="14"/>
              </w:rPr>
              <w:t>5</w:t>
            </w:r>
          </w:p>
        </w:tc>
        <w:tc>
          <w:tcPr>
            <w:tcW w:w="1107" w:type="dxa"/>
            <w:tcBorders>
              <w:top w:val="single" w:sz="3" w:space="0" w:color="181717"/>
              <w:left w:val="nil"/>
              <w:bottom w:val="nil"/>
              <w:right w:val="nil"/>
            </w:tcBorders>
          </w:tcPr>
          <w:p w:rsidR="00157A70" w:rsidRDefault="00316F15">
            <w:pPr>
              <w:spacing w:after="0" w:line="259" w:lineRule="auto"/>
              <w:ind w:left="348" w:right="0" w:firstLine="0"/>
              <w:jc w:val="left"/>
            </w:pPr>
            <w:r>
              <w:rPr>
                <w:sz w:val="14"/>
              </w:rPr>
              <w:t>1</w:t>
            </w:r>
          </w:p>
        </w:tc>
        <w:tc>
          <w:tcPr>
            <w:tcW w:w="449" w:type="dxa"/>
            <w:tcBorders>
              <w:top w:val="single" w:sz="3" w:space="0" w:color="181717"/>
              <w:left w:val="nil"/>
              <w:bottom w:val="nil"/>
              <w:right w:val="single" w:sz="4" w:space="0" w:color="181717"/>
            </w:tcBorders>
          </w:tcPr>
          <w:p w:rsidR="00157A70" w:rsidRDefault="00316F15">
            <w:pPr>
              <w:spacing w:after="0" w:line="259" w:lineRule="auto"/>
              <w:ind w:left="4" w:right="0" w:firstLine="0"/>
              <w:jc w:val="left"/>
            </w:pPr>
            <w:r>
              <w:rPr>
                <w:sz w:val="14"/>
              </w:rPr>
              <w:t xml:space="preserve">$369 </w:t>
            </w:r>
          </w:p>
        </w:tc>
      </w:tr>
      <w:tr w:rsidR="00157A70">
        <w:trPr>
          <w:trHeight w:val="318"/>
        </w:trPr>
        <w:tc>
          <w:tcPr>
            <w:tcW w:w="368" w:type="dxa"/>
            <w:tcBorders>
              <w:top w:val="nil"/>
              <w:left w:val="single" w:sz="4" w:space="0" w:color="181717"/>
              <w:bottom w:val="nil"/>
              <w:right w:val="single" w:sz="4" w:space="0" w:color="181717"/>
            </w:tcBorders>
          </w:tcPr>
          <w:p w:rsidR="00157A70" w:rsidRDefault="00316F15">
            <w:pPr>
              <w:spacing w:after="0" w:line="259" w:lineRule="auto"/>
              <w:ind w:left="100" w:right="0" w:firstLine="0"/>
              <w:jc w:val="center"/>
            </w:pPr>
            <w:r>
              <w:rPr>
                <w:sz w:val="14"/>
              </w:rPr>
              <w:t xml:space="preserve">B </w:t>
            </w:r>
          </w:p>
        </w:tc>
        <w:tc>
          <w:tcPr>
            <w:tcW w:w="1162" w:type="dxa"/>
            <w:tcBorders>
              <w:top w:val="nil"/>
              <w:left w:val="single" w:sz="4" w:space="0" w:color="181717"/>
              <w:bottom w:val="nil"/>
              <w:right w:val="nil"/>
            </w:tcBorders>
          </w:tcPr>
          <w:p w:rsidR="00157A70" w:rsidRDefault="00316F15">
            <w:pPr>
              <w:spacing w:after="0" w:line="259" w:lineRule="auto"/>
              <w:ind w:left="82" w:right="0" w:firstLine="0"/>
              <w:jc w:val="center"/>
            </w:pPr>
            <w:r>
              <w:rPr>
                <w:sz w:val="14"/>
              </w:rPr>
              <w:t>1</w:t>
            </w:r>
          </w:p>
        </w:tc>
        <w:tc>
          <w:tcPr>
            <w:tcW w:w="1181" w:type="dxa"/>
            <w:tcBorders>
              <w:top w:val="nil"/>
              <w:left w:val="nil"/>
              <w:bottom w:val="nil"/>
              <w:right w:val="nil"/>
            </w:tcBorders>
          </w:tcPr>
          <w:p w:rsidR="00157A70" w:rsidRDefault="00316F15">
            <w:pPr>
              <w:spacing w:after="0" w:line="259" w:lineRule="auto"/>
              <w:ind w:right="25" w:firstLine="0"/>
              <w:jc w:val="center"/>
            </w:pPr>
            <w:r>
              <w:rPr>
                <w:sz w:val="14"/>
              </w:rPr>
              <w:t>2</w:t>
            </w:r>
          </w:p>
        </w:tc>
        <w:tc>
          <w:tcPr>
            <w:tcW w:w="1278" w:type="dxa"/>
            <w:tcBorders>
              <w:top w:val="nil"/>
              <w:left w:val="nil"/>
              <w:bottom w:val="nil"/>
              <w:right w:val="nil"/>
            </w:tcBorders>
          </w:tcPr>
          <w:p w:rsidR="00157A70" w:rsidRDefault="00316F15">
            <w:pPr>
              <w:spacing w:after="0" w:line="259" w:lineRule="auto"/>
              <w:ind w:left="455" w:right="0" w:firstLine="0"/>
              <w:jc w:val="left"/>
            </w:pPr>
            <w:r>
              <w:rPr>
                <w:sz w:val="14"/>
              </w:rPr>
              <w:t>1</w:t>
            </w:r>
          </w:p>
        </w:tc>
        <w:tc>
          <w:tcPr>
            <w:tcW w:w="1107" w:type="dxa"/>
            <w:tcBorders>
              <w:top w:val="nil"/>
              <w:left w:val="nil"/>
              <w:bottom w:val="nil"/>
              <w:right w:val="nil"/>
            </w:tcBorders>
          </w:tcPr>
          <w:p w:rsidR="00157A70" w:rsidRDefault="00316F15">
            <w:pPr>
              <w:spacing w:after="0" w:line="259" w:lineRule="auto"/>
              <w:ind w:left="348" w:right="0" w:firstLine="0"/>
              <w:jc w:val="left"/>
            </w:pPr>
            <w:r>
              <w:rPr>
                <w:sz w:val="14"/>
              </w:rPr>
              <w:t>2</w:t>
            </w:r>
          </w:p>
        </w:tc>
        <w:tc>
          <w:tcPr>
            <w:tcW w:w="449" w:type="dxa"/>
            <w:tcBorders>
              <w:top w:val="nil"/>
              <w:left w:val="nil"/>
              <w:bottom w:val="nil"/>
              <w:right w:val="single" w:sz="4" w:space="0" w:color="181717"/>
            </w:tcBorders>
          </w:tcPr>
          <w:p w:rsidR="00157A70" w:rsidRDefault="00316F15">
            <w:pPr>
              <w:spacing w:after="0" w:line="259" w:lineRule="auto"/>
              <w:ind w:left="4" w:right="0" w:firstLine="0"/>
              <w:jc w:val="left"/>
            </w:pPr>
            <w:r>
              <w:rPr>
                <w:sz w:val="14"/>
              </w:rPr>
              <w:t xml:space="preserve">$369 </w:t>
            </w:r>
          </w:p>
        </w:tc>
      </w:tr>
      <w:tr w:rsidR="00157A70">
        <w:trPr>
          <w:trHeight w:val="318"/>
        </w:trPr>
        <w:tc>
          <w:tcPr>
            <w:tcW w:w="368" w:type="dxa"/>
            <w:tcBorders>
              <w:top w:val="nil"/>
              <w:left w:val="single" w:sz="4" w:space="0" w:color="181717"/>
              <w:bottom w:val="nil"/>
              <w:right w:val="single" w:sz="4" w:space="0" w:color="181717"/>
            </w:tcBorders>
          </w:tcPr>
          <w:p w:rsidR="00157A70" w:rsidRDefault="00316F15">
            <w:pPr>
              <w:spacing w:after="0" w:line="259" w:lineRule="auto"/>
              <w:ind w:left="100" w:right="0" w:firstLine="0"/>
              <w:jc w:val="center"/>
            </w:pPr>
            <w:r>
              <w:rPr>
                <w:sz w:val="14"/>
              </w:rPr>
              <w:t xml:space="preserve">C </w:t>
            </w:r>
          </w:p>
        </w:tc>
        <w:tc>
          <w:tcPr>
            <w:tcW w:w="1162" w:type="dxa"/>
            <w:tcBorders>
              <w:top w:val="nil"/>
              <w:left w:val="single" w:sz="4" w:space="0" w:color="181717"/>
              <w:bottom w:val="nil"/>
              <w:right w:val="nil"/>
            </w:tcBorders>
          </w:tcPr>
          <w:p w:rsidR="00157A70" w:rsidRDefault="00316F15">
            <w:pPr>
              <w:spacing w:after="0" w:line="259" w:lineRule="auto"/>
              <w:ind w:left="82" w:right="0" w:firstLine="0"/>
              <w:jc w:val="center"/>
            </w:pPr>
            <w:r>
              <w:rPr>
                <w:sz w:val="14"/>
              </w:rPr>
              <w:t>5</w:t>
            </w:r>
          </w:p>
        </w:tc>
        <w:tc>
          <w:tcPr>
            <w:tcW w:w="1181" w:type="dxa"/>
            <w:tcBorders>
              <w:top w:val="nil"/>
              <w:left w:val="nil"/>
              <w:bottom w:val="nil"/>
              <w:right w:val="nil"/>
            </w:tcBorders>
          </w:tcPr>
          <w:p w:rsidR="00157A70" w:rsidRDefault="00316F15">
            <w:pPr>
              <w:spacing w:after="0" w:line="259" w:lineRule="auto"/>
              <w:ind w:right="25" w:firstLine="0"/>
              <w:jc w:val="center"/>
            </w:pPr>
            <w:r>
              <w:rPr>
                <w:sz w:val="14"/>
              </w:rPr>
              <w:t>5</w:t>
            </w:r>
          </w:p>
        </w:tc>
        <w:tc>
          <w:tcPr>
            <w:tcW w:w="1278" w:type="dxa"/>
            <w:tcBorders>
              <w:top w:val="nil"/>
              <w:left w:val="nil"/>
              <w:bottom w:val="nil"/>
              <w:right w:val="nil"/>
            </w:tcBorders>
          </w:tcPr>
          <w:p w:rsidR="00157A70" w:rsidRDefault="00316F15">
            <w:pPr>
              <w:spacing w:after="0" w:line="259" w:lineRule="auto"/>
              <w:ind w:left="455" w:right="0" w:firstLine="0"/>
              <w:jc w:val="left"/>
            </w:pPr>
            <w:r>
              <w:rPr>
                <w:sz w:val="14"/>
              </w:rPr>
              <w:t>4</w:t>
            </w:r>
          </w:p>
        </w:tc>
        <w:tc>
          <w:tcPr>
            <w:tcW w:w="1107" w:type="dxa"/>
            <w:tcBorders>
              <w:top w:val="nil"/>
              <w:left w:val="nil"/>
              <w:bottom w:val="nil"/>
              <w:right w:val="nil"/>
            </w:tcBorders>
          </w:tcPr>
          <w:p w:rsidR="00157A70" w:rsidRDefault="00316F15">
            <w:pPr>
              <w:spacing w:after="0" w:line="259" w:lineRule="auto"/>
              <w:ind w:left="348" w:right="0" w:firstLine="0"/>
              <w:jc w:val="left"/>
            </w:pPr>
            <w:r>
              <w:rPr>
                <w:sz w:val="14"/>
              </w:rPr>
              <w:t>4</w:t>
            </w:r>
          </w:p>
        </w:tc>
        <w:tc>
          <w:tcPr>
            <w:tcW w:w="449" w:type="dxa"/>
            <w:tcBorders>
              <w:top w:val="nil"/>
              <w:left w:val="nil"/>
              <w:bottom w:val="nil"/>
              <w:right w:val="single" w:sz="4" w:space="0" w:color="181717"/>
            </w:tcBorders>
          </w:tcPr>
          <w:p w:rsidR="00157A70" w:rsidRDefault="00316F15">
            <w:pPr>
              <w:spacing w:after="0" w:line="259" w:lineRule="auto"/>
              <w:ind w:left="4" w:right="0" w:firstLine="0"/>
              <w:jc w:val="left"/>
            </w:pPr>
            <w:r>
              <w:rPr>
                <w:sz w:val="14"/>
              </w:rPr>
              <w:t xml:space="preserve">$369 </w:t>
            </w:r>
          </w:p>
        </w:tc>
      </w:tr>
      <w:tr w:rsidR="00157A70">
        <w:trPr>
          <w:trHeight w:val="318"/>
        </w:trPr>
        <w:tc>
          <w:tcPr>
            <w:tcW w:w="368" w:type="dxa"/>
            <w:tcBorders>
              <w:top w:val="nil"/>
              <w:left w:val="single" w:sz="4" w:space="0" w:color="181717"/>
              <w:bottom w:val="nil"/>
              <w:right w:val="single" w:sz="4" w:space="0" w:color="181717"/>
            </w:tcBorders>
          </w:tcPr>
          <w:p w:rsidR="00157A70" w:rsidRDefault="00316F15">
            <w:pPr>
              <w:spacing w:after="0" w:line="259" w:lineRule="auto"/>
              <w:ind w:left="132" w:right="0" w:firstLine="0"/>
              <w:jc w:val="left"/>
            </w:pPr>
            <w:r>
              <w:rPr>
                <w:sz w:val="14"/>
              </w:rPr>
              <w:t>D</w:t>
            </w:r>
          </w:p>
        </w:tc>
        <w:tc>
          <w:tcPr>
            <w:tcW w:w="1162" w:type="dxa"/>
            <w:tcBorders>
              <w:top w:val="nil"/>
              <w:left w:val="single" w:sz="4" w:space="0" w:color="181717"/>
              <w:bottom w:val="nil"/>
              <w:right w:val="nil"/>
            </w:tcBorders>
          </w:tcPr>
          <w:p w:rsidR="00157A70" w:rsidRDefault="00316F15">
            <w:pPr>
              <w:spacing w:after="0" w:line="259" w:lineRule="auto"/>
              <w:ind w:left="81" w:right="0" w:firstLine="0"/>
              <w:jc w:val="center"/>
            </w:pPr>
            <w:r>
              <w:rPr>
                <w:sz w:val="14"/>
              </w:rPr>
              <w:t>5</w:t>
            </w:r>
          </w:p>
        </w:tc>
        <w:tc>
          <w:tcPr>
            <w:tcW w:w="1181" w:type="dxa"/>
            <w:tcBorders>
              <w:top w:val="nil"/>
              <w:left w:val="nil"/>
              <w:bottom w:val="nil"/>
              <w:right w:val="nil"/>
            </w:tcBorders>
          </w:tcPr>
          <w:p w:rsidR="00157A70" w:rsidRDefault="00316F15">
            <w:pPr>
              <w:spacing w:after="0" w:line="259" w:lineRule="auto"/>
              <w:ind w:right="25" w:firstLine="0"/>
              <w:jc w:val="center"/>
            </w:pPr>
            <w:r>
              <w:rPr>
                <w:sz w:val="14"/>
              </w:rPr>
              <w:t>3</w:t>
            </w:r>
          </w:p>
        </w:tc>
        <w:tc>
          <w:tcPr>
            <w:tcW w:w="1278" w:type="dxa"/>
            <w:tcBorders>
              <w:top w:val="nil"/>
              <w:left w:val="nil"/>
              <w:bottom w:val="nil"/>
              <w:right w:val="nil"/>
            </w:tcBorders>
          </w:tcPr>
          <w:p w:rsidR="00157A70" w:rsidRDefault="00316F15">
            <w:pPr>
              <w:spacing w:after="0" w:line="259" w:lineRule="auto"/>
              <w:ind w:left="455" w:right="0" w:firstLine="0"/>
              <w:jc w:val="left"/>
            </w:pPr>
            <w:r>
              <w:rPr>
                <w:sz w:val="14"/>
              </w:rPr>
              <w:t>4</w:t>
            </w:r>
          </w:p>
        </w:tc>
        <w:tc>
          <w:tcPr>
            <w:tcW w:w="1107" w:type="dxa"/>
            <w:tcBorders>
              <w:top w:val="nil"/>
              <w:left w:val="nil"/>
              <w:bottom w:val="nil"/>
              <w:right w:val="nil"/>
            </w:tcBorders>
          </w:tcPr>
          <w:p w:rsidR="00157A70" w:rsidRDefault="00316F15">
            <w:pPr>
              <w:spacing w:after="0" w:line="259" w:lineRule="auto"/>
              <w:ind w:left="348" w:right="0" w:firstLine="0"/>
              <w:jc w:val="left"/>
            </w:pPr>
            <w:r>
              <w:rPr>
                <w:sz w:val="14"/>
              </w:rPr>
              <w:t>2</w:t>
            </w:r>
          </w:p>
        </w:tc>
        <w:tc>
          <w:tcPr>
            <w:tcW w:w="449" w:type="dxa"/>
            <w:tcBorders>
              <w:top w:val="nil"/>
              <w:left w:val="nil"/>
              <w:bottom w:val="nil"/>
              <w:right w:val="single" w:sz="4" w:space="0" w:color="181717"/>
            </w:tcBorders>
          </w:tcPr>
          <w:p w:rsidR="00157A70" w:rsidRDefault="00316F15">
            <w:pPr>
              <w:spacing w:after="0" w:line="259" w:lineRule="auto"/>
              <w:ind w:left="4" w:right="0" w:firstLine="0"/>
              <w:jc w:val="left"/>
            </w:pPr>
            <w:r>
              <w:rPr>
                <w:sz w:val="14"/>
              </w:rPr>
              <w:t xml:space="preserve">$369 </w:t>
            </w:r>
          </w:p>
        </w:tc>
      </w:tr>
      <w:tr w:rsidR="00157A70">
        <w:trPr>
          <w:trHeight w:val="384"/>
        </w:trPr>
        <w:tc>
          <w:tcPr>
            <w:tcW w:w="368" w:type="dxa"/>
            <w:tcBorders>
              <w:top w:val="nil"/>
              <w:left w:val="single" w:sz="4" w:space="0" w:color="181717"/>
              <w:bottom w:val="single" w:sz="4" w:space="0" w:color="181717"/>
              <w:right w:val="single" w:sz="4" w:space="0" w:color="181717"/>
            </w:tcBorders>
          </w:tcPr>
          <w:p w:rsidR="00157A70" w:rsidRDefault="00316F15">
            <w:pPr>
              <w:spacing w:after="0" w:line="259" w:lineRule="auto"/>
              <w:ind w:left="140" w:right="0" w:firstLine="0"/>
              <w:jc w:val="left"/>
            </w:pPr>
            <w:r>
              <w:rPr>
                <w:sz w:val="14"/>
              </w:rPr>
              <w:t>E</w:t>
            </w:r>
          </w:p>
        </w:tc>
        <w:tc>
          <w:tcPr>
            <w:tcW w:w="1162" w:type="dxa"/>
            <w:tcBorders>
              <w:top w:val="nil"/>
              <w:left w:val="single" w:sz="4" w:space="0" w:color="181717"/>
              <w:bottom w:val="single" w:sz="4" w:space="0" w:color="181717"/>
              <w:right w:val="nil"/>
            </w:tcBorders>
          </w:tcPr>
          <w:p w:rsidR="00157A70" w:rsidRDefault="00316F15">
            <w:pPr>
              <w:spacing w:after="0" w:line="259" w:lineRule="auto"/>
              <w:ind w:left="82" w:right="0" w:firstLine="0"/>
              <w:jc w:val="center"/>
            </w:pPr>
            <w:r>
              <w:rPr>
                <w:sz w:val="14"/>
              </w:rPr>
              <w:t>4</w:t>
            </w:r>
          </w:p>
        </w:tc>
        <w:tc>
          <w:tcPr>
            <w:tcW w:w="1181" w:type="dxa"/>
            <w:tcBorders>
              <w:top w:val="nil"/>
              <w:left w:val="nil"/>
              <w:bottom w:val="single" w:sz="4" w:space="0" w:color="181717"/>
              <w:right w:val="nil"/>
            </w:tcBorders>
          </w:tcPr>
          <w:p w:rsidR="00157A70" w:rsidRDefault="00316F15">
            <w:pPr>
              <w:spacing w:after="0" w:line="259" w:lineRule="auto"/>
              <w:ind w:right="25" w:firstLine="0"/>
              <w:jc w:val="center"/>
            </w:pPr>
            <w:r>
              <w:rPr>
                <w:sz w:val="14"/>
              </w:rPr>
              <w:t>5</w:t>
            </w:r>
          </w:p>
        </w:tc>
        <w:tc>
          <w:tcPr>
            <w:tcW w:w="1278" w:type="dxa"/>
            <w:tcBorders>
              <w:top w:val="nil"/>
              <w:left w:val="nil"/>
              <w:bottom w:val="single" w:sz="4" w:space="0" w:color="181717"/>
              <w:right w:val="nil"/>
            </w:tcBorders>
          </w:tcPr>
          <w:p w:rsidR="00157A70" w:rsidRDefault="00316F15">
            <w:pPr>
              <w:spacing w:after="0" w:line="259" w:lineRule="auto"/>
              <w:ind w:left="455" w:right="0" w:firstLine="0"/>
              <w:jc w:val="left"/>
            </w:pPr>
            <w:r>
              <w:rPr>
                <w:sz w:val="14"/>
              </w:rPr>
              <w:t>2</w:t>
            </w:r>
          </w:p>
        </w:tc>
        <w:tc>
          <w:tcPr>
            <w:tcW w:w="1107" w:type="dxa"/>
            <w:tcBorders>
              <w:top w:val="nil"/>
              <w:left w:val="nil"/>
              <w:bottom w:val="single" w:sz="4" w:space="0" w:color="181717"/>
              <w:right w:val="nil"/>
            </w:tcBorders>
          </w:tcPr>
          <w:p w:rsidR="00157A70" w:rsidRDefault="00316F15">
            <w:pPr>
              <w:spacing w:after="0" w:line="259" w:lineRule="auto"/>
              <w:ind w:left="348" w:right="0" w:firstLine="0"/>
              <w:jc w:val="left"/>
            </w:pPr>
            <w:r>
              <w:rPr>
                <w:sz w:val="14"/>
              </w:rPr>
              <w:t>2</w:t>
            </w:r>
          </w:p>
        </w:tc>
        <w:tc>
          <w:tcPr>
            <w:tcW w:w="449" w:type="dxa"/>
            <w:tcBorders>
              <w:top w:val="nil"/>
              <w:left w:val="nil"/>
              <w:bottom w:val="single" w:sz="4" w:space="0" w:color="181717"/>
              <w:right w:val="single" w:sz="4" w:space="0" w:color="181717"/>
            </w:tcBorders>
          </w:tcPr>
          <w:p w:rsidR="00157A70" w:rsidRDefault="00316F15">
            <w:pPr>
              <w:spacing w:after="0" w:line="259" w:lineRule="auto"/>
              <w:ind w:left="4" w:right="0" w:firstLine="0"/>
              <w:jc w:val="left"/>
            </w:pPr>
            <w:r>
              <w:rPr>
                <w:sz w:val="14"/>
              </w:rPr>
              <w:t xml:space="preserve">$369 </w:t>
            </w:r>
          </w:p>
        </w:tc>
      </w:tr>
    </w:tbl>
    <w:p w:rsidR="00157A70" w:rsidRDefault="00316F15">
      <w:pPr>
        <w:spacing w:after="1847" w:line="259" w:lineRule="auto"/>
        <w:ind w:left="1980" w:right="1987" w:firstLine="0"/>
        <w:jc w:val="left"/>
      </w:pPr>
      <w:r>
        <w:rPr>
          <w:sz w:val="14"/>
        </w:rPr>
        <w:t xml:space="preserve">DVD  </w:t>
      </w:r>
    </w:p>
    <w:p w:rsidR="00157A70" w:rsidRDefault="00316F15">
      <w:pPr>
        <w:spacing w:after="134"/>
        <w:ind w:left="180" w:right="0" w:firstLine="0"/>
      </w:pPr>
      <w:r>
        <w:t>LaToya only wants a DVD player that got a “Very High” rating on Reliability of Brand.</w:t>
      </w:r>
    </w:p>
    <w:p w:rsidR="00157A70" w:rsidRDefault="00316F15">
      <w:pPr>
        <w:spacing w:after="79"/>
        <w:ind w:left="180" w:right="0" w:firstLine="0"/>
      </w:pPr>
      <w:r>
        <w:t xml:space="preserve">Which </w:t>
      </w:r>
      <w:r>
        <w:rPr>
          <w:b/>
          <w:u w:val="single" w:color="181717"/>
        </w:rPr>
        <w:t xml:space="preserve">one </w:t>
      </w:r>
      <w:r>
        <w:t>of the presented DVD players would LaToya prefer?</w:t>
      </w:r>
    </w:p>
    <w:p w:rsidR="00157A70" w:rsidRDefault="00316F15">
      <w:pPr>
        <w:spacing w:after="575" w:line="259" w:lineRule="auto"/>
        <w:ind w:left="240" w:right="0" w:firstLine="0"/>
        <w:jc w:val="left"/>
      </w:pPr>
      <w:r>
        <w:rPr>
          <w:rFonts w:ascii="Calibri" w:eastAsia="Calibri" w:hAnsi="Calibri" w:cs="Calibri"/>
          <w:noProof/>
          <w:color w:val="000000"/>
          <w:sz w:val="22"/>
        </w:rPr>
        <mc:AlternateContent>
          <mc:Choice Requires="wpg">
            <w:drawing>
              <wp:inline distT="0" distB="0" distL="0" distR="0">
                <wp:extent cx="762000" cy="6350"/>
                <wp:effectExtent l="0" t="0" r="0" b="0"/>
                <wp:docPr id="58403" name="Group 58403"/>
                <wp:cNvGraphicFramePr/>
                <a:graphic xmlns:a="http://schemas.openxmlformats.org/drawingml/2006/main">
                  <a:graphicData uri="http://schemas.microsoft.com/office/word/2010/wordprocessingGroup">
                    <wpg:wgp>
                      <wpg:cNvGrpSpPr/>
                      <wpg:grpSpPr>
                        <a:xfrm>
                          <a:off x="0" y="0"/>
                          <a:ext cx="762000" cy="6350"/>
                          <a:chOff x="0" y="0"/>
                          <a:chExt cx="762000" cy="6350"/>
                        </a:xfrm>
                      </wpg:grpSpPr>
                      <wps:wsp>
                        <wps:cNvPr id="3469" name="Shape 3469"/>
                        <wps:cNvSpPr/>
                        <wps:spPr>
                          <a:xfrm>
                            <a:off x="0" y="0"/>
                            <a:ext cx="762000" cy="0"/>
                          </a:xfrm>
                          <a:custGeom>
                            <a:avLst/>
                            <a:gdLst/>
                            <a:ahLst/>
                            <a:cxnLst/>
                            <a:rect l="0" t="0" r="0" b="0"/>
                            <a:pathLst>
                              <a:path w="762000">
                                <a:moveTo>
                                  <a:pt x="0" y="0"/>
                                </a:moveTo>
                                <a:lnTo>
                                  <a:pt x="7620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403" style="width:60pt;height:0.5pt;mso-position-horizontal-relative:char;mso-position-vertical-relative:line" coordsize="7620,63">
                <v:shape id="Shape 3469" style="position:absolute;width:7620;height:0;left:0;top:0;" coordsize="762000,0" path="m0,0l762000,0">
                  <v:stroke weight="0.5pt" endcap="flat" joinstyle="miter" miterlimit="10" on="true" color="#181717"/>
                  <v:fill on="false" color="#000000" opacity="0"/>
                </v:shape>
              </v:group>
            </w:pict>
          </mc:Fallback>
        </mc:AlternateContent>
      </w:r>
    </w:p>
    <w:p w:rsidR="00157A70" w:rsidRDefault="00316F15">
      <w:pPr>
        <w:pStyle w:val="2"/>
        <w:ind w:left="-5"/>
      </w:pPr>
      <w:r>
        <w:t>Consistency in Risk Perception</w:t>
      </w:r>
    </w:p>
    <w:p w:rsidR="00157A70" w:rsidRDefault="00316F15">
      <w:pPr>
        <w:spacing w:after="177"/>
        <w:ind w:left="-15" w:right="0" w:firstLine="0"/>
      </w:pPr>
      <w:r>
        <w:t>What is the probability that you will get into a car accident while driving during the next year?</w:t>
      </w:r>
    </w:p>
    <w:p w:rsidR="00157A70" w:rsidRDefault="00316F15">
      <w:pPr>
        <w:spacing w:after="434" w:line="259" w:lineRule="auto"/>
        <w:ind w:left="781" w:right="0" w:firstLine="0"/>
        <w:jc w:val="left"/>
      </w:pPr>
      <w:r>
        <w:rPr>
          <w:noProof/>
        </w:rPr>
        <w:drawing>
          <wp:inline distT="0" distB="0" distL="0" distR="0">
            <wp:extent cx="5321300" cy="850900"/>
            <wp:effectExtent l="0" t="0" r="0" b="0"/>
            <wp:docPr id="3515" name="Picture 3515"/>
            <wp:cNvGraphicFramePr/>
            <a:graphic xmlns:a="http://schemas.openxmlformats.org/drawingml/2006/main">
              <a:graphicData uri="http://schemas.openxmlformats.org/drawingml/2006/picture">
                <pic:pic xmlns:pic="http://schemas.openxmlformats.org/drawingml/2006/picture">
                  <pic:nvPicPr>
                    <pic:cNvPr id="3515" name="Picture 3515"/>
                    <pic:cNvPicPr/>
                  </pic:nvPicPr>
                  <pic:blipFill>
                    <a:blip r:embed="rId9"/>
                    <a:stretch>
                      <a:fillRect/>
                    </a:stretch>
                  </pic:blipFill>
                  <pic:spPr>
                    <a:xfrm>
                      <a:off x="0" y="0"/>
                      <a:ext cx="5321300" cy="850900"/>
                    </a:xfrm>
                    <a:prstGeom prst="rect">
                      <a:avLst/>
                    </a:prstGeom>
                  </pic:spPr>
                </pic:pic>
              </a:graphicData>
            </a:graphic>
          </wp:inline>
        </w:drawing>
      </w:r>
    </w:p>
    <w:p w:rsidR="00157A70" w:rsidRDefault="00316F15">
      <w:pPr>
        <w:spacing w:after="177"/>
        <w:ind w:left="180" w:right="0" w:firstLine="0"/>
      </w:pPr>
      <w:r>
        <w:t>What is the probability that your driving will be accident-free during the next year?</w:t>
      </w:r>
    </w:p>
    <w:p w:rsidR="00157A70" w:rsidRDefault="00316F15">
      <w:pPr>
        <w:spacing w:after="0" w:line="259" w:lineRule="auto"/>
        <w:ind w:left="781" w:right="0" w:firstLine="0"/>
        <w:jc w:val="left"/>
      </w:pPr>
      <w:r>
        <w:rPr>
          <w:noProof/>
        </w:rPr>
        <w:drawing>
          <wp:inline distT="0" distB="0" distL="0" distR="0">
            <wp:extent cx="5321300" cy="850900"/>
            <wp:effectExtent l="0" t="0" r="0" b="0"/>
            <wp:docPr id="3517" name="Picture 3517"/>
            <wp:cNvGraphicFramePr/>
            <a:graphic xmlns:a="http://schemas.openxmlformats.org/drawingml/2006/main">
              <a:graphicData uri="http://schemas.openxmlformats.org/drawingml/2006/picture">
                <pic:pic xmlns:pic="http://schemas.openxmlformats.org/drawingml/2006/picture">
                  <pic:nvPicPr>
                    <pic:cNvPr id="3517" name="Picture 3517"/>
                    <pic:cNvPicPr/>
                  </pic:nvPicPr>
                  <pic:blipFill>
                    <a:blip r:embed="rId10"/>
                    <a:stretch>
                      <a:fillRect/>
                    </a:stretch>
                  </pic:blipFill>
                  <pic:spPr>
                    <a:xfrm>
                      <a:off x="0" y="0"/>
                      <a:ext cx="5321300" cy="850900"/>
                    </a:xfrm>
                    <a:prstGeom prst="rect">
                      <a:avLst/>
                    </a:prstGeom>
                  </pic:spPr>
                </pic:pic>
              </a:graphicData>
            </a:graphic>
          </wp:inline>
        </w:drawing>
      </w:r>
    </w:p>
    <w:p w:rsidR="00157A70" w:rsidRDefault="00316F15">
      <w:pPr>
        <w:pStyle w:val="2"/>
        <w:ind w:left="-5"/>
      </w:pPr>
      <w:r>
        <w:t>Resistance to Sunk Costs</w:t>
      </w:r>
    </w:p>
    <w:p w:rsidR="00157A70" w:rsidRDefault="00316F15">
      <w:pPr>
        <w:spacing w:after="114"/>
        <w:ind w:left="-15" w:right="0"/>
      </w:pPr>
      <w:r>
        <w:t>After a large meal at a restaurant, you order a big dessert with chocolate and ice cream. After a few bites, you find you are full and you would rather not eat any more of it.</w:t>
      </w:r>
    </w:p>
    <w:p w:rsidR="00157A70" w:rsidRDefault="00316F15">
      <w:pPr>
        <w:spacing w:after="254"/>
        <w:ind w:left="180" w:right="0" w:firstLine="0"/>
      </w:pPr>
      <w:r>
        <w:t>Would you be more likely to eat more or to stop eating it?</w:t>
      </w:r>
    </w:p>
    <w:p w:rsidR="00157A70" w:rsidRDefault="00316F15">
      <w:pPr>
        <w:tabs>
          <w:tab w:val="center" w:pos="1245"/>
          <w:tab w:val="center" w:pos="1695"/>
          <w:tab w:val="center" w:pos="2145"/>
          <w:tab w:val="center" w:pos="2595"/>
          <w:tab w:val="center" w:pos="3045"/>
          <w:tab w:val="center" w:pos="3495"/>
        </w:tabs>
        <w:ind w:right="0" w:firstLine="0"/>
        <w:jc w:val="left"/>
      </w:pPr>
      <w:r>
        <w:rPr>
          <w:rFonts w:ascii="Calibri" w:eastAsia="Calibri" w:hAnsi="Calibri" w:cs="Calibri"/>
          <w:color w:val="000000"/>
          <w:sz w:val="22"/>
        </w:rPr>
        <w:lastRenderedPageBreak/>
        <w:tab/>
      </w:r>
      <w:r>
        <w:t>1</w:t>
      </w:r>
      <w:r>
        <w:tab/>
        <w:t>2</w:t>
      </w:r>
      <w:r>
        <w:tab/>
        <w:t>3</w:t>
      </w:r>
      <w:r>
        <w:tab/>
        <w:t>4</w:t>
      </w:r>
      <w:r>
        <w:tab/>
        <w:t>5</w:t>
      </w:r>
      <w:r>
        <w:tab/>
        <w:t>6</w:t>
      </w:r>
    </w:p>
    <w:tbl>
      <w:tblPr>
        <w:tblStyle w:val="TableGrid"/>
        <w:tblW w:w="7454" w:type="dxa"/>
        <w:tblInd w:w="0" w:type="dxa"/>
        <w:tblLook w:val="04A0" w:firstRow="1" w:lastRow="0" w:firstColumn="1" w:lastColumn="0" w:noHBand="0" w:noVBand="1"/>
      </w:tblPr>
      <w:tblGrid>
        <w:gridCol w:w="3280"/>
        <w:gridCol w:w="2520"/>
        <w:gridCol w:w="1654"/>
      </w:tblGrid>
      <w:tr w:rsidR="00157A70">
        <w:trPr>
          <w:trHeight w:val="220"/>
        </w:trPr>
        <w:tc>
          <w:tcPr>
            <w:tcW w:w="5800" w:type="dxa"/>
            <w:gridSpan w:val="2"/>
            <w:tcBorders>
              <w:top w:val="nil"/>
              <w:left w:val="nil"/>
              <w:bottom w:val="nil"/>
              <w:right w:val="nil"/>
            </w:tcBorders>
          </w:tcPr>
          <w:p w:rsidR="00157A70" w:rsidRDefault="00316F15">
            <w:pPr>
              <w:tabs>
                <w:tab w:val="center" w:pos="1240"/>
                <w:tab w:val="center" w:pos="3600"/>
              </w:tabs>
              <w:spacing w:after="0" w:line="259" w:lineRule="auto"/>
              <w:ind w:right="0" w:firstLine="0"/>
              <w:jc w:val="left"/>
            </w:pPr>
            <w:r>
              <w:rPr>
                <w:rFonts w:ascii="Calibri" w:eastAsia="Calibri" w:hAnsi="Calibri" w:cs="Calibri"/>
                <w:color w:val="000000"/>
                <w:sz w:val="22"/>
              </w:rPr>
              <w:tab/>
            </w:r>
            <w:r>
              <w:t>Most likely to</w:t>
            </w:r>
            <w:r>
              <w:tab/>
              <w:t>Most likely to</w:t>
            </w:r>
          </w:p>
        </w:tc>
        <w:tc>
          <w:tcPr>
            <w:tcW w:w="1654" w:type="dxa"/>
            <w:vMerge w:val="restart"/>
            <w:tcBorders>
              <w:top w:val="nil"/>
              <w:left w:val="nil"/>
              <w:bottom w:val="nil"/>
              <w:right w:val="nil"/>
            </w:tcBorders>
          </w:tcPr>
          <w:p w:rsidR="00157A70" w:rsidRDefault="00157A70">
            <w:pPr>
              <w:spacing w:after="160" w:line="259" w:lineRule="auto"/>
              <w:ind w:right="0" w:firstLine="0"/>
              <w:jc w:val="left"/>
            </w:pPr>
          </w:p>
        </w:tc>
      </w:tr>
      <w:tr w:rsidR="00157A70">
        <w:trPr>
          <w:trHeight w:val="1112"/>
        </w:trPr>
        <w:tc>
          <w:tcPr>
            <w:tcW w:w="3280" w:type="dxa"/>
            <w:tcBorders>
              <w:top w:val="nil"/>
              <w:left w:val="nil"/>
              <w:bottom w:val="nil"/>
              <w:right w:val="nil"/>
            </w:tcBorders>
          </w:tcPr>
          <w:p w:rsidR="00157A70" w:rsidRDefault="00316F15">
            <w:pPr>
              <w:spacing w:after="255" w:line="259" w:lineRule="auto"/>
              <w:ind w:left="960" w:right="0" w:firstLine="0"/>
              <w:jc w:val="left"/>
            </w:pPr>
            <w:r>
              <w:t>eat more</w:t>
            </w:r>
          </w:p>
          <w:p w:rsidR="00157A70" w:rsidRDefault="00316F15">
            <w:pPr>
              <w:spacing w:after="90" w:line="259" w:lineRule="auto"/>
              <w:ind w:right="0" w:firstLine="0"/>
              <w:jc w:val="left"/>
            </w:pPr>
            <w:r>
              <w:rPr>
                <w:i/>
                <w:sz w:val="20"/>
              </w:rPr>
              <w:t>Path Independence</w:t>
            </w:r>
          </w:p>
          <w:p w:rsidR="00157A70" w:rsidRDefault="00316F15">
            <w:pPr>
              <w:spacing w:after="0" w:line="259" w:lineRule="auto"/>
              <w:ind w:left="44" w:right="0" w:firstLine="0"/>
              <w:jc w:val="center"/>
            </w:pPr>
            <w:r>
              <w:t>Which do you like best, (1), (2), or (3)?</w:t>
            </w:r>
          </w:p>
        </w:tc>
        <w:tc>
          <w:tcPr>
            <w:tcW w:w="2520" w:type="dxa"/>
            <w:tcBorders>
              <w:top w:val="nil"/>
              <w:left w:val="nil"/>
              <w:bottom w:val="nil"/>
              <w:right w:val="nil"/>
            </w:tcBorders>
          </w:tcPr>
          <w:p w:rsidR="00157A70" w:rsidRDefault="00316F15">
            <w:pPr>
              <w:spacing w:after="0" w:line="259" w:lineRule="auto"/>
              <w:ind w:right="0" w:firstLine="0"/>
              <w:jc w:val="left"/>
            </w:pPr>
            <w:r>
              <w:t>stop eating</w:t>
            </w:r>
          </w:p>
        </w:tc>
        <w:tc>
          <w:tcPr>
            <w:tcW w:w="0" w:type="auto"/>
            <w:vMerge/>
            <w:tcBorders>
              <w:top w:val="nil"/>
              <w:left w:val="nil"/>
              <w:bottom w:val="nil"/>
              <w:right w:val="nil"/>
            </w:tcBorders>
          </w:tcPr>
          <w:p w:rsidR="00157A70" w:rsidRDefault="00157A70">
            <w:pPr>
              <w:spacing w:after="160" w:line="259" w:lineRule="auto"/>
              <w:ind w:right="0" w:firstLine="0"/>
              <w:jc w:val="left"/>
            </w:pPr>
          </w:p>
        </w:tc>
      </w:tr>
      <w:tr w:rsidR="00157A70">
        <w:trPr>
          <w:trHeight w:val="370"/>
        </w:trPr>
        <w:tc>
          <w:tcPr>
            <w:tcW w:w="3280" w:type="dxa"/>
            <w:tcBorders>
              <w:top w:val="nil"/>
              <w:left w:val="nil"/>
              <w:bottom w:val="nil"/>
              <w:right w:val="nil"/>
            </w:tcBorders>
          </w:tcPr>
          <w:p w:rsidR="00157A70" w:rsidRDefault="00316F15">
            <w:pPr>
              <w:spacing w:after="0" w:line="259" w:lineRule="auto"/>
              <w:ind w:left="1320" w:right="0" w:firstLine="0"/>
              <w:jc w:val="left"/>
            </w:pPr>
            <w:r>
              <w:t>(1)</w:t>
            </w:r>
          </w:p>
        </w:tc>
        <w:tc>
          <w:tcPr>
            <w:tcW w:w="2520" w:type="dxa"/>
            <w:tcBorders>
              <w:top w:val="nil"/>
              <w:left w:val="nil"/>
              <w:bottom w:val="nil"/>
              <w:right w:val="nil"/>
            </w:tcBorders>
          </w:tcPr>
          <w:p w:rsidR="00157A70" w:rsidRDefault="00316F15">
            <w:pPr>
              <w:spacing w:after="0" w:line="259" w:lineRule="auto"/>
              <w:ind w:left="650" w:right="0" w:firstLine="0"/>
              <w:jc w:val="left"/>
            </w:pPr>
            <w:r>
              <w:t>(2)</w:t>
            </w:r>
          </w:p>
        </w:tc>
        <w:tc>
          <w:tcPr>
            <w:tcW w:w="1654" w:type="dxa"/>
            <w:tcBorders>
              <w:top w:val="nil"/>
              <w:left w:val="nil"/>
              <w:bottom w:val="nil"/>
              <w:right w:val="nil"/>
            </w:tcBorders>
          </w:tcPr>
          <w:p w:rsidR="00157A70" w:rsidRDefault="00316F15">
            <w:pPr>
              <w:spacing w:after="0" w:line="259" w:lineRule="auto"/>
              <w:ind w:left="36" w:right="0" w:firstLine="0"/>
              <w:jc w:val="center"/>
            </w:pPr>
            <w:r>
              <w:t>(3)</w:t>
            </w:r>
          </w:p>
        </w:tc>
      </w:tr>
      <w:tr w:rsidR="00157A70">
        <w:trPr>
          <w:trHeight w:val="319"/>
        </w:trPr>
        <w:tc>
          <w:tcPr>
            <w:tcW w:w="3280" w:type="dxa"/>
            <w:tcBorders>
              <w:top w:val="nil"/>
              <w:left w:val="nil"/>
              <w:bottom w:val="nil"/>
              <w:right w:val="nil"/>
            </w:tcBorders>
          </w:tcPr>
          <w:p w:rsidR="00157A70" w:rsidRDefault="00316F15">
            <w:pPr>
              <w:spacing w:after="0" w:line="259" w:lineRule="auto"/>
              <w:ind w:left="1020" w:right="0" w:firstLine="0"/>
              <w:jc w:val="left"/>
            </w:pPr>
            <w:r>
              <w:rPr>
                <w:i/>
              </w:rPr>
              <w:t>Flip a Coin</w:t>
            </w:r>
          </w:p>
        </w:tc>
        <w:tc>
          <w:tcPr>
            <w:tcW w:w="2520" w:type="dxa"/>
            <w:tcBorders>
              <w:top w:val="nil"/>
              <w:left w:val="nil"/>
              <w:bottom w:val="nil"/>
              <w:right w:val="nil"/>
            </w:tcBorders>
          </w:tcPr>
          <w:p w:rsidR="00157A70" w:rsidRDefault="00316F15">
            <w:pPr>
              <w:spacing w:after="0" w:line="259" w:lineRule="auto"/>
              <w:ind w:left="400" w:right="0" w:firstLine="0"/>
              <w:jc w:val="left"/>
            </w:pPr>
            <w:r>
              <w:rPr>
                <w:i/>
              </w:rPr>
              <w:t>Sure Win</w:t>
            </w:r>
          </w:p>
        </w:tc>
        <w:tc>
          <w:tcPr>
            <w:tcW w:w="1654" w:type="dxa"/>
            <w:tcBorders>
              <w:top w:val="nil"/>
              <w:left w:val="nil"/>
              <w:bottom w:val="nil"/>
              <w:right w:val="nil"/>
            </w:tcBorders>
          </w:tcPr>
          <w:p w:rsidR="00157A70" w:rsidRDefault="00316F15">
            <w:pPr>
              <w:spacing w:after="0" w:line="259" w:lineRule="auto"/>
              <w:ind w:right="0" w:firstLine="0"/>
            </w:pPr>
            <w:r>
              <w:rPr>
                <w:i/>
              </w:rPr>
              <w:t>Doesn’t Matter to Me.</w:t>
            </w:r>
          </w:p>
        </w:tc>
      </w:tr>
      <w:tr w:rsidR="00157A70">
        <w:trPr>
          <w:trHeight w:val="321"/>
        </w:trPr>
        <w:tc>
          <w:tcPr>
            <w:tcW w:w="3280" w:type="dxa"/>
            <w:tcBorders>
              <w:top w:val="nil"/>
              <w:left w:val="nil"/>
              <w:bottom w:val="nil"/>
              <w:right w:val="nil"/>
            </w:tcBorders>
          </w:tcPr>
          <w:p w:rsidR="00157A70" w:rsidRDefault="00316F15">
            <w:pPr>
              <w:spacing w:after="0" w:line="259" w:lineRule="auto"/>
              <w:ind w:left="720" w:right="0" w:firstLine="0"/>
              <w:jc w:val="left"/>
            </w:pPr>
            <w:r>
              <w:t xml:space="preserve">If Heads, win </w:t>
            </w:r>
            <w:r>
              <w:rPr>
                <w:b/>
              </w:rPr>
              <w:t>$100</w:t>
            </w:r>
          </w:p>
        </w:tc>
        <w:tc>
          <w:tcPr>
            <w:tcW w:w="2520" w:type="dxa"/>
            <w:tcBorders>
              <w:top w:val="nil"/>
              <w:left w:val="nil"/>
              <w:bottom w:val="nil"/>
              <w:right w:val="nil"/>
            </w:tcBorders>
          </w:tcPr>
          <w:p w:rsidR="00157A70" w:rsidRDefault="00316F15">
            <w:pPr>
              <w:spacing w:after="0" w:line="259" w:lineRule="auto"/>
              <w:ind w:left="65" w:right="0" w:firstLine="0"/>
              <w:jc w:val="left"/>
            </w:pPr>
            <w:r>
              <w:t xml:space="preserve">Win </w:t>
            </w:r>
            <w:r>
              <w:rPr>
                <w:b/>
              </w:rPr>
              <w:t xml:space="preserve">$50 </w:t>
            </w:r>
            <w:r>
              <w:t>for sure</w:t>
            </w:r>
          </w:p>
        </w:tc>
        <w:tc>
          <w:tcPr>
            <w:tcW w:w="1654" w:type="dxa"/>
            <w:tcBorders>
              <w:top w:val="nil"/>
              <w:left w:val="nil"/>
              <w:bottom w:val="nil"/>
              <w:right w:val="nil"/>
            </w:tcBorders>
          </w:tcPr>
          <w:p w:rsidR="00157A70" w:rsidRDefault="00316F15">
            <w:pPr>
              <w:spacing w:after="0" w:line="259" w:lineRule="auto"/>
              <w:ind w:left="8" w:right="0" w:firstLine="0"/>
              <w:jc w:val="center"/>
            </w:pPr>
            <w:r>
              <w:t xml:space="preserve">If Tails, win </w:t>
            </w:r>
            <w:r>
              <w:rPr>
                <w:b/>
              </w:rPr>
              <w:t>$0</w:t>
            </w:r>
          </w:p>
        </w:tc>
      </w:tr>
      <w:tr w:rsidR="00157A70">
        <w:trPr>
          <w:trHeight w:val="242"/>
        </w:trPr>
        <w:tc>
          <w:tcPr>
            <w:tcW w:w="3280" w:type="dxa"/>
            <w:tcBorders>
              <w:top w:val="nil"/>
              <w:left w:val="nil"/>
              <w:bottom w:val="nil"/>
              <w:right w:val="nil"/>
            </w:tcBorders>
          </w:tcPr>
          <w:p w:rsidR="00157A70" w:rsidRDefault="00316F15">
            <w:pPr>
              <w:spacing w:after="0" w:line="259" w:lineRule="auto"/>
              <w:ind w:left="1240" w:right="0" w:firstLine="0"/>
              <w:jc w:val="left"/>
            </w:pPr>
            <w:r>
              <w:t>——</w:t>
            </w:r>
          </w:p>
        </w:tc>
        <w:tc>
          <w:tcPr>
            <w:tcW w:w="2520" w:type="dxa"/>
            <w:tcBorders>
              <w:top w:val="nil"/>
              <w:left w:val="nil"/>
              <w:bottom w:val="nil"/>
              <w:right w:val="nil"/>
            </w:tcBorders>
          </w:tcPr>
          <w:p w:rsidR="00157A70" w:rsidRDefault="00316F15">
            <w:pPr>
              <w:spacing w:after="0" w:line="259" w:lineRule="auto"/>
              <w:ind w:left="560" w:right="0" w:firstLine="0"/>
              <w:jc w:val="left"/>
            </w:pPr>
            <w:r>
              <w:t>——</w:t>
            </w:r>
          </w:p>
        </w:tc>
        <w:tc>
          <w:tcPr>
            <w:tcW w:w="1654" w:type="dxa"/>
            <w:tcBorders>
              <w:top w:val="nil"/>
              <w:left w:val="nil"/>
              <w:bottom w:val="nil"/>
              <w:right w:val="nil"/>
            </w:tcBorders>
          </w:tcPr>
          <w:p w:rsidR="00157A70" w:rsidRDefault="00316F15">
            <w:pPr>
              <w:spacing w:after="0" w:line="259" w:lineRule="auto"/>
              <w:ind w:right="54" w:firstLine="0"/>
              <w:jc w:val="center"/>
            </w:pPr>
            <w:r>
              <w:t>——</w:t>
            </w:r>
          </w:p>
        </w:tc>
      </w:tr>
    </w:tbl>
    <w:tbl>
      <w:tblPr>
        <w:tblStyle w:val="TableGrid"/>
        <w:tblpPr w:vertAnchor="text" w:tblpX="80" w:tblpY="420"/>
        <w:tblOverlap w:val="never"/>
        <w:tblW w:w="9870" w:type="dxa"/>
        <w:tblInd w:w="0" w:type="dxa"/>
        <w:tblLook w:val="04A0" w:firstRow="1" w:lastRow="0" w:firstColumn="1" w:lastColumn="0" w:noHBand="0" w:noVBand="1"/>
      </w:tblPr>
      <w:tblGrid>
        <w:gridCol w:w="6832"/>
        <w:gridCol w:w="2007"/>
        <w:gridCol w:w="1031"/>
      </w:tblGrid>
      <w:tr w:rsidR="00157A70">
        <w:trPr>
          <w:trHeight w:val="1060"/>
        </w:trPr>
        <w:tc>
          <w:tcPr>
            <w:tcW w:w="8840" w:type="dxa"/>
            <w:gridSpan w:val="2"/>
            <w:tcBorders>
              <w:top w:val="nil"/>
              <w:left w:val="nil"/>
              <w:bottom w:val="nil"/>
              <w:right w:val="nil"/>
            </w:tcBorders>
          </w:tcPr>
          <w:p w:rsidR="00157A70" w:rsidRDefault="00316F15">
            <w:pPr>
              <w:tabs>
                <w:tab w:val="center" w:pos="1345"/>
                <w:tab w:val="center" w:pos="3955"/>
                <w:tab w:val="center" w:pos="6565"/>
              </w:tabs>
              <w:spacing w:after="121" w:line="259" w:lineRule="auto"/>
              <w:ind w:right="0" w:firstLine="0"/>
              <w:jc w:val="left"/>
            </w:pPr>
            <w:r>
              <w:rPr>
                <w:rFonts w:ascii="Calibri" w:eastAsia="Calibri" w:hAnsi="Calibri" w:cs="Calibri"/>
                <w:color w:val="000000"/>
                <w:sz w:val="22"/>
              </w:rPr>
              <w:tab/>
            </w:r>
            <w:r>
              <w:t>(1)</w:t>
            </w:r>
            <w:r>
              <w:tab/>
              <w:t>(2)</w:t>
            </w:r>
            <w:r>
              <w:tab/>
              <w:t>(3)</w:t>
            </w:r>
          </w:p>
          <w:p w:rsidR="00157A70" w:rsidRDefault="00316F15">
            <w:pPr>
              <w:spacing w:after="0" w:line="259" w:lineRule="auto"/>
              <w:ind w:left="560" w:right="1381" w:firstLine="80"/>
              <w:jc w:val="left"/>
            </w:pPr>
            <w:r>
              <w:rPr>
                <w:i/>
              </w:rPr>
              <w:t>Flip Second Coin</w:t>
            </w:r>
            <w:r>
              <w:rPr>
                <w:i/>
              </w:rPr>
              <w:tab/>
              <w:t>Sure Win</w:t>
            </w:r>
            <w:r>
              <w:rPr>
                <w:i/>
              </w:rPr>
              <w:tab/>
              <w:t xml:space="preserve">Doesn’t Matter to Me </w:t>
            </w:r>
            <w:r>
              <w:t xml:space="preserve">If Heads, Win </w:t>
            </w:r>
            <w:r>
              <w:rPr>
                <w:b/>
              </w:rPr>
              <w:t>$100</w:t>
            </w:r>
            <w:r>
              <w:rPr>
                <w:b/>
              </w:rPr>
              <w:tab/>
            </w:r>
            <w:r>
              <w:t xml:space="preserve">Win </w:t>
            </w:r>
            <w:r>
              <w:rPr>
                <w:b/>
              </w:rPr>
              <w:t xml:space="preserve">$50 </w:t>
            </w:r>
            <w:r>
              <w:t>for sure</w:t>
            </w:r>
            <w:r>
              <w:tab/>
              <w:t xml:space="preserve">If Tails, win </w:t>
            </w:r>
            <w:r>
              <w:rPr>
                <w:b/>
              </w:rPr>
              <w:t>$0</w:t>
            </w:r>
          </w:p>
        </w:tc>
        <w:tc>
          <w:tcPr>
            <w:tcW w:w="1031" w:type="dxa"/>
            <w:vMerge w:val="restart"/>
            <w:tcBorders>
              <w:top w:val="nil"/>
              <w:left w:val="nil"/>
              <w:bottom w:val="nil"/>
              <w:right w:val="nil"/>
            </w:tcBorders>
          </w:tcPr>
          <w:p w:rsidR="00157A70" w:rsidRDefault="00157A70">
            <w:pPr>
              <w:spacing w:after="160" w:line="259" w:lineRule="auto"/>
              <w:ind w:right="0" w:firstLine="0"/>
              <w:jc w:val="left"/>
            </w:pPr>
          </w:p>
        </w:tc>
      </w:tr>
      <w:tr w:rsidR="00157A70">
        <w:trPr>
          <w:trHeight w:val="1242"/>
        </w:trPr>
        <w:tc>
          <w:tcPr>
            <w:tcW w:w="6833" w:type="dxa"/>
            <w:tcBorders>
              <w:top w:val="nil"/>
              <w:left w:val="nil"/>
              <w:bottom w:val="nil"/>
              <w:right w:val="nil"/>
            </w:tcBorders>
          </w:tcPr>
          <w:p w:rsidR="00157A70" w:rsidRDefault="00316F15">
            <w:pPr>
              <w:tabs>
                <w:tab w:val="center" w:pos="1340"/>
                <w:tab w:val="center" w:pos="3940"/>
                <w:tab w:val="right" w:pos="6833"/>
              </w:tabs>
              <w:spacing w:after="439" w:line="259" w:lineRule="auto"/>
              <w:ind w:right="0" w:firstLine="0"/>
              <w:jc w:val="left"/>
            </w:pPr>
            <w:r>
              <w:rPr>
                <w:rFonts w:ascii="Calibri" w:eastAsia="Calibri" w:hAnsi="Calibri" w:cs="Calibri"/>
                <w:color w:val="000000"/>
                <w:sz w:val="22"/>
              </w:rPr>
              <w:tab/>
            </w:r>
            <w:r>
              <w:t>——</w:t>
            </w:r>
            <w:r>
              <w:tab/>
              <w:t>——</w:t>
            </w:r>
            <w:r>
              <w:tab/>
              <w:t>——</w:t>
            </w:r>
          </w:p>
          <w:p w:rsidR="00157A70" w:rsidRDefault="00316F15">
            <w:pPr>
              <w:spacing w:after="50" w:line="259" w:lineRule="auto"/>
              <w:ind w:left="2967" w:right="0" w:firstLine="0"/>
              <w:jc w:val="center"/>
            </w:pPr>
            <w:r>
              <w:rPr>
                <w:sz w:val="20"/>
              </w:rPr>
              <w:t>Appendix B</w:t>
            </w:r>
          </w:p>
          <w:p w:rsidR="00157A70" w:rsidRDefault="00316F15">
            <w:pPr>
              <w:spacing w:after="0" w:line="259" w:lineRule="auto"/>
              <w:ind w:right="389" w:firstLine="0"/>
              <w:jc w:val="right"/>
            </w:pPr>
            <w:r>
              <w:rPr>
                <w:sz w:val="20"/>
              </w:rPr>
              <w:t>DOI Items and Response Frequencies</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0" w:type="auto"/>
            <w:vMerge/>
            <w:tcBorders>
              <w:top w:val="nil"/>
              <w:left w:val="nil"/>
              <w:bottom w:val="nil"/>
              <w:right w:val="nil"/>
            </w:tcBorders>
          </w:tcPr>
          <w:p w:rsidR="00157A70" w:rsidRDefault="00157A70">
            <w:pPr>
              <w:spacing w:after="160" w:line="259" w:lineRule="auto"/>
              <w:ind w:right="0" w:firstLine="0"/>
              <w:jc w:val="left"/>
            </w:pPr>
          </w:p>
        </w:tc>
      </w:tr>
      <w:tr w:rsidR="00157A70">
        <w:trPr>
          <w:trHeight w:val="901"/>
        </w:trPr>
        <w:tc>
          <w:tcPr>
            <w:tcW w:w="6833" w:type="dxa"/>
            <w:tcBorders>
              <w:top w:val="nil"/>
              <w:left w:val="nil"/>
              <w:bottom w:val="nil"/>
              <w:right w:val="nil"/>
            </w:tcBorders>
            <w:vAlign w:val="bottom"/>
          </w:tcPr>
          <w:p w:rsidR="00157A70" w:rsidRDefault="00316F15">
            <w:pPr>
              <w:spacing w:after="0" w:line="259" w:lineRule="auto"/>
              <w:ind w:left="1814" w:right="0" w:firstLine="0"/>
              <w:jc w:val="left"/>
            </w:pPr>
            <w:r>
              <w:rPr>
                <w:sz w:val="16"/>
                <w:u w:val="single" w:color="181717"/>
              </w:rPr>
              <w:t xml:space="preserve">In the last 10 years, </w:t>
            </w:r>
            <w:r>
              <w:rPr>
                <w:sz w:val="16"/>
              </w:rPr>
              <w:t>have you ever . . .</w:t>
            </w:r>
          </w:p>
        </w:tc>
        <w:tc>
          <w:tcPr>
            <w:tcW w:w="2007" w:type="dxa"/>
            <w:tcBorders>
              <w:top w:val="nil"/>
              <w:left w:val="nil"/>
              <w:bottom w:val="nil"/>
              <w:right w:val="nil"/>
            </w:tcBorders>
            <w:vAlign w:val="bottom"/>
          </w:tcPr>
          <w:p w:rsidR="00157A70" w:rsidRDefault="00316F15">
            <w:pPr>
              <w:spacing w:after="0" w:line="259" w:lineRule="auto"/>
              <w:ind w:left="324" w:right="381" w:hanging="324"/>
              <w:jc w:val="left"/>
            </w:pPr>
            <w:r>
              <w:rPr>
                <w:sz w:val="16"/>
              </w:rPr>
              <w:t>Percentage who made the decision</w:t>
            </w:r>
          </w:p>
        </w:tc>
        <w:tc>
          <w:tcPr>
            <w:tcW w:w="1031" w:type="dxa"/>
            <w:tcBorders>
              <w:top w:val="nil"/>
              <w:left w:val="nil"/>
              <w:bottom w:val="nil"/>
              <w:right w:val="nil"/>
            </w:tcBorders>
            <w:vAlign w:val="center"/>
          </w:tcPr>
          <w:p w:rsidR="00157A70" w:rsidRDefault="00316F15">
            <w:pPr>
              <w:spacing w:after="0" w:line="259" w:lineRule="auto"/>
              <w:ind w:right="0" w:firstLine="0"/>
              <w:jc w:val="center"/>
            </w:pPr>
            <w:r>
              <w:rPr>
                <w:sz w:val="16"/>
              </w:rPr>
              <w:t>Percentage who experienced the outcome (given the decision)</w:t>
            </w:r>
          </w:p>
        </w:tc>
      </w:tr>
      <w:tr w:rsidR="00157A70">
        <w:trPr>
          <w:trHeight w:val="265"/>
        </w:trPr>
        <w:tc>
          <w:tcPr>
            <w:tcW w:w="6833" w:type="dxa"/>
            <w:tcBorders>
              <w:top w:val="nil"/>
              <w:left w:val="nil"/>
              <w:bottom w:val="nil"/>
              <w:right w:val="nil"/>
            </w:tcBorders>
          </w:tcPr>
          <w:p w:rsidR="00157A70" w:rsidRDefault="00316F15">
            <w:pPr>
              <w:spacing w:after="0" w:line="259" w:lineRule="auto"/>
              <w:ind w:right="0" w:firstLine="0"/>
              <w:jc w:val="left"/>
            </w:pPr>
            <w:r>
              <w:rPr>
                <w:sz w:val="16"/>
              </w:rPr>
              <w:t>1. a. Rented a movie</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89.3</w:t>
            </w:r>
          </w:p>
        </w:tc>
        <w:tc>
          <w:tcPr>
            <w:tcW w:w="1031" w:type="dxa"/>
            <w:tcBorders>
              <w:top w:val="nil"/>
              <w:left w:val="nil"/>
              <w:bottom w:val="nil"/>
              <w:right w:val="nil"/>
            </w:tcBorders>
          </w:tcPr>
          <w:p w:rsidR="00157A70" w:rsidRDefault="00157A70">
            <w:pPr>
              <w:spacing w:after="160" w:line="259" w:lineRule="auto"/>
              <w:ind w:right="0" w:firstLine="0"/>
              <w:jc w:val="left"/>
            </w:pPr>
          </w:p>
        </w:tc>
      </w:tr>
      <w:tr w:rsidR="00157A70">
        <w:trPr>
          <w:trHeight w:val="180"/>
        </w:trPr>
        <w:tc>
          <w:tcPr>
            <w:tcW w:w="6833" w:type="dxa"/>
            <w:tcBorders>
              <w:top w:val="nil"/>
              <w:left w:val="nil"/>
              <w:bottom w:val="nil"/>
              <w:right w:val="nil"/>
            </w:tcBorders>
          </w:tcPr>
          <w:p w:rsidR="00157A70" w:rsidRDefault="00316F15">
            <w:pPr>
              <w:spacing w:after="0" w:line="259" w:lineRule="auto"/>
              <w:ind w:left="200" w:right="0" w:firstLine="0"/>
              <w:jc w:val="left"/>
            </w:pPr>
            <w:r>
              <w:rPr>
                <w:sz w:val="16"/>
              </w:rPr>
              <w:t>b. Returned a movie you rented without having watched it at all</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31" w:type="dxa"/>
            <w:tcBorders>
              <w:top w:val="nil"/>
              <w:left w:val="nil"/>
              <w:bottom w:val="nil"/>
              <w:right w:val="nil"/>
            </w:tcBorders>
          </w:tcPr>
          <w:p w:rsidR="00157A70" w:rsidRDefault="00316F15">
            <w:pPr>
              <w:spacing w:after="0" w:line="259" w:lineRule="auto"/>
              <w:ind w:right="0" w:firstLine="0"/>
              <w:jc w:val="center"/>
            </w:pPr>
            <w:r>
              <w:rPr>
                <w:sz w:val="16"/>
              </w:rPr>
              <w:t>61.4</w:t>
            </w:r>
          </w:p>
        </w:tc>
      </w:tr>
      <w:tr w:rsidR="00157A70">
        <w:trPr>
          <w:trHeight w:val="180"/>
        </w:trPr>
        <w:tc>
          <w:tcPr>
            <w:tcW w:w="6833" w:type="dxa"/>
            <w:tcBorders>
              <w:top w:val="nil"/>
              <w:left w:val="nil"/>
              <w:bottom w:val="nil"/>
              <w:right w:val="nil"/>
            </w:tcBorders>
          </w:tcPr>
          <w:p w:rsidR="00157A70" w:rsidRDefault="00316F15">
            <w:pPr>
              <w:spacing w:after="0" w:line="259" w:lineRule="auto"/>
              <w:ind w:right="0" w:firstLine="0"/>
              <w:jc w:val="left"/>
            </w:pPr>
            <w:r>
              <w:rPr>
                <w:sz w:val="16"/>
              </w:rPr>
              <w:t>2. a. Bought new clothes or shoes</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96.9</w:t>
            </w:r>
          </w:p>
        </w:tc>
        <w:tc>
          <w:tcPr>
            <w:tcW w:w="1031" w:type="dxa"/>
            <w:tcBorders>
              <w:top w:val="nil"/>
              <w:left w:val="nil"/>
              <w:bottom w:val="nil"/>
              <w:right w:val="nil"/>
            </w:tcBorders>
          </w:tcPr>
          <w:p w:rsidR="00157A70" w:rsidRDefault="00157A70">
            <w:pPr>
              <w:spacing w:after="160" w:line="259" w:lineRule="auto"/>
              <w:ind w:right="0" w:firstLine="0"/>
              <w:jc w:val="left"/>
            </w:pPr>
          </w:p>
        </w:tc>
      </w:tr>
      <w:tr w:rsidR="00157A70">
        <w:trPr>
          <w:trHeight w:val="180"/>
        </w:trPr>
        <w:tc>
          <w:tcPr>
            <w:tcW w:w="6833" w:type="dxa"/>
            <w:tcBorders>
              <w:top w:val="nil"/>
              <w:left w:val="nil"/>
              <w:bottom w:val="nil"/>
              <w:right w:val="nil"/>
            </w:tcBorders>
          </w:tcPr>
          <w:p w:rsidR="00157A70" w:rsidRDefault="00316F15">
            <w:pPr>
              <w:spacing w:after="0" w:line="259" w:lineRule="auto"/>
              <w:ind w:left="200" w:right="0" w:firstLine="0"/>
              <w:jc w:val="left"/>
            </w:pPr>
            <w:r>
              <w:rPr>
                <w:sz w:val="16"/>
              </w:rPr>
              <w:t>b. Bought new clothes or shoes you never wore</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31" w:type="dxa"/>
            <w:tcBorders>
              <w:top w:val="nil"/>
              <w:left w:val="nil"/>
              <w:bottom w:val="nil"/>
              <w:right w:val="nil"/>
            </w:tcBorders>
          </w:tcPr>
          <w:p w:rsidR="00157A70" w:rsidRDefault="00316F15">
            <w:pPr>
              <w:spacing w:after="0" w:line="259" w:lineRule="auto"/>
              <w:ind w:right="0" w:firstLine="0"/>
              <w:jc w:val="center"/>
            </w:pPr>
            <w:r>
              <w:rPr>
                <w:sz w:val="16"/>
              </w:rPr>
              <w:t>52.5</w:t>
            </w:r>
          </w:p>
        </w:tc>
      </w:tr>
      <w:tr w:rsidR="00157A70">
        <w:trPr>
          <w:trHeight w:val="180"/>
        </w:trPr>
        <w:tc>
          <w:tcPr>
            <w:tcW w:w="6833" w:type="dxa"/>
            <w:tcBorders>
              <w:top w:val="nil"/>
              <w:left w:val="nil"/>
              <w:bottom w:val="nil"/>
              <w:right w:val="nil"/>
            </w:tcBorders>
          </w:tcPr>
          <w:p w:rsidR="00157A70" w:rsidRDefault="00316F15">
            <w:pPr>
              <w:spacing w:after="0" w:line="259" w:lineRule="auto"/>
              <w:ind w:right="0" w:firstLine="0"/>
              <w:jc w:val="left"/>
            </w:pPr>
            <w:r>
              <w:rPr>
                <w:sz w:val="16"/>
              </w:rPr>
              <w:t>3. a. Gone shopping for food or groceries</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99.4</w:t>
            </w:r>
          </w:p>
        </w:tc>
        <w:tc>
          <w:tcPr>
            <w:tcW w:w="1031" w:type="dxa"/>
            <w:tcBorders>
              <w:top w:val="nil"/>
              <w:left w:val="nil"/>
              <w:bottom w:val="nil"/>
              <w:right w:val="nil"/>
            </w:tcBorders>
          </w:tcPr>
          <w:p w:rsidR="00157A70" w:rsidRDefault="00157A70">
            <w:pPr>
              <w:spacing w:after="160" w:line="259" w:lineRule="auto"/>
              <w:ind w:right="0" w:firstLine="0"/>
              <w:jc w:val="left"/>
            </w:pPr>
          </w:p>
        </w:tc>
      </w:tr>
      <w:tr w:rsidR="00157A70">
        <w:trPr>
          <w:trHeight w:val="180"/>
        </w:trPr>
        <w:tc>
          <w:tcPr>
            <w:tcW w:w="6833" w:type="dxa"/>
            <w:tcBorders>
              <w:top w:val="nil"/>
              <w:left w:val="nil"/>
              <w:bottom w:val="nil"/>
              <w:right w:val="nil"/>
            </w:tcBorders>
          </w:tcPr>
          <w:p w:rsidR="00157A70" w:rsidRDefault="00316F15">
            <w:pPr>
              <w:spacing w:after="0" w:line="259" w:lineRule="auto"/>
              <w:ind w:left="200" w:right="0" w:firstLine="0"/>
              <w:jc w:val="left"/>
            </w:pPr>
            <w:r>
              <w:rPr>
                <w:sz w:val="16"/>
              </w:rPr>
              <w:t>b. Threw out food or groceries you had bought because they went bad</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31" w:type="dxa"/>
            <w:tcBorders>
              <w:top w:val="nil"/>
              <w:left w:val="nil"/>
              <w:bottom w:val="nil"/>
              <w:right w:val="nil"/>
            </w:tcBorders>
          </w:tcPr>
          <w:p w:rsidR="00157A70" w:rsidRDefault="00316F15">
            <w:pPr>
              <w:spacing w:after="0" w:line="259" w:lineRule="auto"/>
              <w:ind w:right="0" w:firstLine="0"/>
              <w:jc w:val="center"/>
            </w:pPr>
            <w:r>
              <w:rPr>
                <w:sz w:val="16"/>
              </w:rPr>
              <w:t>80.8</w:t>
            </w:r>
          </w:p>
        </w:tc>
      </w:tr>
      <w:tr w:rsidR="00157A70">
        <w:trPr>
          <w:trHeight w:val="180"/>
        </w:trPr>
        <w:tc>
          <w:tcPr>
            <w:tcW w:w="6833" w:type="dxa"/>
            <w:tcBorders>
              <w:top w:val="nil"/>
              <w:left w:val="nil"/>
              <w:bottom w:val="nil"/>
              <w:right w:val="nil"/>
            </w:tcBorders>
          </w:tcPr>
          <w:p w:rsidR="00157A70" w:rsidRDefault="00316F15">
            <w:pPr>
              <w:spacing w:after="0" w:line="259" w:lineRule="auto"/>
              <w:ind w:right="0" w:firstLine="0"/>
              <w:jc w:val="left"/>
            </w:pPr>
            <w:r>
              <w:rPr>
                <w:sz w:val="16"/>
              </w:rPr>
              <w:t>4. a. Done your own laundry</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96.3</w:t>
            </w:r>
          </w:p>
        </w:tc>
        <w:tc>
          <w:tcPr>
            <w:tcW w:w="1031" w:type="dxa"/>
            <w:tcBorders>
              <w:top w:val="nil"/>
              <w:left w:val="nil"/>
              <w:bottom w:val="nil"/>
              <w:right w:val="nil"/>
            </w:tcBorders>
          </w:tcPr>
          <w:p w:rsidR="00157A70" w:rsidRDefault="00157A70">
            <w:pPr>
              <w:spacing w:after="160" w:line="259" w:lineRule="auto"/>
              <w:ind w:right="0" w:firstLine="0"/>
              <w:jc w:val="left"/>
            </w:pPr>
          </w:p>
        </w:tc>
      </w:tr>
      <w:tr w:rsidR="00157A70">
        <w:trPr>
          <w:trHeight w:val="180"/>
        </w:trPr>
        <w:tc>
          <w:tcPr>
            <w:tcW w:w="6833" w:type="dxa"/>
            <w:tcBorders>
              <w:top w:val="nil"/>
              <w:left w:val="nil"/>
              <w:bottom w:val="nil"/>
              <w:right w:val="nil"/>
            </w:tcBorders>
          </w:tcPr>
          <w:p w:rsidR="00157A70" w:rsidRDefault="00316F15">
            <w:pPr>
              <w:spacing w:after="0" w:line="259" w:lineRule="auto"/>
              <w:ind w:left="200" w:right="0" w:firstLine="0"/>
              <w:jc w:val="left"/>
            </w:pPr>
            <w:r>
              <w:rPr>
                <w:sz w:val="16"/>
              </w:rPr>
              <w:t>b. Ruined your clothes because you didn’t follow the laundry instructions on the label</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31" w:type="dxa"/>
            <w:tcBorders>
              <w:top w:val="nil"/>
              <w:left w:val="nil"/>
              <w:bottom w:val="nil"/>
              <w:right w:val="nil"/>
            </w:tcBorders>
          </w:tcPr>
          <w:p w:rsidR="00157A70" w:rsidRDefault="00316F15">
            <w:pPr>
              <w:spacing w:after="0" w:line="259" w:lineRule="auto"/>
              <w:ind w:right="0" w:firstLine="0"/>
              <w:jc w:val="center"/>
            </w:pPr>
            <w:r>
              <w:rPr>
                <w:sz w:val="16"/>
              </w:rPr>
              <w:t>44.2</w:t>
            </w:r>
          </w:p>
        </w:tc>
      </w:tr>
      <w:tr w:rsidR="00157A70">
        <w:trPr>
          <w:trHeight w:val="180"/>
        </w:trPr>
        <w:tc>
          <w:tcPr>
            <w:tcW w:w="6833" w:type="dxa"/>
            <w:tcBorders>
              <w:top w:val="nil"/>
              <w:left w:val="nil"/>
              <w:bottom w:val="nil"/>
              <w:right w:val="nil"/>
            </w:tcBorders>
          </w:tcPr>
          <w:p w:rsidR="00157A70" w:rsidRDefault="00316F15">
            <w:pPr>
              <w:spacing w:after="0" w:line="259" w:lineRule="auto"/>
              <w:ind w:right="0" w:firstLine="0"/>
              <w:jc w:val="left"/>
            </w:pPr>
            <w:r>
              <w:rPr>
                <w:sz w:val="16"/>
              </w:rPr>
              <w:t>5. a. Been enrolled in any kind of school</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57.0</w:t>
            </w:r>
          </w:p>
        </w:tc>
        <w:tc>
          <w:tcPr>
            <w:tcW w:w="1031" w:type="dxa"/>
            <w:tcBorders>
              <w:top w:val="nil"/>
              <w:left w:val="nil"/>
              <w:bottom w:val="nil"/>
              <w:right w:val="nil"/>
            </w:tcBorders>
          </w:tcPr>
          <w:p w:rsidR="00157A70" w:rsidRDefault="00157A70">
            <w:pPr>
              <w:spacing w:after="160" w:line="259" w:lineRule="auto"/>
              <w:ind w:right="0" w:firstLine="0"/>
              <w:jc w:val="left"/>
            </w:pPr>
          </w:p>
        </w:tc>
      </w:tr>
      <w:tr w:rsidR="00157A70">
        <w:trPr>
          <w:trHeight w:val="180"/>
        </w:trPr>
        <w:tc>
          <w:tcPr>
            <w:tcW w:w="6833" w:type="dxa"/>
            <w:tcBorders>
              <w:top w:val="nil"/>
              <w:left w:val="nil"/>
              <w:bottom w:val="nil"/>
              <w:right w:val="nil"/>
            </w:tcBorders>
          </w:tcPr>
          <w:p w:rsidR="00157A70" w:rsidRDefault="00316F15">
            <w:pPr>
              <w:spacing w:after="0" w:line="259" w:lineRule="auto"/>
              <w:ind w:left="200" w:right="0" w:firstLine="0"/>
              <w:jc w:val="left"/>
            </w:pPr>
            <w:r>
              <w:rPr>
                <w:sz w:val="16"/>
              </w:rPr>
              <w:t>b. Been suspended from school for at least one day for any reason</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31" w:type="dxa"/>
            <w:tcBorders>
              <w:top w:val="nil"/>
              <w:left w:val="nil"/>
              <w:bottom w:val="nil"/>
              <w:right w:val="nil"/>
            </w:tcBorders>
          </w:tcPr>
          <w:p w:rsidR="00157A70" w:rsidRDefault="00316F15">
            <w:pPr>
              <w:spacing w:after="0" w:line="259" w:lineRule="auto"/>
              <w:ind w:right="0" w:firstLine="0"/>
              <w:jc w:val="center"/>
            </w:pPr>
            <w:r>
              <w:rPr>
                <w:sz w:val="16"/>
              </w:rPr>
              <w:t>10.0</w:t>
            </w:r>
          </w:p>
        </w:tc>
      </w:tr>
      <w:tr w:rsidR="00157A70">
        <w:trPr>
          <w:trHeight w:val="180"/>
        </w:trPr>
        <w:tc>
          <w:tcPr>
            <w:tcW w:w="6833" w:type="dxa"/>
            <w:tcBorders>
              <w:top w:val="nil"/>
              <w:left w:val="nil"/>
              <w:bottom w:val="nil"/>
              <w:right w:val="nil"/>
            </w:tcBorders>
          </w:tcPr>
          <w:p w:rsidR="00157A70" w:rsidRDefault="00316F15">
            <w:pPr>
              <w:spacing w:after="0" w:line="259" w:lineRule="auto"/>
              <w:ind w:right="0" w:firstLine="0"/>
              <w:jc w:val="left"/>
            </w:pPr>
            <w:r>
              <w:rPr>
                <w:sz w:val="16"/>
              </w:rPr>
              <w:t>6. a. Had any kind of job</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83.3</w:t>
            </w:r>
          </w:p>
        </w:tc>
        <w:tc>
          <w:tcPr>
            <w:tcW w:w="1031" w:type="dxa"/>
            <w:tcBorders>
              <w:top w:val="nil"/>
              <w:left w:val="nil"/>
              <w:bottom w:val="nil"/>
              <w:right w:val="nil"/>
            </w:tcBorders>
          </w:tcPr>
          <w:p w:rsidR="00157A70" w:rsidRDefault="00157A70">
            <w:pPr>
              <w:spacing w:after="160" w:line="259" w:lineRule="auto"/>
              <w:ind w:right="0" w:firstLine="0"/>
              <w:jc w:val="left"/>
            </w:pPr>
          </w:p>
        </w:tc>
      </w:tr>
      <w:tr w:rsidR="00157A70">
        <w:trPr>
          <w:trHeight w:val="180"/>
        </w:trPr>
        <w:tc>
          <w:tcPr>
            <w:tcW w:w="6833" w:type="dxa"/>
            <w:tcBorders>
              <w:top w:val="nil"/>
              <w:left w:val="nil"/>
              <w:bottom w:val="nil"/>
              <w:right w:val="nil"/>
            </w:tcBorders>
          </w:tcPr>
          <w:p w:rsidR="00157A70" w:rsidRDefault="00316F15">
            <w:pPr>
              <w:spacing w:after="0" w:line="259" w:lineRule="auto"/>
              <w:ind w:left="200" w:right="0" w:firstLine="0"/>
              <w:jc w:val="left"/>
            </w:pPr>
            <w:r>
              <w:rPr>
                <w:sz w:val="16"/>
              </w:rPr>
              <w:t>b. Quit a job after a week</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31" w:type="dxa"/>
            <w:tcBorders>
              <w:top w:val="nil"/>
              <w:left w:val="nil"/>
              <w:bottom w:val="nil"/>
              <w:right w:val="nil"/>
            </w:tcBorders>
          </w:tcPr>
          <w:p w:rsidR="00157A70" w:rsidRDefault="00316F15">
            <w:pPr>
              <w:spacing w:after="0" w:line="259" w:lineRule="auto"/>
              <w:ind w:left="80" w:right="0" w:firstLine="0"/>
              <w:jc w:val="center"/>
            </w:pPr>
            <w:r>
              <w:rPr>
                <w:sz w:val="16"/>
              </w:rPr>
              <w:t>9.4</w:t>
            </w:r>
          </w:p>
        </w:tc>
      </w:tr>
      <w:tr w:rsidR="00157A70">
        <w:trPr>
          <w:trHeight w:val="180"/>
        </w:trPr>
        <w:tc>
          <w:tcPr>
            <w:tcW w:w="6833" w:type="dxa"/>
            <w:tcBorders>
              <w:top w:val="nil"/>
              <w:left w:val="nil"/>
              <w:bottom w:val="nil"/>
              <w:right w:val="nil"/>
            </w:tcBorders>
          </w:tcPr>
          <w:p w:rsidR="00157A70" w:rsidRDefault="00316F15">
            <w:pPr>
              <w:spacing w:after="0" w:line="259" w:lineRule="auto"/>
              <w:ind w:right="0" w:firstLine="0"/>
              <w:jc w:val="left"/>
            </w:pPr>
            <w:r>
              <w:rPr>
                <w:sz w:val="16"/>
              </w:rPr>
              <w:t>7. a. Had a driver’s license</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84.6</w:t>
            </w:r>
          </w:p>
        </w:tc>
        <w:tc>
          <w:tcPr>
            <w:tcW w:w="1031" w:type="dxa"/>
            <w:tcBorders>
              <w:top w:val="nil"/>
              <w:left w:val="nil"/>
              <w:bottom w:val="nil"/>
              <w:right w:val="nil"/>
            </w:tcBorders>
          </w:tcPr>
          <w:p w:rsidR="00157A70" w:rsidRDefault="00157A70">
            <w:pPr>
              <w:spacing w:after="160" w:line="259" w:lineRule="auto"/>
              <w:ind w:right="0" w:firstLine="0"/>
              <w:jc w:val="left"/>
            </w:pPr>
          </w:p>
        </w:tc>
      </w:tr>
      <w:tr w:rsidR="00157A70">
        <w:trPr>
          <w:trHeight w:val="180"/>
        </w:trPr>
        <w:tc>
          <w:tcPr>
            <w:tcW w:w="6833" w:type="dxa"/>
            <w:tcBorders>
              <w:top w:val="nil"/>
              <w:left w:val="nil"/>
              <w:bottom w:val="nil"/>
              <w:right w:val="nil"/>
            </w:tcBorders>
          </w:tcPr>
          <w:p w:rsidR="00157A70" w:rsidRDefault="00316F15">
            <w:pPr>
              <w:spacing w:after="0" w:line="259" w:lineRule="auto"/>
              <w:ind w:left="200" w:right="0" w:firstLine="0"/>
              <w:jc w:val="left"/>
            </w:pPr>
            <w:r>
              <w:rPr>
                <w:sz w:val="16"/>
              </w:rPr>
              <w:t>b. Had your driver’s license taken away from you by the police</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31" w:type="dxa"/>
            <w:tcBorders>
              <w:top w:val="nil"/>
              <w:left w:val="nil"/>
              <w:bottom w:val="nil"/>
              <w:right w:val="nil"/>
            </w:tcBorders>
          </w:tcPr>
          <w:p w:rsidR="00157A70" w:rsidRDefault="00316F15">
            <w:pPr>
              <w:spacing w:after="0" w:line="259" w:lineRule="auto"/>
              <w:ind w:left="80" w:right="0" w:firstLine="0"/>
              <w:jc w:val="center"/>
            </w:pPr>
            <w:r>
              <w:rPr>
                <w:sz w:val="16"/>
              </w:rPr>
              <w:t>6.9</w:t>
            </w:r>
          </w:p>
        </w:tc>
      </w:tr>
      <w:tr w:rsidR="00157A70">
        <w:trPr>
          <w:trHeight w:val="180"/>
        </w:trPr>
        <w:tc>
          <w:tcPr>
            <w:tcW w:w="6833" w:type="dxa"/>
            <w:tcBorders>
              <w:top w:val="nil"/>
              <w:left w:val="nil"/>
              <w:bottom w:val="nil"/>
              <w:right w:val="nil"/>
            </w:tcBorders>
          </w:tcPr>
          <w:p w:rsidR="00157A70" w:rsidRDefault="00316F15">
            <w:pPr>
              <w:spacing w:after="0" w:line="259" w:lineRule="auto"/>
              <w:ind w:right="0" w:firstLine="0"/>
              <w:jc w:val="left"/>
            </w:pPr>
            <w:r>
              <w:rPr>
                <w:sz w:val="16"/>
              </w:rPr>
              <w:t>8. a. Driven a car</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89.1</w:t>
            </w:r>
          </w:p>
        </w:tc>
        <w:tc>
          <w:tcPr>
            <w:tcW w:w="1031" w:type="dxa"/>
            <w:tcBorders>
              <w:top w:val="nil"/>
              <w:left w:val="nil"/>
              <w:bottom w:val="nil"/>
              <w:right w:val="nil"/>
            </w:tcBorders>
          </w:tcPr>
          <w:p w:rsidR="00157A70" w:rsidRDefault="00157A70">
            <w:pPr>
              <w:spacing w:after="160" w:line="259" w:lineRule="auto"/>
              <w:ind w:right="0" w:firstLine="0"/>
              <w:jc w:val="left"/>
            </w:pPr>
          </w:p>
        </w:tc>
      </w:tr>
      <w:tr w:rsidR="00157A70">
        <w:trPr>
          <w:trHeight w:val="180"/>
        </w:trPr>
        <w:tc>
          <w:tcPr>
            <w:tcW w:w="6833" w:type="dxa"/>
            <w:tcBorders>
              <w:top w:val="nil"/>
              <w:left w:val="nil"/>
              <w:bottom w:val="nil"/>
              <w:right w:val="nil"/>
            </w:tcBorders>
          </w:tcPr>
          <w:p w:rsidR="00157A70" w:rsidRDefault="00316F15">
            <w:pPr>
              <w:spacing w:after="0" w:line="259" w:lineRule="auto"/>
              <w:ind w:left="200" w:right="0" w:firstLine="0"/>
              <w:jc w:val="left"/>
            </w:pPr>
            <w:r>
              <w:rPr>
                <w:sz w:val="16"/>
              </w:rPr>
              <w:t>b. Been accused of causing a car accident while driving</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31" w:type="dxa"/>
            <w:tcBorders>
              <w:top w:val="nil"/>
              <w:left w:val="nil"/>
              <w:bottom w:val="nil"/>
              <w:right w:val="nil"/>
            </w:tcBorders>
          </w:tcPr>
          <w:p w:rsidR="00157A70" w:rsidRDefault="00316F15">
            <w:pPr>
              <w:spacing w:after="0" w:line="259" w:lineRule="auto"/>
              <w:ind w:right="0" w:firstLine="0"/>
              <w:jc w:val="center"/>
            </w:pPr>
            <w:r>
              <w:rPr>
                <w:sz w:val="16"/>
              </w:rPr>
              <w:t>14.2</w:t>
            </w:r>
          </w:p>
        </w:tc>
      </w:tr>
      <w:tr w:rsidR="00157A70">
        <w:trPr>
          <w:trHeight w:val="180"/>
        </w:trPr>
        <w:tc>
          <w:tcPr>
            <w:tcW w:w="6833" w:type="dxa"/>
            <w:tcBorders>
              <w:top w:val="nil"/>
              <w:left w:val="nil"/>
              <w:bottom w:val="nil"/>
              <w:right w:val="nil"/>
            </w:tcBorders>
          </w:tcPr>
          <w:p w:rsidR="00157A70" w:rsidRDefault="00316F15">
            <w:pPr>
              <w:spacing w:after="0" w:line="259" w:lineRule="auto"/>
              <w:ind w:left="200" w:right="0" w:firstLine="0"/>
              <w:jc w:val="left"/>
            </w:pPr>
            <w:r>
              <w:rPr>
                <w:sz w:val="16"/>
              </w:rPr>
              <w:lastRenderedPageBreak/>
              <w:t>c. Gotten more than 5 parking tickets</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31" w:type="dxa"/>
            <w:tcBorders>
              <w:top w:val="nil"/>
              <w:left w:val="nil"/>
              <w:bottom w:val="nil"/>
              <w:right w:val="nil"/>
            </w:tcBorders>
          </w:tcPr>
          <w:p w:rsidR="00157A70" w:rsidRDefault="00316F15">
            <w:pPr>
              <w:spacing w:after="0" w:line="259" w:lineRule="auto"/>
              <w:ind w:left="80" w:right="0" w:firstLine="0"/>
              <w:jc w:val="center"/>
            </w:pPr>
            <w:r>
              <w:rPr>
                <w:sz w:val="16"/>
              </w:rPr>
              <w:t>7.2</w:t>
            </w:r>
          </w:p>
        </w:tc>
      </w:tr>
      <w:tr w:rsidR="00157A70">
        <w:trPr>
          <w:trHeight w:val="180"/>
        </w:trPr>
        <w:tc>
          <w:tcPr>
            <w:tcW w:w="6833" w:type="dxa"/>
            <w:tcBorders>
              <w:top w:val="nil"/>
              <w:left w:val="nil"/>
              <w:bottom w:val="nil"/>
              <w:right w:val="nil"/>
            </w:tcBorders>
          </w:tcPr>
          <w:p w:rsidR="00157A70" w:rsidRDefault="00316F15">
            <w:pPr>
              <w:spacing w:after="0" w:line="259" w:lineRule="auto"/>
              <w:ind w:left="200" w:right="0" w:firstLine="0"/>
              <w:jc w:val="left"/>
            </w:pPr>
            <w:r>
              <w:rPr>
                <w:sz w:val="16"/>
              </w:rPr>
              <w:t>d. Gotten more than 5 speeding tickets</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31" w:type="dxa"/>
            <w:tcBorders>
              <w:top w:val="nil"/>
              <w:left w:val="nil"/>
              <w:bottom w:val="nil"/>
              <w:right w:val="nil"/>
            </w:tcBorders>
          </w:tcPr>
          <w:p w:rsidR="00157A70" w:rsidRDefault="00316F15">
            <w:pPr>
              <w:spacing w:after="0" w:line="259" w:lineRule="auto"/>
              <w:ind w:left="80" w:right="0" w:firstLine="0"/>
              <w:jc w:val="center"/>
            </w:pPr>
            <w:r>
              <w:rPr>
                <w:sz w:val="16"/>
              </w:rPr>
              <w:t>3.9</w:t>
            </w:r>
          </w:p>
        </w:tc>
      </w:tr>
      <w:tr w:rsidR="00157A70">
        <w:trPr>
          <w:trHeight w:val="180"/>
        </w:trPr>
        <w:tc>
          <w:tcPr>
            <w:tcW w:w="6833" w:type="dxa"/>
            <w:tcBorders>
              <w:top w:val="nil"/>
              <w:left w:val="nil"/>
              <w:bottom w:val="nil"/>
              <w:right w:val="nil"/>
            </w:tcBorders>
          </w:tcPr>
          <w:p w:rsidR="00157A70" w:rsidRDefault="00316F15">
            <w:pPr>
              <w:spacing w:after="0" w:line="259" w:lineRule="auto"/>
              <w:ind w:left="200" w:right="0" w:firstLine="0"/>
              <w:jc w:val="left"/>
            </w:pPr>
            <w:r>
              <w:rPr>
                <w:sz w:val="16"/>
              </w:rPr>
              <w:t>e. Gotten lost or gone the wrong way for more than 10 minutes while driving</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31" w:type="dxa"/>
            <w:tcBorders>
              <w:top w:val="nil"/>
              <w:left w:val="nil"/>
              <w:bottom w:val="nil"/>
              <w:right w:val="nil"/>
            </w:tcBorders>
          </w:tcPr>
          <w:p w:rsidR="00157A70" w:rsidRDefault="00316F15">
            <w:pPr>
              <w:spacing w:after="0" w:line="259" w:lineRule="auto"/>
              <w:ind w:right="0" w:firstLine="0"/>
              <w:jc w:val="center"/>
            </w:pPr>
            <w:r>
              <w:rPr>
                <w:sz w:val="16"/>
              </w:rPr>
              <w:t>53.9</w:t>
            </w:r>
          </w:p>
        </w:tc>
      </w:tr>
      <w:tr w:rsidR="00157A70">
        <w:trPr>
          <w:trHeight w:val="180"/>
        </w:trPr>
        <w:tc>
          <w:tcPr>
            <w:tcW w:w="6833" w:type="dxa"/>
            <w:tcBorders>
              <w:top w:val="nil"/>
              <w:left w:val="nil"/>
              <w:bottom w:val="nil"/>
              <w:right w:val="nil"/>
            </w:tcBorders>
          </w:tcPr>
          <w:p w:rsidR="00157A70" w:rsidRDefault="00316F15">
            <w:pPr>
              <w:spacing w:after="0" w:line="259" w:lineRule="auto"/>
              <w:ind w:left="200" w:right="0" w:firstLine="0"/>
              <w:jc w:val="left"/>
            </w:pPr>
            <w:r>
              <w:rPr>
                <w:sz w:val="16"/>
              </w:rPr>
              <w:t>f. Locked your keys in the car</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31" w:type="dxa"/>
            <w:tcBorders>
              <w:top w:val="nil"/>
              <w:left w:val="nil"/>
              <w:bottom w:val="nil"/>
              <w:right w:val="nil"/>
            </w:tcBorders>
          </w:tcPr>
          <w:p w:rsidR="00157A70" w:rsidRDefault="00316F15">
            <w:pPr>
              <w:spacing w:after="0" w:line="259" w:lineRule="auto"/>
              <w:ind w:right="0" w:firstLine="0"/>
              <w:jc w:val="center"/>
            </w:pPr>
            <w:r>
              <w:rPr>
                <w:sz w:val="16"/>
              </w:rPr>
              <w:t>43.6</w:t>
            </w:r>
          </w:p>
        </w:tc>
      </w:tr>
      <w:tr w:rsidR="00157A70">
        <w:trPr>
          <w:trHeight w:val="180"/>
        </w:trPr>
        <w:tc>
          <w:tcPr>
            <w:tcW w:w="6833" w:type="dxa"/>
            <w:tcBorders>
              <w:top w:val="nil"/>
              <w:left w:val="nil"/>
              <w:bottom w:val="nil"/>
              <w:right w:val="nil"/>
            </w:tcBorders>
          </w:tcPr>
          <w:p w:rsidR="00157A70" w:rsidRDefault="00316F15">
            <w:pPr>
              <w:spacing w:after="0" w:line="259" w:lineRule="auto"/>
              <w:ind w:right="0" w:firstLine="0"/>
              <w:jc w:val="left"/>
            </w:pPr>
            <w:r>
              <w:rPr>
                <w:sz w:val="16"/>
              </w:rPr>
              <w:t>9. a. Bought any kind of car</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67.9</w:t>
            </w:r>
          </w:p>
        </w:tc>
        <w:tc>
          <w:tcPr>
            <w:tcW w:w="1031" w:type="dxa"/>
            <w:tcBorders>
              <w:top w:val="nil"/>
              <w:left w:val="nil"/>
              <w:bottom w:val="nil"/>
              <w:right w:val="nil"/>
            </w:tcBorders>
          </w:tcPr>
          <w:p w:rsidR="00157A70" w:rsidRDefault="00157A70">
            <w:pPr>
              <w:spacing w:after="160" w:line="259" w:lineRule="auto"/>
              <w:ind w:right="0" w:firstLine="0"/>
              <w:jc w:val="left"/>
            </w:pPr>
          </w:p>
        </w:tc>
      </w:tr>
      <w:tr w:rsidR="00157A70">
        <w:trPr>
          <w:trHeight w:val="163"/>
        </w:trPr>
        <w:tc>
          <w:tcPr>
            <w:tcW w:w="6833" w:type="dxa"/>
            <w:tcBorders>
              <w:top w:val="nil"/>
              <w:left w:val="nil"/>
              <w:bottom w:val="nil"/>
              <w:right w:val="nil"/>
            </w:tcBorders>
          </w:tcPr>
          <w:p w:rsidR="00157A70" w:rsidRDefault="00316F15">
            <w:pPr>
              <w:spacing w:after="0" w:line="259" w:lineRule="auto"/>
              <w:ind w:left="200" w:right="0" w:firstLine="0"/>
              <w:jc w:val="left"/>
            </w:pPr>
            <w:r>
              <w:rPr>
                <w:sz w:val="16"/>
              </w:rPr>
              <w:t>b. Had to spend at least $500 to fix a car you had owned for less than half a year</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31" w:type="dxa"/>
            <w:tcBorders>
              <w:top w:val="nil"/>
              <w:left w:val="nil"/>
              <w:bottom w:val="nil"/>
              <w:right w:val="nil"/>
            </w:tcBorders>
          </w:tcPr>
          <w:p w:rsidR="00157A70" w:rsidRDefault="00316F15">
            <w:pPr>
              <w:spacing w:after="0" w:line="259" w:lineRule="auto"/>
              <w:ind w:right="0" w:firstLine="0"/>
              <w:jc w:val="center"/>
            </w:pPr>
            <w:r>
              <w:rPr>
                <w:sz w:val="16"/>
              </w:rPr>
              <w:t>22.5</w:t>
            </w:r>
          </w:p>
        </w:tc>
      </w:tr>
    </w:tbl>
    <w:p w:rsidR="00157A70" w:rsidRDefault="00316F15">
      <w:pPr>
        <w:spacing w:after="253"/>
        <w:ind w:left="180" w:right="0" w:firstLine="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simplePos x="0" y="0"/>
                <wp:positionH relativeFrom="column">
                  <wp:posOffset>4</wp:posOffset>
                </wp:positionH>
                <wp:positionV relativeFrom="paragraph">
                  <wp:posOffset>1699138</wp:posOffset>
                </wp:positionV>
                <wp:extent cx="6324601" cy="12700"/>
                <wp:effectExtent l="0" t="0" r="0" b="0"/>
                <wp:wrapSquare wrapText="bothSides"/>
                <wp:docPr id="55158" name="Group 55158"/>
                <wp:cNvGraphicFramePr/>
                <a:graphic xmlns:a="http://schemas.openxmlformats.org/drawingml/2006/main">
                  <a:graphicData uri="http://schemas.microsoft.com/office/word/2010/wordprocessingGroup">
                    <wpg:wgp>
                      <wpg:cNvGrpSpPr/>
                      <wpg:grpSpPr>
                        <a:xfrm>
                          <a:off x="0" y="0"/>
                          <a:ext cx="6324601" cy="12700"/>
                          <a:chOff x="0" y="0"/>
                          <a:chExt cx="6324601" cy="12700"/>
                        </a:xfrm>
                      </wpg:grpSpPr>
                      <wps:wsp>
                        <wps:cNvPr id="3556" name="Shape 3556"/>
                        <wps:cNvSpPr/>
                        <wps:spPr>
                          <a:xfrm>
                            <a:off x="0" y="0"/>
                            <a:ext cx="6324601" cy="0"/>
                          </a:xfrm>
                          <a:custGeom>
                            <a:avLst/>
                            <a:gdLst/>
                            <a:ahLst/>
                            <a:cxnLst/>
                            <a:rect l="0" t="0" r="0" b="0"/>
                            <a:pathLst>
                              <a:path w="6324601">
                                <a:moveTo>
                                  <a:pt x="0" y="0"/>
                                </a:moveTo>
                                <a:lnTo>
                                  <a:pt x="6324601"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158" style="width:498pt;height:1pt;position:absolute;mso-position-horizontal-relative:text;mso-position-horizontal:absolute;margin-left:0.000293732pt;mso-position-vertical-relative:text;margin-top:133.79pt;" coordsize="63246,127">
                <v:shape id="Shape 3556" style="position:absolute;width:63246;height:0;left:0;top:0;" coordsize="6324601,0" path="m0,0l6324601,0">
                  <v:stroke weight="1pt" endcap="flat" joinstyle="miter" miterlimit="10" on="true" color="#181717"/>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simplePos x="0" y="0"/>
                <wp:positionH relativeFrom="column">
                  <wp:posOffset>4</wp:posOffset>
                </wp:positionH>
                <wp:positionV relativeFrom="paragraph">
                  <wp:posOffset>2273813</wp:posOffset>
                </wp:positionV>
                <wp:extent cx="6324601" cy="6350"/>
                <wp:effectExtent l="0" t="0" r="0" b="0"/>
                <wp:wrapSquare wrapText="bothSides"/>
                <wp:docPr id="55159" name="Group 55159"/>
                <wp:cNvGraphicFramePr/>
                <a:graphic xmlns:a="http://schemas.openxmlformats.org/drawingml/2006/main">
                  <a:graphicData uri="http://schemas.microsoft.com/office/word/2010/wordprocessingGroup">
                    <wpg:wgp>
                      <wpg:cNvGrpSpPr/>
                      <wpg:grpSpPr>
                        <a:xfrm>
                          <a:off x="0" y="0"/>
                          <a:ext cx="6324601" cy="6350"/>
                          <a:chOff x="0" y="0"/>
                          <a:chExt cx="6324601" cy="6350"/>
                        </a:xfrm>
                      </wpg:grpSpPr>
                      <wps:wsp>
                        <wps:cNvPr id="3557" name="Shape 3557"/>
                        <wps:cNvSpPr/>
                        <wps:spPr>
                          <a:xfrm>
                            <a:off x="0" y="0"/>
                            <a:ext cx="6324601" cy="0"/>
                          </a:xfrm>
                          <a:custGeom>
                            <a:avLst/>
                            <a:gdLst/>
                            <a:ahLst/>
                            <a:cxnLst/>
                            <a:rect l="0" t="0" r="0" b="0"/>
                            <a:pathLst>
                              <a:path w="6324601">
                                <a:moveTo>
                                  <a:pt x="0" y="0"/>
                                </a:moveTo>
                                <a:lnTo>
                                  <a:pt x="6324601"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159" style="width:498pt;height:0.5pt;position:absolute;mso-position-horizontal-relative:text;mso-position-horizontal:absolute;margin-left:0.000293732pt;mso-position-vertical-relative:text;margin-top:179.04pt;" coordsize="63246,63">
                <v:shape id="Shape 3557" style="position:absolute;width:63246;height:0;left:0;top:0;" coordsize="6324601,0" path="m0,0l6324601,0">
                  <v:stroke weight="0.5pt" endcap="flat" joinstyle="miter" miterlimit="10" on="true" color="#181717"/>
                  <v:fill on="false" color="#000000" opacity="0"/>
                </v:shape>
                <w10:wrap type="square"/>
              </v:group>
            </w:pict>
          </mc:Fallback>
        </mc:AlternateContent>
      </w:r>
      <w:r>
        <w:t>If you had already flipped once and it came up heads, which do you like best, (1), (2), or (3)?</w:t>
      </w:r>
    </w:p>
    <w:p w:rsidR="00157A70" w:rsidRDefault="00316F15">
      <w:pPr>
        <w:spacing w:before="499" w:after="128" w:line="259" w:lineRule="auto"/>
        <w:ind w:left="10" w:right="2" w:hanging="10"/>
        <w:jc w:val="center"/>
      </w:pPr>
      <w:r>
        <w:t>(</w:t>
      </w:r>
      <w:r>
        <w:rPr>
          <w:i/>
        </w:rPr>
        <w:t>Appendixes continue</w:t>
      </w:r>
      <w:r>
        <w:t>)</w:t>
      </w:r>
    </w:p>
    <w:p w:rsidR="00157A70" w:rsidRDefault="00316F15">
      <w:pPr>
        <w:pStyle w:val="1"/>
        <w:spacing w:after="4"/>
        <w:ind w:right="2"/>
      </w:pPr>
      <w:r>
        <w:t>Appendix B (</w:t>
      </w:r>
      <w:r>
        <w:rPr>
          <w:i/>
        </w:rPr>
        <w:t>continued</w:t>
      </w:r>
      <w:r>
        <w:t>)</w:t>
      </w:r>
    </w:p>
    <w:tbl>
      <w:tblPr>
        <w:tblStyle w:val="TableGrid"/>
        <w:tblW w:w="9960" w:type="dxa"/>
        <w:tblInd w:w="0" w:type="dxa"/>
        <w:tblCellMar>
          <w:top w:w="17" w:type="dxa"/>
          <w:bottom w:w="17" w:type="dxa"/>
          <w:right w:w="10" w:type="dxa"/>
        </w:tblCellMar>
        <w:tblLook w:val="04A0" w:firstRow="1" w:lastRow="0" w:firstColumn="1" w:lastColumn="0" w:noHBand="0" w:noVBand="1"/>
      </w:tblPr>
      <w:tblGrid>
        <w:gridCol w:w="6913"/>
        <w:gridCol w:w="2007"/>
        <w:gridCol w:w="1040"/>
      </w:tblGrid>
      <w:tr w:rsidR="00157A70">
        <w:trPr>
          <w:trHeight w:val="900"/>
        </w:trPr>
        <w:tc>
          <w:tcPr>
            <w:tcW w:w="6913" w:type="dxa"/>
            <w:tcBorders>
              <w:top w:val="single" w:sz="4" w:space="0" w:color="181717"/>
              <w:left w:val="nil"/>
              <w:bottom w:val="single" w:sz="4" w:space="0" w:color="181717"/>
              <w:right w:val="nil"/>
            </w:tcBorders>
            <w:vAlign w:val="bottom"/>
          </w:tcPr>
          <w:p w:rsidR="00157A70" w:rsidRDefault="00316F15">
            <w:pPr>
              <w:spacing w:after="0" w:line="259" w:lineRule="auto"/>
              <w:ind w:right="557" w:firstLine="0"/>
              <w:jc w:val="center"/>
            </w:pPr>
            <w:r>
              <w:rPr>
                <w:sz w:val="16"/>
                <w:u w:val="single" w:color="181717"/>
              </w:rPr>
              <w:t xml:space="preserve">In the last 10 years, </w:t>
            </w:r>
            <w:r>
              <w:rPr>
                <w:sz w:val="16"/>
              </w:rPr>
              <w:t>have you ever . . .</w:t>
            </w:r>
          </w:p>
        </w:tc>
        <w:tc>
          <w:tcPr>
            <w:tcW w:w="2007" w:type="dxa"/>
            <w:tcBorders>
              <w:top w:val="single" w:sz="4" w:space="0" w:color="181717"/>
              <w:left w:val="nil"/>
              <w:bottom w:val="single" w:sz="4" w:space="0" w:color="181717"/>
              <w:right w:val="nil"/>
            </w:tcBorders>
            <w:vAlign w:val="bottom"/>
          </w:tcPr>
          <w:p w:rsidR="00157A70" w:rsidRDefault="00316F15">
            <w:pPr>
              <w:spacing w:after="0" w:line="259" w:lineRule="auto"/>
              <w:ind w:left="324" w:right="371" w:hanging="324"/>
              <w:jc w:val="left"/>
            </w:pPr>
            <w:r>
              <w:rPr>
                <w:sz w:val="16"/>
              </w:rPr>
              <w:t>Percentage who made the decision</w:t>
            </w:r>
          </w:p>
        </w:tc>
        <w:tc>
          <w:tcPr>
            <w:tcW w:w="1040" w:type="dxa"/>
            <w:tcBorders>
              <w:top w:val="single" w:sz="4" w:space="0" w:color="181717"/>
              <w:left w:val="nil"/>
              <w:bottom w:val="single" w:sz="4" w:space="0" w:color="181717"/>
              <w:right w:val="nil"/>
            </w:tcBorders>
          </w:tcPr>
          <w:p w:rsidR="00157A70" w:rsidRDefault="00316F15">
            <w:pPr>
              <w:spacing w:after="0" w:line="259" w:lineRule="auto"/>
              <w:ind w:left="4" w:right="0" w:hanging="4"/>
              <w:jc w:val="left"/>
            </w:pPr>
            <w:r>
              <w:rPr>
                <w:sz w:val="16"/>
              </w:rPr>
              <w:t>Percentage who experienced the outcome (given the decision)</w:t>
            </w:r>
          </w:p>
        </w:tc>
      </w:tr>
      <w:tr w:rsidR="00157A70">
        <w:trPr>
          <w:trHeight w:val="306"/>
        </w:trPr>
        <w:tc>
          <w:tcPr>
            <w:tcW w:w="6913" w:type="dxa"/>
            <w:tcBorders>
              <w:top w:val="single" w:sz="4" w:space="0" w:color="181717"/>
              <w:left w:val="nil"/>
              <w:bottom w:val="nil"/>
              <w:right w:val="nil"/>
            </w:tcBorders>
            <w:vAlign w:val="bottom"/>
          </w:tcPr>
          <w:p w:rsidR="00157A70" w:rsidRDefault="00316F15">
            <w:pPr>
              <w:spacing w:after="0" w:line="259" w:lineRule="auto"/>
              <w:ind w:right="0" w:firstLine="0"/>
              <w:jc w:val="left"/>
            </w:pPr>
            <w:r>
              <w:rPr>
                <w:sz w:val="16"/>
              </w:rPr>
              <w:t>10. a. Taken a trip by airplane</w:t>
            </w:r>
          </w:p>
        </w:tc>
        <w:tc>
          <w:tcPr>
            <w:tcW w:w="2007" w:type="dxa"/>
            <w:tcBorders>
              <w:top w:val="single" w:sz="4" w:space="0" w:color="181717"/>
              <w:left w:val="nil"/>
              <w:bottom w:val="nil"/>
              <w:right w:val="nil"/>
            </w:tcBorders>
            <w:vAlign w:val="bottom"/>
          </w:tcPr>
          <w:p w:rsidR="00157A70" w:rsidRDefault="00316F15">
            <w:pPr>
              <w:spacing w:after="0" w:line="259" w:lineRule="auto"/>
              <w:ind w:left="575" w:right="0" w:firstLine="0"/>
              <w:jc w:val="left"/>
            </w:pPr>
            <w:r>
              <w:rPr>
                <w:sz w:val="16"/>
              </w:rPr>
              <w:t>76.6</w:t>
            </w:r>
          </w:p>
        </w:tc>
        <w:tc>
          <w:tcPr>
            <w:tcW w:w="1040" w:type="dxa"/>
            <w:tcBorders>
              <w:top w:val="single" w:sz="4" w:space="0" w:color="181717"/>
              <w:left w:val="nil"/>
              <w:bottom w:val="nil"/>
              <w:right w:val="nil"/>
            </w:tcBorders>
          </w:tcPr>
          <w:p w:rsidR="00157A70" w:rsidRDefault="00157A70">
            <w:pPr>
              <w:spacing w:after="160" w:line="259" w:lineRule="auto"/>
              <w:ind w:right="0" w:firstLine="0"/>
              <w:jc w:val="left"/>
            </w:pPr>
          </w:p>
        </w:tc>
      </w:tr>
      <w:tr w:rsidR="00157A70">
        <w:trPr>
          <w:trHeight w:val="180"/>
        </w:trPr>
        <w:tc>
          <w:tcPr>
            <w:tcW w:w="6913" w:type="dxa"/>
            <w:tcBorders>
              <w:top w:val="nil"/>
              <w:left w:val="nil"/>
              <w:bottom w:val="nil"/>
              <w:right w:val="nil"/>
            </w:tcBorders>
          </w:tcPr>
          <w:p w:rsidR="00157A70" w:rsidRDefault="00316F15">
            <w:pPr>
              <w:spacing w:after="0" w:line="259" w:lineRule="auto"/>
              <w:ind w:left="280" w:right="0" w:firstLine="0"/>
              <w:jc w:val="left"/>
            </w:pPr>
            <w:r>
              <w:rPr>
                <w:sz w:val="16"/>
              </w:rPr>
              <w:t>b. Missed a flight</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left="80" w:right="0" w:firstLine="0"/>
              <w:jc w:val="center"/>
            </w:pPr>
            <w:r>
              <w:rPr>
                <w:sz w:val="16"/>
              </w:rPr>
              <w:t>6.9</w:t>
            </w:r>
          </w:p>
        </w:tc>
      </w:tr>
      <w:tr w:rsidR="00157A70">
        <w:trPr>
          <w:trHeight w:val="180"/>
        </w:trPr>
        <w:tc>
          <w:tcPr>
            <w:tcW w:w="6913" w:type="dxa"/>
            <w:tcBorders>
              <w:top w:val="nil"/>
              <w:left w:val="nil"/>
              <w:bottom w:val="nil"/>
              <w:right w:val="nil"/>
            </w:tcBorders>
          </w:tcPr>
          <w:p w:rsidR="00157A70" w:rsidRDefault="00316F15">
            <w:pPr>
              <w:spacing w:after="0" w:line="259" w:lineRule="auto"/>
              <w:ind w:right="0" w:firstLine="0"/>
              <w:jc w:val="left"/>
            </w:pPr>
            <w:r>
              <w:rPr>
                <w:sz w:val="16"/>
              </w:rPr>
              <w:t>11. a. Taken the train or the bus</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63.1</w:t>
            </w:r>
          </w:p>
        </w:tc>
        <w:tc>
          <w:tcPr>
            <w:tcW w:w="1040" w:type="dxa"/>
            <w:tcBorders>
              <w:top w:val="nil"/>
              <w:left w:val="nil"/>
              <w:bottom w:val="nil"/>
              <w:right w:val="nil"/>
            </w:tcBorders>
          </w:tcPr>
          <w:p w:rsidR="00157A70" w:rsidRDefault="00157A70">
            <w:pPr>
              <w:spacing w:after="160" w:line="259" w:lineRule="auto"/>
              <w:ind w:right="0" w:firstLine="0"/>
              <w:jc w:val="left"/>
            </w:pPr>
          </w:p>
        </w:tc>
      </w:tr>
      <w:tr w:rsidR="00157A70">
        <w:trPr>
          <w:trHeight w:val="180"/>
        </w:trPr>
        <w:tc>
          <w:tcPr>
            <w:tcW w:w="6913" w:type="dxa"/>
            <w:tcBorders>
              <w:top w:val="nil"/>
              <w:left w:val="nil"/>
              <w:bottom w:val="nil"/>
              <w:right w:val="nil"/>
            </w:tcBorders>
          </w:tcPr>
          <w:p w:rsidR="00157A70" w:rsidRDefault="00316F15">
            <w:pPr>
              <w:spacing w:after="0" w:line="259" w:lineRule="auto"/>
              <w:ind w:left="280" w:right="0" w:firstLine="0"/>
              <w:jc w:val="left"/>
            </w:pPr>
            <w:r>
              <w:rPr>
                <w:sz w:val="16"/>
              </w:rPr>
              <w:t>b. Taken the wrong train or bus</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left="80" w:right="0" w:firstLine="0"/>
              <w:jc w:val="center"/>
            </w:pPr>
            <w:r>
              <w:rPr>
                <w:sz w:val="16"/>
              </w:rPr>
              <w:t>8.3</w:t>
            </w:r>
          </w:p>
        </w:tc>
      </w:tr>
      <w:tr w:rsidR="00157A70">
        <w:trPr>
          <w:trHeight w:val="180"/>
        </w:trPr>
        <w:tc>
          <w:tcPr>
            <w:tcW w:w="6913" w:type="dxa"/>
            <w:tcBorders>
              <w:top w:val="nil"/>
              <w:left w:val="nil"/>
              <w:bottom w:val="nil"/>
              <w:right w:val="nil"/>
            </w:tcBorders>
          </w:tcPr>
          <w:p w:rsidR="00157A70" w:rsidRDefault="00316F15">
            <w:pPr>
              <w:spacing w:after="0" w:line="259" w:lineRule="auto"/>
              <w:ind w:right="0" w:firstLine="0"/>
              <w:jc w:val="left"/>
            </w:pPr>
            <w:r>
              <w:rPr>
                <w:sz w:val="16"/>
              </w:rPr>
              <w:t>12. a. Had any form of ID (driver’s license, passport, birth certificate)</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92.3</w:t>
            </w:r>
          </w:p>
        </w:tc>
        <w:tc>
          <w:tcPr>
            <w:tcW w:w="1040" w:type="dxa"/>
            <w:tcBorders>
              <w:top w:val="nil"/>
              <w:left w:val="nil"/>
              <w:bottom w:val="nil"/>
              <w:right w:val="nil"/>
            </w:tcBorders>
          </w:tcPr>
          <w:p w:rsidR="00157A70" w:rsidRDefault="00157A70">
            <w:pPr>
              <w:spacing w:after="160" w:line="259" w:lineRule="auto"/>
              <w:ind w:right="0" w:firstLine="0"/>
              <w:jc w:val="left"/>
            </w:pPr>
          </w:p>
        </w:tc>
      </w:tr>
      <w:tr w:rsidR="00157A70">
        <w:trPr>
          <w:trHeight w:val="180"/>
        </w:trPr>
        <w:tc>
          <w:tcPr>
            <w:tcW w:w="6913" w:type="dxa"/>
            <w:tcBorders>
              <w:top w:val="nil"/>
              <w:left w:val="nil"/>
              <w:bottom w:val="nil"/>
              <w:right w:val="nil"/>
            </w:tcBorders>
          </w:tcPr>
          <w:p w:rsidR="00157A70" w:rsidRDefault="00316F15">
            <w:pPr>
              <w:spacing w:after="0" w:line="259" w:lineRule="auto"/>
              <w:ind w:left="280" w:right="0" w:firstLine="0"/>
              <w:jc w:val="left"/>
            </w:pPr>
            <w:r>
              <w:rPr>
                <w:sz w:val="16"/>
              </w:rPr>
              <w:t>b. Had your ID replaced because you lost it</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right="0" w:firstLine="0"/>
              <w:jc w:val="center"/>
            </w:pPr>
            <w:r>
              <w:rPr>
                <w:sz w:val="16"/>
              </w:rPr>
              <w:t>20.6</w:t>
            </w:r>
          </w:p>
        </w:tc>
      </w:tr>
      <w:tr w:rsidR="00157A70">
        <w:trPr>
          <w:trHeight w:val="180"/>
        </w:trPr>
        <w:tc>
          <w:tcPr>
            <w:tcW w:w="6913" w:type="dxa"/>
            <w:tcBorders>
              <w:top w:val="nil"/>
              <w:left w:val="nil"/>
              <w:bottom w:val="nil"/>
              <w:right w:val="nil"/>
            </w:tcBorders>
          </w:tcPr>
          <w:p w:rsidR="00157A70" w:rsidRDefault="00316F15">
            <w:pPr>
              <w:spacing w:after="0" w:line="259" w:lineRule="auto"/>
              <w:ind w:right="0" w:firstLine="0"/>
              <w:jc w:val="left"/>
            </w:pPr>
            <w:r>
              <w:rPr>
                <w:sz w:val="16"/>
              </w:rPr>
              <w:t>13. a. Lived in a rented apartment or other rental property</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40.3</w:t>
            </w:r>
          </w:p>
        </w:tc>
        <w:tc>
          <w:tcPr>
            <w:tcW w:w="1040" w:type="dxa"/>
            <w:tcBorders>
              <w:top w:val="nil"/>
              <w:left w:val="nil"/>
              <w:bottom w:val="nil"/>
              <w:right w:val="nil"/>
            </w:tcBorders>
          </w:tcPr>
          <w:p w:rsidR="00157A70" w:rsidRDefault="00157A70">
            <w:pPr>
              <w:spacing w:after="160" w:line="259" w:lineRule="auto"/>
              <w:ind w:right="0" w:firstLine="0"/>
              <w:jc w:val="left"/>
            </w:pPr>
          </w:p>
        </w:tc>
      </w:tr>
      <w:tr w:rsidR="00157A70">
        <w:trPr>
          <w:trHeight w:val="180"/>
        </w:trPr>
        <w:tc>
          <w:tcPr>
            <w:tcW w:w="6913" w:type="dxa"/>
            <w:tcBorders>
              <w:top w:val="nil"/>
              <w:left w:val="nil"/>
              <w:bottom w:val="nil"/>
              <w:right w:val="nil"/>
            </w:tcBorders>
          </w:tcPr>
          <w:p w:rsidR="00157A70" w:rsidRDefault="00316F15">
            <w:pPr>
              <w:spacing w:after="0" w:line="259" w:lineRule="auto"/>
              <w:ind w:left="280" w:right="0" w:firstLine="0"/>
              <w:jc w:val="left"/>
            </w:pPr>
            <w:r>
              <w:rPr>
                <w:sz w:val="16"/>
              </w:rPr>
              <w:t>b. Been kicked out of an apartment or rental property before the lease ran out</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left="80" w:right="0" w:firstLine="0"/>
              <w:jc w:val="center"/>
            </w:pPr>
            <w:r>
              <w:rPr>
                <w:sz w:val="16"/>
              </w:rPr>
              <w:t>5.8</w:t>
            </w:r>
          </w:p>
        </w:tc>
      </w:tr>
      <w:tr w:rsidR="00157A70">
        <w:trPr>
          <w:trHeight w:val="180"/>
        </w:trPr>
        <w:tc>
          <w:tcPr>
            <w:tcW w:w="6913" w:type="dxa"/>
            <w:tcBorders>
              <w:top w:val="nil"/>
              <w:left w:val="nil"/>
              <w:bottom w:val="nil"/>
              <w:right w:val="nil"/>
            </w:tcBorders>
          </w:tcPr>
          <w:p w:rsidR="00157A70" w:rsidRDefault="00316F15">
            <w:pPr>
              <w:spacing w:after="0" w:line="259" w:lineRule="auto"/>
              <w:ind w:right="0" w:firstLine="0"/>
              <w:jc w:val="left"/>
            </w:pPr>
            <w:r>
              <w:rPr>
                <w:sz w:val="16"/>
              </w:rPr>
              <w:t>14. a. Carried a key to your home</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88.2</w:t>
            </w:r>
          </w:p>
        </w:tc>
        <w:tc>
          <w:tcPr>
            <w:tcW w:w="1040" w:type="dxa"/>
            <w:tcBorders>
              <w:top w:val="nil"/>
              <w:left w:val="nil"/>
              <w:bottom w:val="nil"/>
              <w:right w:val="nil"/>
            </w:tcBorders>
          </w:tcPr>
          <w:p w:rsidR="00157A70" w:rsidRDefault="00157A70">
            <w:pPr>
              <w:spacing w:after="160" w:line="259" w:lineRule="auto"/>
              <w:ind w:right="0" w:firstLine="0"/>
              <w:jc w:val="left"/>
            </w:pPr>
          </w:p>
        </w:tc>
      </w:tr>
      <w:tr w:rsidR="00157A70">
        <w:trPr>
          <w:trHeight w:val="180"/>
        </w:trPr>
        <w:tc>
          <w:tcPr>
            <w:tcW w:w="6913" w:type="dxa"/>
            <w:tcBorders>
              <w:top w:val="nil"/>
              <w:left w:val="nil"/>
              <w:bottom w:val="nil"/>
              <w:right w:val="nil"/>
            </w:tcBorders>
          </w:tcPr>
          <w:p w:rsidR="00157A70" w:rsidRDefault="00316F15">
            <w:pPr>
              <w:spacing w:after="0" w:line="259" w:lineRule="auto"/>
              <w:ind w:left="280" w:right="0" w:firstLine="0"/>
              <w:jc w:val="left"/>
            </w:pPr>
            <w:r>
              <w:rPr>
                <w:sz w:val="16"/>
              </w:rPr>
              <w:t>b. Had the key to your home replaced because you lost it</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right="0" w:firstLine="0"/>
              <w:jc w:val="center"/>
            </w:pPr>
            <w:r>
              <w:rPr>
                <w:sz w:val="16"/>
              </w:rPr>
              <w:t>19.7</w:t>
            </w:r>
          </w:p>
        </w:tc>
      </w:tr>
      <w:tr w:rsidR="00157A70">
        <w:trPr>
          <w:trHeight w:val="180"/>
        </w:trPr>
        <w:tc>
          <w:tcPr>
            <w:tcW w:w="6913" w:type="dxa"/>
            <w:tcBorders>
              <w:top w:val="nil"/>
              <w:left w:val="nil"/>
              <w:bottom w:val="nil"/>
              <w:right w:val="nil"/>
            </w:tcBorders>
          </w:tcPr>
          <w:p w:rsidR="00157A70" w:rsidRDefault="00316F15">
            <w:pPr>
              <w:spacing w:after="0" w:line="259" w:lineRule="auto"/>
              <w:ind w:left="280" w:right="0" w:firstLine="0"/>
              <w:jc w:val="left"/>
            </w:pPr>
            <w:r>
              <w:rPr>
                <w:sz w:val="16"/>
              </w:rPr>
              <w:t>c. Locked yourself out of your home</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right="0" w:firstLine="0"/>
              <w:jc w:val="center"/>
            </w:pPr>
            <w:r>
              <w:rPr>
                <w:sz w:val="16"/>
              </w:rPr>
              <w:t>36.7</w:t>
            </w:r>
          </w:p>
        </w:tc>
      </w:tr>
      <w:tr w:rsidR="00157A70">
        <w:trPr>
          <w:trHeight w:val="180"/>
        </w:trPr>
        <w:tc>
          <w:tcPr>
            <w:tcW w:w="6913" w:type="dxa"/>
            <w:tcBorders>
              <w:top w:val="nil"/>
              <w:left w:val="nil"/>
              <w:bottom w:val="nil"/>
              <w:right w:val="nil"/>
            </w:tcBorders>
          </w:tcPr>
          <w:p w:rsidR="00157A70" w:rsidRDefault="00316F15">
            <w:pPr>
              <w:spacing w:after="0" w:line="259" w:lineRule="auto"/>
              <w:ind w:right="0" w:firstLine="0"/>
              <w:jc w:val="left"/>
            </w:pPr>
            <w:r>
              <w:rPr>
                <w:sz w:val="16"/>
              </w:rPr>
              <w:t>15. a. Been responsible for electricity, cable, gas or water payments</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83.1</w:t>
            </w:r>
          </w:p>
        </w:tc>
        <w:tc>
          <w:tcPr>
            <w:tcW w:w="1040" w:type="dxa"/>
            <w:tcBorders>
              <w:top w:val="nil"/>
              <w:left w:val="nil"/>
              <w:bottom w:val="nil"/>
              <w:right w:val="nil"/>
            </w:tcBorders>
          </w:tcPr>
          <w:p w:rsidR="00157A70" w:rsidRDefault="00157A70">
            <w:pPr>
              <w:spacing w:after="160" w:line="259" w:lineRule="auto"/>
              <w:ind w:right="0" w:firstLine="0"/>
              <w:jc w:val="left"/>
            </w:pPr>
          </w:p>
        </w:tc>
      </w:tr>
      <w:tr w:rsidR="00157A70">
        <w:trPr>
          <w:trHeight w:val="180"/>
        </w:trPr>
        <w:tc>
          <w:tcPr>
            <w:tcW w:w="6913" w:type="dxa"/>
            <w:tcBorders>
              <w:top w:val="nil"/>
              <w:left w:val="nil"/>
              <w:bottom w:val="nil"/>
              <w:right w:val="nil"/>
            </w:tcBorders>
          </w:tcPr>
          <w:p w:rsidR="00157A70" w:rsidRDefault="00316F15">
            <w:pPr>
              <w:spacing w:after="0" w:line="259" w:lineRule="auto"/>
              <w:ind w:left="280" w:right="0" w:firstLine="0"/>
              <w:jc w:val="left"/>
            </w:pPr>
            <w:r>
              <w:rPr>
                <w:sz w:val="16"/>
              </w:rPr>
              <w:t>b. Had your electricity, cable, gas or water shut off because you didn’t pay on time</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right="0" w:firstLine="0"/>
              <w:jc w:val="center"/>
            </w:pPr>
            <w:r>
              <w:rPr>
                <w:sz w:val="16"/>
              </w:rPr>
              <w:t>11.9</w:t>
            </w:r>
          </w:p>
        </w:tc>
      </w:tr>
      <w:tr w:rsidR="00157A70">
        <w:trPr>
          <w:trHeight w:val="180"/>
        </w:trPr>
        <w:tc>
          <w:tcPr>
            <w:tcW w:w="6913" w:type="dxa"/>
            <w:tcBorders>
              <w:top w:val="nil"/>
              <w:left w:val="nil"/>
              <w:bottom w:val="nil"/>
              <w:right w:val="nil"/>
            </w:tcBorders>
          </w:tcPr>
          <w:p w:rsidR="00157A70" w:rsidRDefault="00316F15">
            <w:pPr>
              <w:spacing w:after="0" w:line="259" w:lineRule="auto"/>
              <w:ind w:right="0" w:firstLine="0"/>
              <w:jc w:val="left"/>
            </w:pPr>
            <w:r>
              <w:rPr>
                <w:sz w:val="16"/>
              </w:rPr>
              <w:t>16. a. Been responsible for a mortgage or loan</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64.6</w:t>
            </w:r>
          </w:p>
        </w:tc>
        <w:tc>
          <w:tcPr>
            <w:tcW w:w="1040" w:type="dxa"/>
            <w:tcBorders>
              <w:top w:val="nil"/>
              <w:left w:val="nil"/>
              <w:bottom w:val="nil"/>
              <w:right w:val="nil"/>
            </w:tcBorders>
          </w:tcPr>
          <w:p w:rsidR="00157A70" w:rsidRDefault="00157A70">
            <w:pPr>
              <w:spacing w:after="160" w:line="259" w:lineRule="auto"/>
              <w:ind w:right="0" w:firstLine="0"/>
              <w:jc w:val="left"/>
            </w:pPr>
          </w:p>
        </w:tc>
      </w:tr>
      <w:tr w:rsidR="00157A70">
        <w:trPr>
          <w:trHeight w:val="180"/>
        </w:trPr>
        <w:tc>
          <w:tcPr>
            <w:tcW w:w="6913" w:type="dxa"/>
            <w:tcBorders>
              <w:top w:val="nil"/>
              <w:left w:val="nil"/>
              <w:bottom w:val="nil"/>
              <w:right w:val="nil"/>
            </w:tcBorders>
          </w:tcPr>
          <w:p w:rsidR="00157A70" w:rsidRDefault="00316F15">
            <w:pPr>
              <w:spacing w:after="0" w:line="259" w:lineRule="auto"/>
              <w:ind w:left="280" w:right="0" w:firstLine="0"/>
              <w:jc w:val="left"/>
            </w:pPr>
            <w:r>
              <w:rPr>
                <w:sz w:val="16"/>
              </w:rPr>
              <w:t>b. Foreclosed a mortgage or loan</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left="80" w:right="0" w:firstLine="0"/>
              <w:jc w:val="center"/>
            </w:pPr>
            <w:r>
              <w:rPr>
                <w:sz w:val="16"/>
              </w:rPr>
              <w:t>4.4</w:t>
            </w:r>
          </w:p>
        </w:tc>
      </w:tr>
      <w:tr w:rsidR="00157A70">
        <w:trPr>
          <w:trHeight w:val="180"/>
        </w:trPr>
        <w:tc>
          <w:tcPr>
            <w:tcW w:w="6913" w:type="dxa"/>
            <w:tcBorders>
              <w:top w:val="nil"/>
              <w:left w:val="nil"/>
              <w:bottom w:val="nil"/>
              <w:right w:val="nil"/>
            </w:tcBorders>
          </w:tcPr>
          <w:p w:rsidR="00157A70" w:rsidRDefault="00316F15">
            <w:pPr>
              <w:spacing w:after="0" w:line="259" w:lineRule="auto"/>
              <w:ind w:right="0" w:firstLine="0"/>
              <w:jc w:val="left"/>
            </w:pPr>
            <w:r>
              <w:rPr>
                <w:sz w:val="16"/>
              </w:rPr>
              <w:t>17. a. Been responsible for rent or mortgage payments</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72.6</w:t>
            </w:r>
          </w:p>
        </w:tc>
        <w:tc>
          <w:tcPr>
            <w:tcW w:w="1040" w:type="dxa"/>
            <w:tcBorders>
              <w:top w:val="nil"/>
              <w:left w:val="nil"/>
              <w:bottom w:val="nil"/>
              <w:right w:val="nil"/>
            </w:tcBorders>
          </w:tcPr>
          <w:p w:rsidR="00157A70" w:rsidRDefault="00157A70">
            <w:pPr>
              <w:spacing w:after="160" w:line="259" w:lineRule="auto"/>
              <w:ind w:right="0" w:firstLine="0"/>
              <w:jc w:val="left"/>
            </w:pPr>
          </w:p>
        </w:tc>
      </w:tr>
      <w:tr w:rsidR="00157A70">
        <w:trPr>
          <w:trHeight w:val="180"/>
        </w:trPr>
        <w:tc>
          <w:tcPr>
            <w:tcW w:w="6913" w:type="dxa"/>
            <w:tcBorders>
              <w:top w:val="nil"/>
              <w:left w:val="nil"/>
              <w:bottom w:val="nil"/>
              <w:right w:val="nil"/>
            </w:tcBorders>
          </w:tcPr>
          <w:p w:rsidR="00157A70" w:rsidRDefault="00316F15">
            <w:pPr>
              <w:spacing w:after="0" w:line="259" w:lineRule="auto"/>
              <w:ind w:left="280" w:right="0" w:firstLine="0"/>
              <w:jc w:val="left"/>
            </w:pPr>
            <w:r>
              <w:rPr>
                <w:sz w:val="16"/>
              </w:rPr>
              <w:t>b. Paid a rent or mortgage payment at least 2 weeks too late</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right="0" w:firstLine="0"/>
              <w:jc w:val="center"/>
            </w:pPr>
            <w:r>
              <w:rPr>
                <w:sz w:val="16"/>
              </w:rPr>
              <w:t>17.2</w:t>
            </w:r>
          </w:p>
        </w:tc>
      </w:tr>
      <w:tr w:rsidR="00157A70">
        <w:trPr>
          <w:trHeight w:val="180"/>
        </w:trPr>
        <w:tc>
          <w:tcPr>
            <w:tcW w:w="6913" w:type="dxa"/>
            <w:tcBorders>
              <w:top w:val="nil"/>
              <w:left w:val="nil"/>
              <w:bottom w:val="nil"/>
              <w:right w:val="nil"/>
            </w:tcBorders>
          </w:tcPr>
          <w:p w:rsidR="00157A70" w:rsidRDefault="00316F15">
            <w:pPr>
              <w:spacing w:after="0" w:line="259" w:lineRule="auto"/>
              <w:ind w:right="0" w:firstLine="0"/>
              <w:jc w:val="left"/>
            </w:pPr>
            <w:r>
              <w:rPr>
                <w:sz w:val="16"/>
              </w:rPr>
              <w:t>18. a. Used checks</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88.5</w:t>
            </w:r>
          </w:p>
        </w:tc>
        <w:tc>
          <w:tcPr>
            <w:tcW w:w="1040" w:type="dxa"/>
            <w:tcBorders>
              <w:top w:val="nil"/>
              <w:left w:val="nil"/>
              <w:bottom w:val="nil"/>
              <w:right w:val="nil"/>
            </w:tcBorders>
          </w:tcPr>
          <w:p w:rsidR="00157A70" w:rsidRDefault="00157A70">
            <w:pPr>
              <w:spacing w:after="160" w:line="259" w:lineRule="auto"/>
              <w:ind w:right="0" w:firstLine="0"/>
              <w:jc w:val="left"/>
            </w:pPr>
          </w:p>
        </w:tc>
      </w:tr>
      <w:tr w:rsidR="00157A70">
        <w:trPr>
          <w:trHeight w:val="180"/>
        </w:trPr>
        <w:tc>
          <w:tcPr>
            <w:tcW w:w="6913" w:type="dxa"/>
            <w:tcBorders>
              <w:top w:val="nil"/>
              <w:left w:val="nil"/>
              <w:bottom w:val="nil"/>
              <w:right w:val="nil"/>
            </w:tcBorders>
          </w:tcPr>
          <w:p w:rsidR="00157A70" w:rsidRDefault="00316F15">
            <w:pPr>
              <w:spacing w:after="0" w:line="259" w:lineRule="auto"/>
              <w:ind w:left="280" w:right="0" w:firstLine="0"/>
              <w:jc w:val="left"/>
            </w:pPr>
            <w:r>
              <w:rPr>
                <w:sz w:val="16"/>
              </w:rPr>
              <w:t>b. Had a check bounce</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right="0" w:firstLine="0"/>
              <w:jc w:val="center"/>
            </w:pPr>
            <w:r>
              <w:rPr>
                <w:sz w:val="16"/>
              </w:rPr>
              <w:t>31.7</w:t>
            </w:r>
          </w:p>
        </w:tc>
      </w:tr>
      <w:tr w:rsidR="00157A70">
        <w:trPr>
          <w:trHeight w:val="180"/>
        </w:trPr>
        <w:tc>
          <w:tcPr>
            <w:tcW w:w="6913" w:type="dxa"/>
            <w:tcBorders>
              <w:top w:val="nil"/>
              <w:left w:val="nil"/>
              <w:bottom w:val="nil"/>
              <w:right w:val="nil"/>
            </w:tcBorders>
          </w:tcPr>
          <w:p w:rsidR="00157A70" w:rsidRDefault="00316F15">
            <w:pPr>
              <w:spacing w:after="0" w:line="259" w:lineRule="auto"/>
              <w:ind w:right="0" w:firstLine="0"/>
              <w:jc w:val="left"/>
            </w:pPr>
            <w:r>
              <w:rPr>
                <w:sz w:val="16"/>
              </w:rPr>
              <w:lastRenderedPageBreak/>
              <w:t>19. a. Had a credit card</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84.7</w:t>
            </w:r>
          </w:p>
        </w:tc>
        <w:tc>
          <w:tcPr>
            <w:tcW w:w="1040" w:type="dxa"/>
            <w:tcBorders>
              <w:top w:val="nil"/>
              <w:left w:val="nil"/>
              <w:bottom w:val="nil"/>
              <w:right w:val="nil"/>
            </w:tcBorders>
          </w:tcPr>
          <w:p w:rsidR="00157A70" w:rsidRDefault="00157A70">
            <w:pPr>
              <w:spacing w:after="160" w:line="259" w:lineRule="auto"/>
              <w:ind w:right="0" w:firstLine="0"/>
              <w:jc w:val="left"/>
            </w:pPr>
          </w:p>
        </w:tc>
      </w:tr>
      <w:tr w:rsidR="00157A70">
        <w:trPr>
          <w:trHeight w:val="180"/>
        </w:trPr>
        <w:tc>
          <w:tcPr>
            <w:tcW w:w="6913" w:type="dxa"/>
            <w:tcBorders>
              <w:top w:val="nil"/>
              <w:left w:val="nil"/>
              <w:bottom w:val="nil"/>
              <w:right w:val="nil"/>
            </w:tcBorders>
          </w:tcPr>
          <w:p w:rsidR="00157A70" w:rsidRDefault="00316F15">
            <w:pPr>
              <w:spacing w:after="0" w:line="259" w:lineRule="auto"/>
              <w:ind w:left="280" w:right="0" w:firstLine="0"/>
              <w:jc w:val="left"/>
            </w:pPr>
            <w:r>
              <w:rPr>
                <w:sz w:val="16"/>
              </w:rPr>
              <w:t>b. Had more than $5,000 in credit card debt</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right="0" w:firstLine="0"/>
              <w:jc w:val="center"/>
            </w:pPr>
            <w:r>
              <w:rPr>
                <w:sz w:val="16"/>
              </w:rPr>
              <w:t>29.7</w:t>
            </w:r>
          </w:p>
        </w:tc>
      </w:tr>
      <w:tr w:rsidR="00157A70">
        <w:trPr>
          <w:trHeight w:val="180"/>
        </w:trPr>
        <w:tc>
          <w:tcPr>
            <w:tcW w:w="6913" w:type="dxa"/>
            <w:tcBorders>
              <w:top w:val="nil"/>
              <w:left w:val="nil"/>
              <w:bottom w:val="nil"/>
              <w:right w:val="nil"/>
            </w:tcBorders>
          </w:tcPr>
          <w:p w:rsidR="00157A70" w:rsidRDefault="00316F15">
            <w:pPr>
              <w:spacing w:after="0" w:line="259" w:lineRule="auto"/>
              <w:ind w:right="0" w:firstLine="0"/>
              <w:jc w:val="left"/>
            </w:pPr>
            <w:r>
              <w:rPr>
                <w:sz w:val="16"/>
              </w:rPr>
              <w:t>20. a. Invested in the stock market</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47.2</w:t>
            </w:r>
          </w:p>
        </w:tc>
        <w:tc>
          <w:tcPr>
            <w:tcW w:w="1040" w:type="dxa"/>
            <w:tcBorders>
              <w:top w:val="nil"/>
              <w:left w:val="nil"/>
              <w:bottom w:val="nil"/>
              <w:right w:val="nil"/>
            </w:tcBorders>
          </w:tcPr>
          <w:p w:rsidR="00157A70" w:rsidRDefault="00157A70">
            <w:pPr>
              <w:spacing w:after="160" w:line="259" w:lineRule="auto"/>
              <w:ind w:right="0" w:firstLine="0"/>
              <w:jc w:val="left"/>
            </w:pPr>
          </w:p>
        </w:tc>
      </w:tr>
      <w:tr w:rsidR="00157A70">
        <w:trPr>
          <w:trHeight w:val="180"/>
        </w:trPr>
        <w:tc>
          <w:tcPr>
            <w:tcW w:w="6913" w:type="dxa"/>
            <w:tcBorders>
              <w:top w:val="nil"/>
              <w:left w:val="nil"/>
              <w:bottom w:val="nil"/>
              <w:right w:val="nil"/>
            </w:tcBorders>
          </w:tcPr>
          <w:p w:rsidR="00157A70" w:rsidRDefault="00316F15">
            <w:pPr>
              <w:spacing w:after="0" w:line="259" w:lineRule="auto"/>
              <w:ind w:left="280" w:right="0" w:firstLine="0"/>
              <w:jc w:val="left"/>
            </w:pPr>
            <w:r>
              <w:rPr>
                <w:sz w:val="16"/>
              </w:rPr>
              <w:t>b. Lost more than $1,000 on a stock market investment</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right="0" w:firstLine="0"/>
              <w:jc w:val="center"/>
            </w:pPr>
            <w:r>
              <w:rPr>
                <w:sz w:val="16"/>
              </w:rPr>
              <w:t>21.7</w:t>
            </w:r>
          </w:p>
        </w:tc>
      </w:tr>
      <w:tr w:rsidR="00157A70">
        <w:trPr>
          <w:trHeight w:val="180"/>
        </w:trPr>
        <w:tc>
          <w:tcPr>
            <w:tcW w:w="6913" w:type="dxa"/>
            <w:tcBorders>
              <w:top w:val="nil"/>
              <w:left w:val="nil"/>
              <w:bottom w:val="nil"/>
              <w:right w:val="nil"/>
            </w:tcBorders>
          </w:tcPr>
          <w:p w:rsidR="00157A70" w:rsidRDefault="00316F15">
            <w:pPr>
              <w:spacing w:after="0" w:line="259" w:lineRule="auto"/>
              <w:ind w:right="0" w:firstLine="0"/>
              <w:jc w:val="left"/>
            </w:pPr>
            <w:r>
              <w:rPr>
                <w:sz w:val="16"/>
              </w:rPr>
              <w:t>21. a. Been to a bar, restaurant, or hotel</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92.5</w:t>
            </w:r>
          </w:p>
        </w:tc>
        <w:tc>
          <w:tcPr>
            <w:tcW w:w="1040" w:type="dxa"/>
            <w:tcBorders>
              <w:top w:val="nil"/>
              <w:left w:val="nil"/>
              <w:bottom w:val="nil"/>
              <w:right w:val="nil"/>
            </w:tcBorders>
          </w:tcPr>
          <w:p w:rsidR="00157A70" w:rsidRDefault="00157A70">
            <w:pPr>
              <w:spacing w:after="160" w:line="259" w:lineRule="auto"/>
              <w:ind w:right="0" w:firstLine="0"/>
              <w:jc w:val="left"/>
            </w:pPr>
          </w:p>
        </w:tc>
      </w:tr>
      <w:tr w:rsidR="00157A70">
        <w:trPr>
          <w:trHeight w:val="180"/>
        </w:trPr>
        <w:tc>
          <w:tcPr>
            <w:tcW w:w="6913" w:type="dxa"/>
            <w:tcBorders>
              <w:top w:val="nil"/>
              <w:left w:val="nil"/>
              <w:bottom w:val="nil"/>
              <w:right w:val="nil"/>
            </w:tcBorders>
          </w:tcPr>
          <w:p w:rsidR="00157A70" w:rsidRDefault="00316F15">
            <w:pPr>
              <w:spacing w:after="0" w:line="259" w:lineRule="auto"/>
              <w:ind w:left="280" w:right="0" w:firstLine="0"/>
              <w:jc w:val="left"/>
            </w:pPr>
            <w:r>
              <w:rPr>
                <w:sz w:val="16"/>
              </w:rPr>
              <w:t>b. Been kicked out of a bar, restaurant, or hotel by someone who works there</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left="80" w:right="0" w:firstLine="0"/>
              <w:jc w:val="center"/>
            </w:pPr>
            <w:r>
              <w:rPr>
                <w:sz w:val="16"/>
              </w:rPr>
              <w:t>7.8</w:t>
            </w:r>
          </w:p>
        </w:tc>
      </w:tr>
      <w:tr w:rsidR="00157A70">
        <w:trPr>
          <w:trHeight w:val="180"/>
        </w:trPr>
        <w:tc>
          <w:tcPr>
            <w:tcW w:w="6913" w:type="dxa"/>
            <w:tcBorders>
              <w:top w:val="nil"/>
              <w:left w:val="nil"/>
              <w:bottom w:val="nil"/>
              <w:right w:val="nil"/>
            </w:tcBorders>
          </w:tcPr>
          <w:p w:rsidR="00157A70" w:rsidRDefault="00316F15">
            <w:pPr>
              <w:spacing w:after="0" w:line="259" w:lineRule="auto"/>
              <w:ind w:right="0" w:firstLine="0"/>
              <w:jc w:val="left"/>
            </w:pPr>
            <w:r>
              <w:rPr>
                <w:sz w:val="16"/>
              </w:rPr>
              <w:t>22. a. Loaned more than $50 to someone</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57.1</w:t>
            </w:r>
          </w:p>
        </w:tc>
        <w:tc>
          <w:tcPr>
            <w:tcW w:w="1040" w:type="dxa"/>
            <w:tcBorders>
              <w:top w:val="nil"/>
              <w:left w:val="nil"/>
              <w:bottom w:val="nil"/>
              <w:right w:val="nil"/>
            </w:tcBorders>
          </w:tcPr>
          <w:p w:rsidR="00157A70" w:rsidRDefault="00157A70">
            <w:pPr>
              <w:spacing w:after="160" w:line="259" w:lineRule="auto"/>
              <w:ind w:right="0" w:firstLine="0"/>
              <w:jc w:val="left"/>
            </w:pPr>
          </w:p>
        </w:tc>
      </w:tr>
      <w:tr w:rsidR="00157A70">
        <w:trPr>
          <w:trHeight w:val="180"/>
        </w:trPr>
        <w:tc>
          <w:tcPr>
            <w:tcW w:w="6913" w:type="dxa"/>
            <w:tcBorders>
              <w:top w:val="nil"/>
              <w:left w:val="nil"/>
              <w:bottom w:val="nil"/>
              <w:right w:val="nil"/>
            </w:tcBorders>
          </w:tcPr>
          <w:p w:rsidR="00157A70" w:rsidRDefault="00316F15">
            <w:pPr>
              <w:spacing w:after="0" w:line="259" w:lineRule="auto"/>
              <w:ind w:left="280" w:right="0" w:firstLine="0"/>
              <w:jc w:val="left"/>
            </w:pPr>
            <w:r>
              <w:rPr>
                <w:sz w:val="16"/>
              </w:rPr>
              <w:t>b. Loaned more than $50 to someone and never got it back</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right="0" w:firstLine="0"/>
              <w:jc w:val="center"/>
            </w:pPr>
            <w:r>
              <w:rPr>
                <w:sz w:val="16"/>
              </w:rPr>
              <w:t>35.6</w:t>
            </w:r>
          </w:p>
        </w:tc>
      </w:tr>
      <w:tr w:rsidR="00157A70">
        <w:trPr>
          <w:trHeight w:val="180"/>
        </w:trPr>
        <w:tc>
          <w:tcPr>
            <w:tcW w:w="6913" w:type="dxa"/>
            <w:tcBorders>
              <w:top w:val="nil"/>
              <w:left w:val="nil"/>
              <w:bottom w:val="nil"/>
              <w:right w:val="nil"/>
            </w:tcBorders>
          </w:tcPr>
          <w:p w:rsidR="00157A70" w:rsidRDefault="00316F15">
            <w:pPr>
              <w:spacing w:after="0" w:line="259" w:lineRule="auto"/>
              <w:ind w:right="0" w:firstLine="0"/>
              <w:jc w:val="left"/>
            </w:pPr>
            <w:r>
              <w:rPr>
                <w:sz w:val="16"/>
              </w:rPr>
              <w:t>23. a. Had a romantic relationship that lasted for at least 1 year</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67.6</w:t>
            </w:r>
          </w:p>
        </w:tc>
        <w:tc>
          <w:tcPr>
            <w:tcW w:w="1040" w:type="dxa"/>
            <w:tcBorders>
              <w:top w:val="nil"/>
              <w:left w:val="nil"/>
              <w:bottom w:val="nil"/>
              <w:right w:val="nil"/>
            </w:tcBorders>
          </w:tcPr>
          <w:p w:rsidR="00157A70" w:rsidRDefault="00157A70">
            <w:pPr>
              <w:spacing w:after="160" w:line="259" w:lineRule="auto"/>
              <w:ind w:right="0" w:firstLine="0"/>
              <w:jc w:val="left"/>
            </w:pPr>
          </w:p>
        </w:tc>
      </w:tr>
      <w:tr w:rsidR="00157A70">
        <w:trPr>
          <w:trHeight w:val="180"/>
        </w:trPr>
        <w:tc>
          <w:tcPr>
            <w:tcW w:w="6913" w:type="dxa"/>
            <w:tcBorders>
              <w:top w:val="nil"/>
              <w:left w:val="nil"/>
              <w:bottom w:val="nil"/>
              <w:right w:val="nil"/>
            </w:tcBorders>
          </w:tcPr>
          <w:p w:rsidR="00157A70" w:rsidRDefault="00316F15">
            <w:pPr>
              <w:spacing w:after="0" w:line="259" w:lineRule="auto"/>
              <w:ind w:left="280" w:right="0" w:firstLine="0"/>
              <w:jc w:val="left"/>
            </w:pPr>
            <w:r>
              <w:rPr>
                <w:sz w:val="16"/>
              </w:rPr>
              <w:t>b. Cheated on your romantic partner of 1 year by having sex with someone else</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right="0" w:firstLine="0"/>
              <w:jc w:val="center"/>
            </w:pPr>
            <w:r>
              <w:rPr>
                <w:sz w:val="16"/>
              </w:rPr>
              <w:t>11.4</w:t>
            </w:r>
          </w:p>
        </w:tc>
      </w:tr>
      <w:tr w:rsidR="00157A70">
        <w:trPr>
          <w:trHeight w:val="180"/>
        </w:trPr>
        <w:tc>
          <w:tcPr>
            <w:tcW w:w="6913" w:type="dxa"/>
            <w:tcBorders>
              <w:top w:val="nil"/>
              <w:left w:val="nil"/>
              <w:bottom w:val="nil"/>
              <w:right w:val="nil"/>
            </w:tcBorders>
          </w:tcPr>
          <w:p w:rsidR="00157A70" w:rsidRDefault="00316F15">
            <w:pPr>
              <w:spacing w:after="0" w:line="259" w:lineRule="auto"/>
              <w:ind w:right="0" w:firstLine="0"/>
              <w:jc w:val="left"/>
            </w:pPr>
            <w:r>
              <w:rPr>
                <w:sz w:val="16"/>
              </w:rPr>
              <w:t>24. a. Been married</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66.8</w:t>
            </w:r>
          </w:p>
        </w:tc>
        <w:tc>
          <w:tcPr>
            <w:tcW w:w="1040" w:type="dxa"/>
            <w:tcBorders>
              <w:top w:val="nil"/>
              <w:left w:val="nil"/>
              <w:bottom w:val="nil"/>
              <w:right w:val="nil"/>
            </w:tcBorders>
          </w:tcPr>
          <w:p w:rsidR="00157A70" w:rsidRDefault="00157A70">
            <w:pPr>
              <w:spacing w:after="160" w:line="259" w:lineRule="auto"/>
              <w:ind w:right="0" w:firstLine="0"/>
              <w:jc w:val="left"/>
            </w:pPr>
          </w:p>
        </w:tc>
      </w:tr>
      <w:tr w:rsidR="00157A70">
        <w:trPr>
          <w:trHeight w:val="180"/>
        </w:trPr>
        <w:tc>
          <w:tcPr>
            <w:tcW w:w="6913" w:type="dxa"/>
            <w:tcBorders>
              <w:top w:val="nil"/>
              <w:left w:val="nil"/>
              <w:bottom w:val="nil"/>
              <w:right w:val="nil"/>
            </w:tcBorders>
          </w:tcPr>
          <w:p w:rsidR="00157A70" w:rsidRDefault="00316F15">
            <w:pPr>
              <w:spacing w:after="0" w:line="259" w:lineRule="auto"/>
              <w:ind w:left="280" w:right="0" w:firstLine="0"/>
              <w:jc w:val="left"/>
            </w:pPr>
            <w:r>
              <w:rPr>
                <w:sz w:val="16"/>
              </w:rPr>
              <w:t>b. Been divorced</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right="0" w:firstLine="0"/>
              <w:jc w:val="center"/>
            </w:pPr>
            <w:r>
              <w:rPr>
                <w:sz w:val="16"/>
              </w:rPr>
              <w:t>10.6</w:t>
            </w:r>
          </w:p>
        </w:tc>
      </w:tr>
      <w:tr w:rsidR="00157A70">
        <w:trPr>
          <w:trHeight w:val="180"/>
        </w:trPr>
        <w:tc>
          <w:tcPr>
            <w:tcW w:w="6913" w:type="dxa"/>
            <w:tcBorders>
              <w:top w:val="nil"/>
              <w:left w:val="nil"/>
              <w:bottom w:val="nil"/>
              <w:right w:val="nil"/>
            </w:tcBorders>
          </w:tcPr>
          <w:p w:rsidR="00157A70" w:rsidRDefault="00316F15">
            <w:pPr>
              <w:spacing w:after="0" w:line="259" w:lineRule="auto"/>
              <w:ind w:right="0" w:firstLine="0"/>
              <w:jc w:val="left"/>
            </w:pPr>
            <w:r>
              <w:rPr>
                <w:sz w:val="16"/>
              </w:rPr>
              <w:t>25. a. Had sex</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83.4</w:t>
            </w:r>
          </w:p>
        </w:tc>
        <w:tc>
          <w:tcPr>
            <w:tcW w:w="1040" w:type="dxa"/>
            <w:tcBorders>
              <w:top w:val="nil"/>
              <w:left w:val="nil"/>
              <w:bottom w:val="nil"/>
              <w:right w:val="nil"/>
            </w:tcBorders>
          </w:tcPr>
          <w:p w:rsidR="00157A70" w:rsidRDefault="00157A70">
            <w:pPr>
              <w:spacing w:after="160" w:line="259" w:lineRule="auto"/>
              <w:ind w:right="0" w:firstLine="0"/>
              <w:jc w:val="left"/>
            </w:pPr>
          </w:p>
        </w:tc>
      </w:tr>
      <w:tr w:rsidR="00157A70">
        <w:trPr>
          <w:trHeight w:val="180"/>
        </w:trPr>
        <w:tc>
          <w:tcPr>
            <w:tcW w:w="6913" w:type="dxa"/>
            <w:tcBorders>
              <w:top w:val="nil"/>
              <w:left w:val="nil"/>
              <w:bottom w:val="nil"/>
              <w:right w:val="nil"/>
            </w:tcBorders>
          </w:tcPr>
          <w:p w:rsidR="00157A70" w:rsidRDefault="00316F15">
            <w:pPr>
              <w:spacing w:after="0" w:line="259" w:lineRule="auto"/>
              <w:ind w:left="280" w:right="0" w:firstLine="0"/>
              <w:jc w:val="left"/>
            </w:pPr>
            <w:r>
              <w:rPr>
                <w:sz w:val="16"/>
              </w:rPr>
              <w:t>b. Been diagnosed with an STD</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left="80" w:right="0" w:firstLine="0"/>
              <w:jc w:val="center"/>
            </w:pPr>
            <w:r>
              <w:rPr>
                <w:sz w:val="16"/>
              </w:rPr>
              <w:t>6.4</w:t>
            </w:r>
          </w:p>
        </w:tc>
      </w:tr>
      <w:tr w:rsidR="00157A70">
        <w:trPr>
          <w:trHeight w:val="180"/>
        </w:trPr>
        <w:tc>
          <w:tcPr>
            <w:tcW w:w="6913" w:type="dxa"/>
            <w:tcBorders>
              <w:top w:val="nil"/>
              <w:left w:val="nil"/>
              <w:bottom w:val="nil"/>
              <w:right w:val="nil"/>
            </w:tcBorders>
          </w:tcPr>
          <w:p w:rsidR="00157A70" w:rsidRDefault="00316F15">
            <w:pPr>
              <w:spacing w:after="0" w:line="259" w:lineRule="auto"/>
              <w:ind w:left="280" w:right="0" w:firstLine="0"/>
              <w:jc w:val="left"/>
            </w:pPr>
            <w:r>
              <w:rPr>
                <w:sz w:val="16"/>
              </w:rPr>
              <w:t>c. Had an unplanned pregnancy (or got someone pregnant, unplanned)</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right="0" w:firstLine="0"/>
              <w:jc w:val="center"/>
            </w:pPr>
            <w:r>
              <w:rPr>
                <w:sz w:val="16"/>
              </w:rPr>
              <w:t>13.3</w:t>
            </w:r>
          </w:p>
        </w:tc>
      </w:tr>
      <w:tr w:rsidR="00157A70">
        <w:trPr>
          <w:trHeight w:val="180"/>
        </w:trPr>
        <w:tc>
          <w:tcPr>
            <w:tcW w:w="6913" w:type="dxa"/>
            <w:tcBorders>
              <w:top w:val="nil"/>
              <w:left w:val="nil"/>
              <w:bottom w:val="nil"/>
              <w:right w:val="nil"/>
            </w:tcBorders>
          </w:tcPr>
          <w:p w:rsidR="00157A70" w:rsidRDefault="00316F15">
            <w:pPr>
              <w:spacing w:after="0" w:line="259" w:lineRule="auto"/>
              <w:ind w:right="0" w:firstLine="0"/>
              <w:jc w:val="left"/>
            </w:pPr>
            <w:r>
              <w:rPr>
                <w:sz w:val="16"/>
              </w:rPr>
              <w:t>26. a. Had sex with a condom</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46.5</w:t>
            </w:r>
          </w:p>
        </w:tc>
        <w:tc>
          <w:tcPr>
            <w:tcW w:w="1040" w:type="dxa"/>
            <w:tcBorders>
              <w:top w:val="nil"/>
              <w:left w:val="nil"/>
              <w:bottom w:val="nil"/>
              <w:right w:val="nil"/>
            </w:tcBorders>
          </w:tcPr>
          <w:p w:rsidR="00157A70" w:rsidRDefault="00157A70">
            <w:pPr>
              <w:spacing w:after="160" w:line="259" w:lineRule="auto"/>
              <w:ind w:right="0" w:firstLine="0"/>
              <w:jc w:val="left"/>
            </w:pPr>
          </w:p>
        </w:tc>
      </w:tr>
      <w:tr w:rsidR="00157A70">
        <w:trPr>
          <w:trHeight w:val="180"/>
        </w:trPr>
        <w:tc>
          <w:tcPr>
            <w:tcW w:w="6913" w:type="dxa"/>
            <w:tcBorders>
              <w:top w:val="nil"/>
              <w:left w:val="nil"/>
              <w:bottom w:val="nil"/>
              <w:right w:val="nil"/>
            </w:tcBorders>
          </w:tcPr>
          <w:p w:rsidR="00157A70" w:rsidRDefault="00316F15">
            <w:pPr>
              <w:spacing w:after="0" w:line="259" w:lineRule="auto"/>
              <w:ind w:left="280" w:right="0" w:firstLine="0"/>
              <w:jc w:val="left"/>
            </w:pPr>
            <w:r>
              <w:rPr>
                <w:sz w:val="16"/>
              </w:rPr>
              <w:t>b. Had a condom break, tear, or slip off</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right="0" w:firstLine="0"/>
              <w:jc w:val="center"/>
            </w:pPr>
            <w:r>
              <w:rPr>
                <w:sz w:val="16"/>
              </w:rPr>
              <w:t>14.7</w:t>
            </w:r>
          </w:p>
        </w:tc>
      </w:tr>
      <w:tr w:rsidR="00157A70">
        <w:trPr>
          <w:trHeight w:val="180"/>
        </w:trPr>
        <w:tc>
          <w:tcPr>
            <w:tcW w:w="6913" w:type="dxa"/>
            <w:tcBorders>
              <w:top w:val="nil"/>
              <w:left w:val="nil"/>
              <w:bottom w:val="nil"/>
              <w:right w:val="nil"/>
            </w:tcBorders>
          </w:tcPr>
          <w:p w:rsidR="00157A70" w:rsidRDefault="00316F15">
            <w:pPr>
              <w:spacing w:after="0" w:line="259" w:lineRule="auto"/>
              <w:ind w:right="0" w:firstLine="0"/>
              <w:jc w:val="left"/>
            </w:pPr>
            <w:r>
              <w:rPr>
                <w:sz w:val="16"/>
              </w:rPr>
              <w:t>27. a. Had an alcoholic drink</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78.5</w:t>
            </w:r>
          </w:p>
        </w:tc>
        <w:tc>
          <w:tcPr>
            <w:tcW w:w="1040" w:type="dxa"/>
            <w:tcBorders>
              <w:top w:val="nil"/>
              <w:left w:val="nil"/>
              <w:bottom w:val="nil"/>
              <w:right w:val="nil"/>
            </w:tcBorders>
          </w:tcPr>
          <w:p w:rsidR="00157A70" w:rsidRDefault="00157A70">
            <w:pPr>
              <w:spacing w:after="160" w:line="259" w:lineRule="auto"/>
              <w:ind w:right="0" w:firstLine="0"/>
              <w:jc w:val="left"/>
            </w:pPr>
          </w:p>
        </w:tc>
      </w:tr>
      <w:tr w:rsidR="00157A70">
        <w:trPr>
          <w:trHeight w:val="180"/>
        </w:trPr>
        <w:tc>
          <w:tcPr>
            <w:tcW w:w="6913" w:type="dxa"/>
            <w:tcBorders>
              <w:top w:val="nil"/>
              <w:left w:val="nil"/>
              <w:bottom w:val="nil"/>
              <w:right w:val="nil"/>
            </w:tcBorders>
          </w:tcPr>
          <w:p w:rsidR="00157A70" w:rsidRDefault="00316F15">
            <w:pPr>
              <w:spacing w:after="0" w:line="259" w:lineRule="auto"/>
              <w:ind w:left="280" w:right="0" w:firstLine="0"/>
              <w:jc w:val="left"/>
            </w:pPr>
            <w:r>
              <w:rPr>
                <w:sz w:val="16"/>
              </w:rPr>
              <w:t>b. Consumed so much alcohol you vomited</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right="0" w:firstLine="0"/>
              <w:jc w:val="center"/>
            </w:pPr>
            <w:r>
              <w:rPr>
                <w:sz w:val="16"/>
              </w:rPr>
              <w:t>27.8</w:t>
            </w:r>
          </w:p>
        </w:tc>
      </w:tr>
      <w:tr w:rsidR="00157A70">
        <w:trPr>
          <w:trHeight w:val="180"/>
        </w:trPr>
        <w:tc>
          <w:tcPr>
            <w:tcW w:w="6913" w:type="dxa"/>
            <w:tcBorders>
              <w:top w:val="nil"/>
              <w:left w:val="nil"/>
              <w:bottom w:val="nil"/>
              <w:right w:val="nil"/>
            </w:tcBorders>
          </w:tcPr>
          <w:p w:rsidR="00157A70" w:rsidRDefault="00316F15">
            <w:pPr>
              <w:spacing w:after="0" w:line="259" w:lineRule="auto"/>
              <w:ind w:left="280" w:right="0" w:firstLine="0"/>
              <w:jc w:val="left"/>
            </w:pPr>
            <w:r>
              <w:rPr>
                <w:sz w:val="16"/>
              </w:rPr>
              <w:t>c. Received a DUI for drunk driving</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left="80" w:right="0" w:firstLine="0"/>
              <w:jc w:val="center"/>
            </w:pPr>
            <w:r>
              <w:rPr>
                <w:sz w:val="16"/>
              </w:rPr>
              <w:t>5.0</w:t>
            </w:r>
          </w:p>
        </w:tc>
      </w:tr>
      <w:tr w:rsidR="00157A70">
        <w:trPr>
          <w:trHeight w:val="180"/>
        </w:trPr>
        <w:tc>
          <w:tcPr>
            <w:tcW w:w="6913" w:type="dxa"/>
            <w:tcBorders>
              <w:top w:val="nil"/>
              <w:left w:val="nil"/>
              <w:bottom w:val="nil"/>
              <w:right w:val="nil"/>
            </w:tcBorders>
          </w:tcPr>
          <w:p w:rsidR="00157A70" w:rsidRDefault="00316F15">
            <w:pPr>
              <w:spacing w:after="0" w:line="259" w:lineRule="auto"/>
              <w:ind w:right="0" w:firstLine="0"/>
              <w:jc w:val="left"/>
            </w:pPr>
            <w:r>
              <w:rPr>
                <w:sz w:val="16"/>
              </w:rPr>
              <w:t>28. a. Been out in the sun</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89.9</w:t>
            </w:r>
          </w:p>
        </w:tc>
        <w:tc>
          <w:tcPr>
            <w:tcW w:w="1040" w:type="dxa"/>
            <w:tcBorders>
              <w:top w:val="nil"/>
              <w:left w:val="nil"/>
              <w:bottom w:val="nil"/>
              <w:right w:val="nil"/>
            </w:tcBorders>
          </w:tcPr>
          <w:p w:rsidR="00157A70" w:rsidRDefault="00157A70">
            <w:pPr>
              <w:spacing w:after="160" w:line="259" w:lineRule="auto"/>
              <w:ind w:right="0" w:firstLine="0"/>
              <w:jc w:val="left"/>
            </w:pPr>
          </w:p>
        </w:tc>
      </w:tr>
      <w:tr w:rsidR="00157A70">
        <w:trPr>
          <w:trHeight w:val="270"/>
        </w:trPr>
        <w:tc>
          <w:tcPr>
            <w:tcW w:w="6913" w:type="dxa"/>
            <w:tcBorders>
              <w:top w:val="nil"/>
              <w:left w:val="nil"/>
              <w:bottom w:val="nil"/>
              <w:right w:val="nil"/>
            </w:tcBorders>
          </w:tcPr>
          <w:p w:rsidR="00157A70" w:rsidRDefault="00316F15">
            <w:pPr>
              <w:spacing w:after="0" w:line="259" w:lineRule="auto"/>
              <w:ind w:left="280" w:right="0" w:firstLine="0"/>
              <w:jc w:val="left"/>
            </w:pPr>
            <w:r>
              <w:rPr>
                <w:sz w:val="16"/>
              </w:rPr>
              <w:t>b. Got blisters from sunburn</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right="0" w:firstLine="0"/>
              <w:jc w:val="center"/>
            </w:pPr>
            <w:r>
              <w:rPr>
                <w:sz w:val="16"/>
              </w:rPr>
              <w:t>22.2</w:t>
            </w:r>
          </w:p>
        </w:tc>
      </w:tr>
      <w:tr w:rsidR="00157A70">
        <w:trPr>
          <w:trHeight w:val="270"/>
        </w:trPr>
        <w:tc>
          <w:tcPr>
            <w:tcW w:w="6913" w:type="dxa"/>
            <w:tcBorders>
              <w:top w:val="nil"/>
              <w:left w:val="nil"/>
              <w:bottom w:val="nil"/>
              <w:right w:val="nil"/>
            </w:tcBorders>
          </w:tcPr>
          <w:p w:rsidR="00157A70" w:rsidRDefault="00316F15">
            <w:pPr>
              <w:spacing w:after="0" w:line="259" w:lineRule="auto"/>
              <w:ind w:right="0" w:firstLine="0"/>
              <w:jc w:val="left"/>
            </w:pPr>
            <w:r>
              <w:rPr>
                <w:sz w:val="16"/>
              </w:rPr>
              <w:t>29. Been in a jail cell overnight for any reason</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left="80" w:right="0" w:firstLine="0"/>
              <w:jc w:val="center"/>
            </w:pPr>
            <w:r>
              <w:rPr>
                <w:sz w:val="16"/>
              </w:rPr>
              <w:t>6.7</w:t>
            </w:r>
          </w:p>
        </w:tc>
      </w:tr>
      <w:tr w:rsidR="00157A70">
        <w:trPr>
          <w:trHeight w:val="180"/>
        </w:trPr>
        <w:tc>
          <w:tcPr>
            <w:tcW w:w="6913" w:type="dxa"/>
            <w:tcBorders>
              <w:top w:val="nil"/>
              <w:left w:val="nil"/>
              <w:bottom w:val="nil"/>
              <w:right w:val="nil"/>
            </w:tcBorders>
          </w:tcPr>
          <w:p w:rsidR="00157A70" w:rsidRDefault="00316F15">
            <w:pPr>
              <w:spacing w:after="0" w:line="259" w:lineRule="auto"/>
              <w:ind w:right="0" w:firstLine="0"/>
              <w:jc w:val="left"/>
            </w:pPr>
            <w:r>
              <w:rPr>
                <w:sz w:val="16"/>
              </w:rPr>
              <w:t>30. Been in a public fight or screaming argument</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right="0" w:firstLine="0"/>
              <w:jc w:val="center"/>
            </w:pPr>
            <w:r>
              <w:rPr>
                <w:sz w:val="16"/>
              </w:rPr>
              <w:t>17.5</w:t>
            </w:r>
          </w:p>
        </w:tc>
      </w:tr>
      <w:tr w:rsidR="00157A70">
        <w:trPr>
          <w:trHeight w:val="180"/>
        </w:trPr>
        <w:tc>
          <w:tcPr>
            <w:tcW w:w="6913" w:type="dxa"/>
            <w:tcBorders>
              <w:top w:val="nil"/>
              <w:left w:val="nil"/>
              <w:bottom w:val="nil"/>
              <w:right w:val="nil"/>
            </w:tcBorders>
          </w:tcPr>
          <w:p w:rsidR="00157A70" w:rsidRDefault="00316F15">
            <w:pPr>
              <w:spacing w:after="0" w:line="259" w:lineRule="auto"/>
              <w:ind w:right="0" w:firstLine="0"/>
              <w:jc w:val="left"/>
            </w:pPr>
            <w:r>
              <w:rPr>
                <w:sz w:val="16"/>
              </w:rPr>
              <w:t>31. Declared bankruptcy</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left="80" w:right="0" w:firstLine="0"/>
              <w:jc w:val="center"/>
            </w:pPr>
            <w:r>
              <w:rPr>
                <w:sz w:val="16"/>
              </w:rPr>
              <w:t>7.8</w:t>
            </w:r>
          </w:p>
        </w:tc>
      </w:tr>
      <w:tr w:rsidR="00157A70">
        <w:trPr>
          <w:trHeight w:val="180"/>
        </w:trPr>
        <w:tc>
          <w:tcPr>
            <w:tcW w:w="6913" w:type="dxa"/>
            <w:tcBorders>
              <w:top w:val="nil"/>
              <w:left w:val="nil"/>
              <w:bottom w:val="nil"/>
              <w:right w:val="nil"/>
            </w:tcBorders>
          </w:tcPr>
          <w:p w:rsidR="00157A70" w:rsidRDefault="00316F15">
            <w:pPr>
              <w:spacing w:after="0" w:line="259" w:lineRule="auto"/>
              <w:ind w:right="0" w:firstLine="0"/>
              <w:jc w:val="left"/>
            </w:pPr>
            <w:r>
              <w:rPr>
                <w:sz w:val="16"/>
              </w:rPr>
              <w:t>32. Forgotten a birthday of someone close to you and did not realize until the next day or later.</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right="0" w:firstLine="0"/>
              <w:jc w:val="center"/>
            </w:pPr>
            <w:r>
              <w:rPr>
                <w:sz w:val="16"/>
              </w:rPr>
              <w:t>50.6</w:t>
            </w:r>
          </w:p>
        </w:tc>
      </w:tr>
      <w:tr w:rsidR="00157A70">
        <w:trPr>
          <w:trHeight w:val="180"/>
        </w:trPr>
        <w:tc>
          <w:tcPr>
            <w:tcW w:w="6913" w:type="dxa"/>
            <w:tcBorders>
              <w:top w:val="nil"/>
              <w:left w:val="nil"/>
              <w:bottom w:val="nil"/>
              <w:right w:val="nil"/>
            </w:tcBorders>
          </w:tcPr>
          <w:p w:rsidR="00157A70" w:rsidRDefault="00316F15">
            <w:pPr>
              <w:spacing w:after="0" w:line="259" w:lineRule="auto"/>
              <w:ind w:right="0" w:firstLine="0"/>
              <w:jc w:val="left"/>
            </w:pPr>
            <w:r>
              <w:rPr>
                <w:sz w:val="16"/>
              </w:rPr>
              <w:t>33. Been diagnosed with Type 2 diabetes</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left="80" w:right="0" w:firstLine="0"/>
              <w:jc w:val="center"/>
            </w:pPr>
            <w:r>
              <w:rPr>
                <w:sz w:val="16"/>
              </w:rPr>
              <w:t>6.1</w:t>
            </w:r>
          </w:p>
        </w:tc>
      </w:tr>
      <w:tr w:rsidR="00157A70">
        <w:trPr>
          <w:trHeight w:val="224"/>
        </w:trPr>
        <w:tc>
          <w:tcPr>
            <w:tcW w:w="6913" w:type="dxa"/>
            <w:tcBorders>
              <w:top w:val="nil"/>
              <w:left w:val="nil"/>
              <w:bottom w:val="single" w:sz="4" w:space="0" w:color="181717"/>
              <w:right w:val="nil"/>
            </w:tcBorders>
          </w:tcPr>
          <w:p w:rsidR="00157A70" w:rsidRDefault="00316F15">
            <w:pPr>
              <w:spacing w:after="0" w:line="259" w:lineRule="auto"/>
              <w:ind w:right="0" w:firstLine="0"/>
              <w:jc w:val="left"/>
            </w:pPr>
            <w:r>
              <w:rPr>
                <w:sz w:val="16"/>
              </w:rPr>
              <w:t xml:space="preserve">34. Broke a bone because you fell, slipped, or </w:t>
            </w:r>
            <w:proofErr w:type="spellStart"/>
            <w:r>
              <w:rPr>
                <w:sz w:val="16"/>
              </w:rPr>
              <w:t>misstepped</w:t>
            </w:r>
            <w:proofErr w:type="spellEnd"/>
          </w:p>
        </w:tc>
        <w:tc>
          <w:tcPr>
            <w:tcW w:w="2007" w:type="dxa"/>
            <w:tcBorders>
              <w:top w:val="nil"/>
              <w:left w:val="nil"/>
              <w:bottom w:val="single" w:sz="4" w:space="0" w:color="181717"/>
              <w:right w:val="nil"/>
            </w:tcBorders>
          </w:tcPr>
          <w:p w:rsidR="00157A70" w:rsidRDefault="00157A70">
            <w:pPr>
              <w:spacing w:after="160" w:line="259" w:lineRule="auto"/>
              <w:ind w:right="0" w:firstLine="0"/>
              <w:jc w:val="left"/>
            </w:pPr>
          </w:p>
        </w:tc>
        <w:tc>
          <w:tcPr>
            <w:tcW w:w="1040" w:type="dxa"/>
            <w:tcBorders>
              <w:top w:val="nil"/>
              <w:left w:val="nil"/>
              <w:bottom w:val="single" w:sz="4" w:space="0" w:color="181717"/>
              <w:right w:val="nil"/>
            </w:tcBorders>
          </w:tcPr>
          <w:p w:rsidR="00157A70" w:rsidRDefault="00316F15">
            <w:pPr>
              <w:spacing w:after="0" w:line="259" w:lineRule="auto"/>
              <w:ind w:right="0" w:firstLine="0"/>
              <w:jc w:val="center"/>
            </w:pPr>
            <w:r>
              <w:rPr>
                <w:sz w:val="16"/>
              </w:rPr>
              <w:t>14.7</w:t>
            </w:r>
          </w:p>
        </w:tc>
      </w:tr>
    </w:tbl>
    <w:p w:rsidR="00157A70" w:rsidRDefault="00316F15">
      <w:pPr>
        <w:tabs>
          <w:tab w:val="center" w:pos="4188"/>
        </w:tabs>
        <w:spacing w:after="600" w:line="278" w:lineRule="auto"/>
        <w:ind w:left="-15" w:right="0" w:firstLine="0"/>
        <w:jc w:val="left"/>
      </w:pPr>
      <w:r>
        <w:rPr>
          <w:i/>
          <w:sz w:val="16"/>
        </w:rPr>
        <w:t>Note.</w:t>
      </w:r>
      <w:r>
        <w:rPr>
          <w:i/>
          <w:sz w:val="16"/>
        </w:rPr>
        <w:tab/>
      </w:r>
      <w:proofErr w:type="gramStart"/>
      <w:r>
        <w:rPr>
          <w:sz w:val="16"/>
        </w:rPr>
        <w:t xml:space="preserve">DOI </w:t>
      </w:r>
      <w:r>
        <w:rPr>
          <w:rFonts w:ascii="Calibri" w:eastAsia="Calibri" w:hAnsi="Calibri" w:cs="Calibri"/>
          <w:sz w:val="16"/>
        </w:rPr>
        <w:t xml:space="preserve"> </w:t>
      </w:r>
      <w:r>
        <w:rPr>
          <w:sz w:val="16"/>
        </w:rPr>
        <w:t>Decision</w:t>
      </w:r>
      <w:proofErr w:type="gramEnd"/>
      <w:r>
        <w:rPr>
          <w:sz w:val="16"/>
        </w:rPr>
        <w:t xml:space="preserve"> Outcomes Inventory; STD </w:t>
      </w:r>
      <w:r>
        <w:rPr>
          <w:rFonts w:ascii="Calibri" w:eastAsia="Calibri" w:hAnsi="Calibri" w:cs="Calibri"/>
          <w:sz w:val="16"/>
        </w:rPr>
        <w:t xml:space="preserve"> </w:t>
      </w:r>
      <w:r>
        <w:rPr>
          <w:sz w:val="16"/>
        </w:rPr>
        <w:t xml:space="preserve">sexually transmitted disease; DUI </w:t>
      </w:r>
      <w:r>
        <w:rPr>
          <w:rFonts w:ascii="Calibri" w:eastAsia="Calibri" w:hAnsi="Calibri" w:cs="Calibri"/>
          <w:sz w:val="16"/>
        </w:rPr>
        <w:t xml:space="preserve"> </w:t>
      </w:r>
      <w:r>
        <w:rPr>
          <w:sz w:val="16"/>
        </w:rPr>
        <w:t>driving under the influence.</w:t>
      </w:r>
    </w:p>
    <w:p w:rsidR="00157A70" w:rsidRDefault="00316F15">
      <w:pPr>
        <w:spacing w:after="3" w:line="259" w:lineRule="auto"/>
        <w:ind w:left="10" w:right="187" w:hanging="10"/>
        <w:jc w:val="right"/>
      </w:pPr>
      <w:r>
        <w:t>Received April 14, 2006</w:t>
      </w:r>
    </w:p>
    <w:p w:rsidR="00157A70" w:rsidRDefault="00316F15">
      <w:pPr>
        <w:spacing w:after="3" w:line="259" w:lineRule="auto"/>
        <w:ind w:left="10" w:right="187" w:hanging="10"/>
        <w:jc w:val="right"/>
      </w:pPr>
      <w:r>
        <w:lastRenderedPageBreak/>
        <w:t>Revision received December 4, 2006</w:t>
      </w:r>
    </w:p>
    <w:p w:rsidR="00157A70" w:rsidRDefault="00316F15">
      <w:pPr>
        <w:spacing w:after="3" w:line="259" w:lineRule="auto"/>
        <w:ind w:left="10" w:right="2" w:hanging="10"/>
        <w:jc w:val="right"/>
      </w:pPr>
      <w:r>
        <w:t xml:space="preserve">Accepted December 14, 2006 </w:t>
      </w:r>
    </w:p>
    <w:sectPr w:rsidR="00157A70">
      <w:type w:val="continuous"/>
      <w:pgSz w:w="11880" w:h="15840"/>
      <w:pgMar w:top="1522" w:right="944" w:bottom="1421" w:left="97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3174" w:rsidRDefault="004F3174">
      <w:pPr>
        <w:spacing w:after="0" w:line="240" w:lineRule="auto"/>
      </w:pPr>
      <w:r>
        <w:separator/>
      </w:r>
    </w:p>
  </w:endnote>
  <w:endnote w:type="continuationSeparator" w:id="0">
    <w:p w:rsidR="004F3174" w:rsidRDefault="004F3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3174" w:rsidRDefault="004F3174">
      <w:pPr>
        <w:spacing w:after="0" w:line="270" w:lineRule="auto"/>
        <w:ind w:firstLine="160"/>
      </w:pPr>
      <w:r>
        <w:separator/>
      </w:r>
    </w:p>
  </w:footnote>
  <w:footnote w:type="continuationSeparator" w:id="0">
    <w:p w:rsidR="004F3174" w:rsidRDefault="004F3174">
      <w:pPr>
        <w:spacing w:after="0" w:line="270" w:lineRule="auto"/>
        <w:ind w:firstLine="160"/>
      </w:pPr>
      <w:r>
        <w:continuationSeparator/>
      </w:r>
    </w:p>
  </w:footnote>
  <w:footnote w:id="1">
    <w:p w:rsidR="00E25B31" w:rsidRDefault="00E25B31">
      <w:pPr>
        <w:pStyle w:val="footnotedescription"/>
      </w:pPr>
      <w:r>
        <w:rPr>
          <w:rStyle w:val="footnotemark"/>
        </w:rPr>
        <w:footnoteRef/>
      </w:r>
      <w:r>
        <w:t xml:space="preserve"> Because A-DMC components were selected to address specific aspects of the decision-making process, one might expect the overall A-DMC score to reflect a single, unified competency. In this conceptualization, the A-DMC would be treated as a second-order construct, called a </w:t>
      </w:r>
      <w:r>
        <w:rPr>
          <w:i/>
        </w:rPr>
        <w:t xml:space="preserve">scale </w:t>
      </w:r>
      <w:r>
        <w:t>(</w:t>
      </w:r>
      <w:proofErr w:type="spellStart"/>
      <w:r>
        <w:t>Streiner</w:t>
      </w:r>
      <w:proofErr w:type="spellEnd"/>
      <w:r>
        <w:t xml:space="preserve">, 2003) or a </w:t>
      </w:r>
      <w:r>
        <w:rPr>
          <w:i/>
        </w:rPr>
        <w:t xml:space="preserve">reflective measure </w:t>
      </w:r>
      <w:r>
        <w:t xml:space="preserve">(Edwards &amp; </w:t>
      </w:r>
      <w:proofErr w:type="spellStart"/>
      <w:r>
        <w:t>Bagozzi</w:t>
      </w:r>
      <w:proofErr w:type="spellEnd"/>
      <w:r>
        <w:t>, 2000). However, it may be more appropriate to treat A-DMC components as measuring relatively distinct decision-making processes. Overall, the A-DMC would then be an “index” (</w:t>
      </w:r>
      <w:proofErr w:type="spellStart"/>
      <w:r>
        <w:t>Streiner</w:t>
      </w:r>
      <w:proofErr w:type="spellEnd"/>
      <w:r>
        <w:t xml:space="preserve">, 2003) or “formative measure” (Edwards &amp; </w:t>
      </w:r>
      <w:proofErr w:type="spellStart"/>
      <w:r>
        <w:t>Bagozzi</w:t>
      </w:r>
      <w:proofErr w:type="spellEnd"/>
      <w:r>
        <w:t xml:space="preserve">, 2000), defined by its separate components. In this conceptualization, an individual might excel in one component skill while being deficient in others. Although recognizing the merits of each conceptualization, we refer to overall A-DMC as an </w:t>
      </w:r>
      <w:r>
        <w:rPr>
          <w:i/>
        </w:rPr>
        <w:t>index</w:t>
      </w:r>
      <w:r>
        <w:t>. Its individual component scores are treated as reflective, representing indicators of latent skill constructs.</w:t>
      </w:r>
    </w:p>
  </w:footnote>
  <w:footnote w:id="2">
    <w:p w:rsidR="00E25B31" w:rsidRDefault="00E25B31">
      <w:pPr>
        <w:pStyle w:val="footnotedescription"/>
        <w:spacing w:line="288" w:lineRule="auto"/>
      </w:pPr>
      <w:r>
        <w:rPr>
          <w:rStyle w:val="footnotemark"/>
        </w:rPr>
        <w:footnoteRef/>
      </w:r>
      <w:r>
        <w:t xml:space="preserve"> Finucane and Lees (2005) also identified decision makers’ need to comprehend information about options. Here, we treat it as a more general cognitive ability not limited to decision making.</w:t>
      </w:r>
    </w:p>
  </w:footnote>
  <w:footnote w:id="3">
    <w:p w:rsidR="00E25B31" w:rsidRDefault="00E25B31">
      <w:pPr>
        <w:pStyle w:val="footnotedescription"/>
        <w:spacing w:line="300" w:lineRule="auto"/>
      </w:pPr>
      <w:r>
        <w:rPr>
          <w:rStyle w:val="footnotemark"/>
        </w:rPr>
        <w:footnoteRef/>
      </w:r>
      <w:r>
        <w:t xml:space="preserve"> Broadly speaking, nomological validity can be defined as the extent to which “the measure fits lawfully into a network of expected relationships” (Nunnally &amp; Bernstein, 1994, p. 91; see also Cronbach &amp; </w:t>
      </w:r>
      <w:proofErr w:type="spellStart"/>
      <w:r>
        <w:t>Meehl</w:t>
      </w:r>
      <w:proofErr w:type="spellEnd"/>
      <w:r>
        <w:t>, 1955).</w:t>
      </w:r>
    </w:p>
  </w:footnote>
  <w:footnote w:id="4">
    <w:p w:rsidR="00E25B31" w:rsidRDefault="00E25B31">
      <w:pPr>
        <w:pStyle w:val="footnotedescription"/>
        <w:spacing w:after="17" w:line="264" w:lineRule="auto"/>
      </w:pPr>
      <w:r>
        <w:rPr>
          <w:rStyle w:val="footnotemark"/>
        </w:rPr>
        <w:footnoteRef/>
      </w:r>
      <w:r>
        <w:t xml:space="preserve"> Our convenience sample resembles the 2000 U.S. Census data for Pittsburgh (U.S. Census Bureau, 2003) regarding racial composition (67.6% White, 27.1% African American, and 5.3% other minorities) and education (18.7% of Pittsburghers over 25 years old have no high school degree, 48.9% have a high school degree, 6.1% have an </w:t>
      </w:r>
      <w:proofErr w:type="spellStart"/>
      <w:proofErr w:type="gramStart"/>
      <w:r>
        <w:t>associates</w:t>
      </w:r>
      <w:proofErr w:type="spellEnd"/>
      <w:proofErr w:type="gramEnd"/>
      <w:r>
        <w:t xml:space="preserve"> degree, 13.7% have a bachelor’s degree, and 12.5% have a graduate degree). Our sample is more African American than the U.S. population, which is 75.1% White, 12.3% African American, and 12.6% other minorities. Our sample’s educational attainments resemble those of the U.S. population over 25 years old, in which 19.6% have no high school degree, 49.7% have a high school degree, 6.3% have an </w:t>
      </w:r>
      <w:proofErr w:type="spellStart"/>
      <w:proofErr w:type="gramStart"/>
      <w:r>
        <w:t>associates</w:t>
      </w:r>
      <w:proofErr w:type="spellEnd"/>
      <w:proofErr w:type="gramEnd"/>
      <w:r>
        <w:t xml:space="preserve"> degree, 15.5% have a bachelor’s degree, and 8.9% have a graduate degree (Bauman &amp; Graf, 2003).</w:t>
      </w:r>
    </w:p>
  </w:footnote>
  <w:footnote w:id="5">
    <w:p w:rsidR="00E25B31" w:rsidRDefault="00E25B31">
      <w:pPr>
        <w:pStyle w:val="footnotedescription"/>
        <w:spacing w:line="316" w:lineRule="auto"/>
        <w:ind w:right="0"/>
        <w:jc w:val="left"/>
      </w:pPr>
      <w:r>
        <w:rPr>
          <w:rStyle w:val="footnotemark"/>
        </w:rPr>
        <w:footnoteRef/>
      </w:r>
      <w:r>
        <w:t xml:space="preserve"> The entire measure is available from the authors or online at http:// sds.hss.cmu.edu/risk/ADMC.htm.</w:t>
      </w:r>
    </w:p>
  </w:footnote>
  <w:footnote w:id="6">
    <w:p w:rsidR="00E25B31" w:rsidRDefault="00E25B31">
      <w:pPr>
        <w:pStyle w:val="footnotedescription"/>
        <w:spacing w:line="273" w:lineRule="auto"/>
      </w:pPr>
      <w:r>
        <w:rPr>
          <w:rStyle w:val="footnotemark"/>
        </w:rPr>
        <w:footnoteRef/>
      </w:r>
      <w:r>
        <w:t xml:space="preserve"> We report Under/overconfidence because it has modest metric assumptions (unlike the Brier score) and because it does not condition on confidence (unlike the calibration and discrimination indices), making it less prone to regression-to-the-mean.</w:t>
      </w:r>
    </w:p>
  </w:footnote>
  <w:footnote w:id="7">
    <w:p w:rsidR="00E25B31" w:rsidRDefault="00E25B31">
      <w:pPr>
        <w:pStyle w:val="footnotedescription"/>
        <w:spacing w:line="259" w:lineRule="auto"/>
        <w:ind w:left="160" w:right="0" w:firstLine="0"/>
        <w:jc w:val="left"/>
      </w:pPr>
      <w:r>
        <w:rPr>
          <w:rStyle w:val="footnotemark"/>
        </w:rPr>
        <w:footnoteRef/>
      </w:r>
      <w:r>
        <w:t xml:space="preserve"> For Applying Decision Rules, Consistency in Risk Perception, and Path Independence, missing responses can be treated as incorrect. The resulting scores are similar to those ignoring missing responses (</w:t>
      </w:r>
      <w:proofErr w:type="gramStart"/>
      <w:r>
        <w:rPr>
          <w:i/>
        </w:rPr>
        <w:t xml:space="preserve">r </w:t>
      </w:r>
      <w:r>
        <w:rPr>
          <w:rFonts w:ascii="Calibri" w:eastAsia="Calibri" w:hAnsi="Calibri" w:cs="Calibri"/>
        </w:rPr>
        <w:t xml:space="preserve"> </w:t>
      </w:r>
      <w:r>
        <w:t>.</w:t>
      </w:r>
      <w:proofErr w:type="gramEnd"/>
      <w:r>
        <w:t xml:space="preserve">98, </w:t>
      </w:r>
      <w:r>
        <w:rPr>
          <w:i/>
        </w:rPr>
        <w:t xml:space="preserve">p </w:t>
      </w:r>
      <w:r>
        <w:t xml:space="preserve">.001 for Applying Decision Rules; </w:t>
      </w:r>
      <w:r>
        <w:rPr>
          <w:i/>
        </w:rPr>
        <w:t xml:space="preserve">r </w:t>
      </w:r>
      <w:r>
        <w:rPr>
          <w:rFonts w:ascii="Calibri" w:eastAsia="Calibri" w:hAnsi="Calibri" w:cs="Calibri"/>
        </w:rPr>
        <w:t xml:space="preserve"> </w:t>
      </w:r>
      <w:r>
        <w:t xml:space="preserve">.81, </w:t>
      </w:r>
      <w:r>
        <w:rPr>
          <w:i/>
        </w:rPr>
        <w:t xml:space="preserve">p </w:t>
      </w:r>
      <w:r>
        <w:rPr>
          <w:rFonts w:ascii="Calibri" w:eastAsia="Calibri" w:hAnsi="Calibri" w:cs="Calibri"/>
        </w:rPr>
        <w:t xml:space="preserve"> </w:t>
      </w:r>
      <w:r>
        <w:t xml:space="preserve">.001 for Consistency in Risk Perception; </w:t>
      </w:r>
      <w:r>
        <w:rPr>
          <w:i/>
        </w:rPr>
        <w:t xml:space="preserve">r </w:t>
      </w:r>
      <w:r>
        <w:rPr>
          <w:rFonts w:ascii="Calibri" w:eastAsia="Calibri" w:hAnsi="Calibri" w:cs="Calibri"/>
        </w:rPr>
        <w:t xml:space="preserve"> </w:t>
      </w:r>
      <w:r>
        <w:t xml:space="preserve">.92, </w:t>
      </w:r>
      <w:r>
        <w:rPr>
          <w:i/>
        </w:rPr>
        <w:t xml:space="preserve">p </w:t>
      </w:r>
      <w:r>
        <w:rPr>
          <w:rFonts w:ascii="Calibri" w:eastAsia="Calibri" w:hAnsi="Calibri" w:cs="Calibri"/>
        </w:rPr>
        <w:t xml:space="preserve"> </w:t>
      </w:r>
      <w:r>
        <w:t xml:space="preserve">.001 for Path Independence). </w:t>
      </w:r>
      <w:r>
        <w:rPr>
          <w:sz w:val="10"/>
        </w:rPr>
        <w:t xml:space="preserve">8 </w:t>
      </w:r>
      <w:r>
        <w:t>For each participant, the overall score for Recognizing Social Norms reflects the Spearman rank correlation between their estimated number of people “out of 100 people your age” endorsing each behavior and the actual percentage of endorsements observed across all participants, spanning all ages. Comparing estimated numbers with the actual percentage of endorsements observed in a respondent’s age group (teens, 20 somethings, 30 somethings, etc.) produces similar performance scores (</w:t>
      </w:r>
      <w:proofErr w:type="gramStart"/>
      <w:r>
        <w:rPr>
          <w:i/>
        </w:rPr>
        <w:t xml:space="preserve">r </w:t>
      </w:r>
      <w:r>
        <w:rPr>
          <w:rFonts w:ascii="Calibri" w:eastAsia="Calibri" w:hAnsi="Calibri" w:cs="Calibri"/>
        </w:rPr>
        <w:t xml:space="preserve"> </w:t>
      </w:r>
      <w:r>
        <w:rPr>
          <w:i/>
        </w:rPr>
        <w:t>.</w:t>
      </w:r>
      <w:proofErr w:type="gramEnd"/>
      <w:r>
        <w:t xml:space="preserve">92, </w:t>
      </w:r>
      <w:r>
        <w:rPr>
          <w:i/>
        </w:rPr>
        <w:t xml:space="preserve">p </w:t>
      </w:r>
      <w:r>
        <w:t xml:space="preserve">.001). For the sole purpose of computing Cronbach’s alpha, item-level scores for Recognizing Social Norms are based on the calculation of Spearman’s rank correlation before correction for ties, which is 1[6 </w:t>
      </w:r>
      <w:r>
        <w:rPr>
          <w:i/>
        </w:rPr>
        <w:t xml:space="preserve">d </w:t>
      </w:r>
      <w:r>
        <w:rPr>
          <w:vertAlign w:val="superscript"/>
        </w:rPr>
        <w:t xml:space="preserve">3 </w:t>
      </w:r>
      <w:r>
        <w:t>/</w:t>
      </w:r>
      <w:r>
        <w:rPr>
          <w:i/>
        </w:rPr>
        <w:t>n</w:t>
      </w:r>
      <w:r>
        <w:t>(</w:t>
      </w:r>
      <w:r>
        <w:rPr>
          <w:i/>
        </w:rPr>
        <w:t>n</w:t>
      </w:r>
      <w:r>
        <w:rPr>
          <w:vertAlign w:val="superscript"/>
        </w:rPr>
        <w:t>3</w:t>
      </w:r>
      <w:r>
        <w:t xml:space="preserve">1)], with </w:t>
      </w:r>
      <w:r>
        <w:rPr>
          <w:i/>
        </w:rPr>
        <w:t xml:space="preserve">d </w:t>
      </w:r>
      <w:r>
        <w:t xml:space="preserve">being the difference between the rank of the estimated proportion and the actual proportion of participants who would condone the behavior mentioned in the item and </w:t>
      </w:r>
      <w:r>
        <w:rPr>
          <w:i/>
        </w:rPr>
        <w:t xml:space="preserve">n </w:t>
      </w:r>
      <w:r>
        <w:t>being the number of items (here, 16). The individual item-level scores are then calculated as 1/</w:t>
      </w:r>
      <w:r>
        <w:rPr>
          <w:i/>
        </w:rPr>
        <w:t xml:space="preserve">n </w:t>
      </w:r>
      <w:proofErr w:type="gramStart"/>
      <w:r>
        <w:t>–[</w:t>
      </w:r>
      <w:proofErr w:type="gramEnd"/>
      <w:r>
        <w:t xml:space="preserve">6 </w:t>
      </w:r>
      <w:r>
        <w:rPr>
          <w:rFonts w:ascii="Calibri" w:eastAsia="Calibri" w:hAnsi="Calibri" w:cs="Calibri"/>
        </w:rPr>
        <w:t xml:space="preserve"> </w:t>
      </w:r>
      <w:r>
        <w:rPr>
          <w:i/>
        </w:rPr>
        <w:t xml:space="preserve">d </w:t>
      </w:r>
      <w:r>
        <w:rPr>
          <w:vertAlign w:val="superscript"/>
        </w:rPr>
        <w:t xml:space="preserve">3 </w:t>
      </w:r>
      <w:r>
        <w:t>/</w:t>
      </w:r>
      <w:r>
        <w:rPr>
          <w:i/>
        </w:rPr>
        <w:t>n</w:t>
      </w:r>
      <w:r>
        <w:t>(</w:t>
      </w:r>
      <w:r>
        <w:rPr>
          <w:i/>
        </w:rPr>
        <w:t>n</w:t>
      </w:r>
      <w:r>
        <w:rPr>
          <w:vertAlign w:val="superscript"/>
        </w:rPr>
        <w:t>3</w:t>
      </w:r>
      <w:r>
        <w:t>1)].</w:t>
      </w:r>
    </w:p>
  </w:footnote>
  <w:footnote w:id="8">
    <w:p w:rsidR="00E25B31" w:rsidRDefault="00E25B31">
      <w:pPr>
        <w:pStyle w:val="footnotedescription"/>
        <w:spacing w:after="13"/>
      </w:pPr>
      <w:r>
        <w:rPr>
          <w:rStyle w:val="footnotemark"/>
        </w:rPr>
        <w:footnoteRef/>
      </w:r>
      <w:r>
        <w:t xml:space="preserve"> </w:t>
      </w:r>
      <w:proofErr w:type="spellStart"/>
      <w:r>
        <w:t>Strube</w:t>
      </w:r>
      <w:proofErr w:type="spellEnd"/>
      <w:r>
        <w:t xml:space="preserve"> (1985) proposed an analytic method for combining </w:t>
      </w:r>
      <w:proofErr w:type="spellStart"/>
      <w:r>
        <w:t>nonindependent</w:t>
      </w:r>
      <w:proofErr w:type="spellEnd"/>
      <w:r>
        <w:t xml:space="preserve"> hypothesis tests. This method is based on the logic of </w:t>
      </w:r>
      <w:proofErr w:type="spellStart"/>
      <w:r>
        <w:t>metaanalysis</w:t>
      </w:r>
      <w:proofErr w:type="spellEnd"/>
      <w:r>
        <w:t>, but unlike traditional meta-analysis does not assume independent hypothesis tests from separate samples/studies. Instead, it recognizes and corrects for the covariation among tests.</w:t>
      </w:r>
    </w:p>
  </w:footnote>
  <w:footnote w:id="9">
    <w:p w:rsidR="00E25B31" w:rsidRDefault="00E25B31">
      <w:pPr>
        <w:pStyle w:val="footnotedescription"/>
        <w:spacing w:line="287" w:lineRule="auto"/>
      </w:pPr>
      <w:r>
        <w:rPr>
          <w:rStyle w:val="footnotemark"/>
        </w:rPr>
        <w:footnoteRef/>
      </w:r>
      <w:r>
        <w:t xml:space="preserve"> Part correlations with age, controlling for SES, show similar results </w:t>
      </w:r>
      <w:proofErr w:type="gramStart"/>
      <w:r>
        <w:t>(</w:t>
      </w:r>
      <w:r>
        <w:rPr>
          <w:rFonts w:ascii="Calibri" w:eastAsia="Calibri" w:hAnsi="Calibri" w:cs="Calibri"/>
        </w:rPr>
        <w:t xml:space="preserve"> </w:t>
      </w:r>
      <w:r>
        <w:t>.</w:t>
      </w:r>
      <w:proofErr w:type="gramEnd"/>
      <w:r>
        <w:t>05) for overall A-DMC and component scores, except for Under/ overconfidence (</w:t>
      </w:r>
      <w:r>
        <w:rPr>
          <w:i/>
        </w:rPr>
        <w:t xml:space="preserve">r </w:t>
      </w:r>
      <w:r>
        <w:rPr>
          <w:rFonts w:ascii="Calibri" w:eastAsia="Calibri" w:hAnsi="Calibri" w:cs="Calibri"/>
        </w:rPr>
        <w:t xml:space="preserve"> </w:t>
      </w:r>
      <w:r>
        <w:t xml:space="preserve">.13, </w:t>
      </w:r>
      <w:r>
        <w:rPr>
          <w:i/>
        </w:rPr>
        <w:t xml:space="preserve">p </w:t>
      </w:r>
      <w:r>
        <w:rPr>
          <w:rFonts w:ascii="Calibri" w:eastAsia="Calibri" w:hAnsi="Calibri" w:cs="Calibri"/>
        </w:rPr>
        <w:t xml:space="preserve"> </w:t>
      </w:r>
      <w:r>
        <w:t>.05). (See Footnote 13 for information about part correlations.)</w:t>
      </w:r>
    </w:p>
  </w:footnote>
  <w:footnote w:id="10">
    <w:p w:rsidR="00E25B31" w:rsidRDefault="00E25B31">
      <w:pPr>
        <w:pStyle w:val="footnotedescription"/>
        <w:spacing w:line="259" w:lineRule="auto"/>
        <w:ind w:left="160" w:right="0" w:firstLine="0"/>
        <w:jc w:val="left"/>
      </w:pPr>
      <w:r>
        <w:rPr>
          <w:rStyle w:val="footnotemark"/>
        </w:rPr>
        <w:footnoteRef/>
      </w:r>
      <w:r>
        <w:t xml:space="preserve"> Because participants received half the items on the Raven SPM and half the standard time of the Comprehension subtest of the Nelson-Denny Reading Test, we use raw scores for each. These raw scores are highly correlated with normed scores reflecting doubled raw scores (</w:t>
      </w:r>
      <w:proofErr w:type="gramStart"/>
      <w:r>
        <w:rPr>
          <w:i/>
        </w:rPr>
        <w:t xml:space="preserve">r </w:t>
      </w:r>
      <w:r>
        <w:rPr>
          <w:rFonts w:ascii="Calibri" w:eastAsia="Calibri" w:hAnsi="Calibri" w:cs="Calibri"/>
        </w:rPr>
        <w:t xml:space="preserve"> </w:t>
      </w:r>
      <w:r>
        <w:t>.</w:t>
      </w:r>
      <w:proofErr w:type="gramEnd"/>
      <w:r>
        <w:t xml:space="preserve">76, </w:t>
      </w:r>
      <w:r>
        <w:rPr>
          <w:i/>
        </w:rPr>
        <w:t xml:space="preserve">p </w:t>
      </w:r>
      <w:r>
        <w:rPr>
          <w:rFonts w:ascii="Calibri" w:eastAsia="Calibri" w:hAnsi="Calibri" w:cs="Calibri"/>
        </w:rPr>
        <w:t xml:space="preserve"> </w:t>
      </w:r>
      <w:r>
        <w:t xml:space="preserve">.001 for Raven; </w:t>
      </w:r>
      <w:r>
        <w:rPr>
          <w:i/>
        </w:rPr>
        <w:t xml:space="preserve">r </w:t>
      </w:r>
      <w:r>
        <w:rPr>
          <w:rFonts w:ascii="Calibri" w:eastAsia="Calibri" w:hAnsi="Calibri" w:cs="Calibri"/>
        </w:rPr>
        <w:t xml:space="preserve"> </w:t>
      </w:r>
      <w:r>
        <w:t xml:space="preserve">.96, </w:t>
      </w:r>
      <w:r>
        <w:rPr>
          <w:i/>
        </w:rPr>
        <w:t xml:space="preserve">p </w:t>
      </w:r>
      <w:r>
        <w:rPr>
          <w:rFonts w:ascii="Calibri" w:eastAsia="Calibri" w:hAnsi="Calibri" w:cs="Calibri"/>
        </w:rPr>
        <w:t xml:space="preserve"> </w:t>
      </w:r>
      <w:r>
        <w:t>.001 for Nelson-Denny). The pattern reported here is unaffected by which score is used for these cognitive ability measures.</w:t>
      </w:r>
    </w:p>
  </w:footnote>
  <w:footnote w:id="11">
    <w:p w:rsidR="00E25B31" w:rsidRDefault="00E25B31">
      <w:pPr>
        <w:pStyle w:val="footnotedescription"/>
        <w:spacing w:line="243" w:lineRule="auto"/>
      </w:pPr>
      <w:r>
        <w:rPr>
          <w:rStyle w:val="footnotemark"/>
        </w:rPr>
        <w:footnoteRef/>
      </w:r>
      <w:r>
        <w:t xml:space="preserve"> Part correlations with Raven, controlling for SES, show similar results </w:t>
      </w:r>
      <w:proofErr w:type="gramStart"/>
      <w:r>
        <w:t>(</w:t>
      </w:r>
      <w:r>
        <w:rPr>
          <w:rFonts w:ascii="Calibri" w:eastAsia="Calibri" w:hAnsi="Calibri" w:cs="Calibri"/>
        </w:rPr>
        <w:t xml:space="preserve"> </w:t>
      </w:r>
      <w:r>
        <w:t>.</w:t>
      </w:r>
      <w:proofErr w:type="gramEnd"/>
      <w:r>
        <w:t>05) for overall A-DMC and component scores, except for Under/ overconfidence (</w:t>
      </w:r>
      <w:r>
        <w:rPr>
          <w:i/>
        </w:rPr>
        <w:t xml:space="preserve">r </w:t>
      </w:r>
      <w:r>
        <w:rPr>
          <w:rFonts w:ascii="Calibri" w:eastAsia="Calibri" w:hAnsi="Calibri" w:cs="Calibri"/>
        </w:rPr>
        <w:t xml:space="preserve"> </w:t>
      </w:r>
      <w:r>
        <w:t xml:space="preserve">.06, </w:t>
      </w:r>
      <w:r>
        <w:rPr>
          <w:i/>
        </w:rPr>
        <w:t xml:space="preserve">p </w:t>
      </w:r>
      <w:r>
        <w:rPr>
          <w:rFonts w:ascii="Calibri" w:eastAsia="Calibri" w:hAnsi="Calibri" w:cs="Calibri"/>
        </w:rPr>
        <w:t xml:space="preserve"> </w:t>
      </w:r>
      <w:r>
        <w:t>.21) or for Consistency in Risk Perception (</w:t>
      </w:r>
      <w:r>
        <w:rPr>
          <w:i/>
        </w:rPr>
        <w:t xml:space="preserve">r </w:t>
      </w:r>
      <w:r>
        <w:rPr>
          <w:rFonts w:ascii="Calibri" w:eastAsia="Calibri" w:hAnsi="Calibri" w:cs="Calibri"/>
        </w:rPr>
        <w:t xml:space="preserve"> </w:t>
      </w:r>
      <w:r>
        <w:t xml:space="preserve">.06, </w:t>
      </w:r>
      <w:r>
        <w:rPr>
          <w:i/>
        </w:rPr>
        <w:t xml:space="preserve">p </w:t>
      </w:r>
      <w:r>
        <w:rPr>
          <w:rFonts w:ascii="Calibri" w:eastAsia="Calibri" w:hAnsi="Calibri" w:cs="Calibri"/>
        </w:rPr>
        <w:t xml:space="preserve"> </w:t>
      </w:r>
      <w:r>
        <w:t>.18). For Nelson-Denny, changes include Recognizing Social Norms (</w:t>
      </w:r>
      <w:proofErr w:type="gramStart"/>
      <w:r>
        <w:rPr>
          <w:i/>
        </w:rPr>
        <w:t xml:space="preserve">r </w:t>
      </w:r>
      <w:r>
        <w:rPr>
          <w:rFonts w:ascii="Calibri" w:eastAsia="Calibri" w:hAnsi="Calibri" w:cs="Calibri"/>
        </w:rPr>
        <w:t xml:space="preserve"> </w:t>
      </w:r>
      <w:r>
        <w:t>.</w:t>
      </w:r>
      <w:proofErr w:type="gramEnd"/>
      <w:r>
        <w:t xml:space="preserve">08, </w:t>
      </w:r>
      <w:r>
        <w:rPr>
          <w:i/>
        </w:rPr>
        <w:t xml:space="preserve">p </w:t>
      </w:r>
      <w:r>
        <w:rPr>
          <w:rFonts w:ascii="Calibri" w:eastAsia="Calibri" w:hAnsi="Calibri" w:cs="Calibri"/>
        </w:rPr>
        <w:t xml:space="preserve"> </w:t>
      </w:r>
      <w:r>
        <w:t>.09), Under/overconfidence (</w:t>
      </w:r>
      <w:r>
        <w:rPr>
          <w:i/>
        </w:rPr>
        <w:t xml:space="preserve">r </w:t>
      </w:r>
      <w:r>
        <w:rPr>
          <w:rFonts w:ascii="Calibri" w:eastAsia="Calibri" w:hAnsi="Calibri" w:cs="Calibri"/>
        </w:rPr>
        <w:t xml:space="preserve"> </w:t>
      </w:r>
      <w:r>
        <w:t xml:space="preserve">.05, </w:t>
      </w:r>
      <w:r>
        <w:rPr>
          <w:i/>
        </w:rPr>
        <w:t xml:space="preserve">p </w:t>
      </w:r>
      <w:r>
        <w:rPr>
          <w:rFonts w:ascii="Calibri" w:eastAsia="Calibri" w:hAnsi="Calibri" w:cs="Calibri"/>
        </w:rPr>
        <w:t xml:space="preserve"> </w:t>
      </w:r>
      <w:r>
        <w:t>.35), and the DOI (</w:t>
      </w:r>
      <w:r>
        <w:rPr>
          <w:i/>
        </w:rPr>
        <w:t xml:space="preserve">r </w:t>
      </w:r>
      <w:r>
        <w:rPr>
          <w:rFonts w:ascii="Calibri" w:eastAsia="Calibri" w:hAnsi="Calibri" w:cs="Calibri"/>
        </w:rPr>
        <w:t xml:space="preserve"> </w:t>
      </w:r>
      <w:r>
        <w:t xml:space="preserve">.03, </w:t>
      </w:r>
      <w:r>
        <w:rPr>
          <w:i/>
        </w:rPr>
        <w:t xml:space="preserve">p </w:t>
      </w:r>
      <w:r>
        <w:rPr>
          <w:rFonts w:ascii="Calibri" w:eastAsia="Calibri" w:hAnsi="Calibri" w:cs="Calibri"/>
        </w:rPr>
        <w:t xml:space="preserve"> </w:t>
      </w:r>
      <w:r>
        <w:t>.52). (See Footnote 13 for information about part correlations.)</w:t>
      </w:r>
    </w:p>
  </w:footnote>
  <w:footnote w:id="12">
    <w:p w:rsidR="00E25B31" w:rsidRDefault="00E25B31">
      <w:pPr>
        <w:pStyle w:val="footnotedescription"/>
        <w:spacing w:line="230" w:lineRule="auto"/>
      </w:pPr>
      <w:r>
        <w:rPr>
          <w:rStyle w:val="footnotemark"/>
        </w:rPr>
        <w:footnoteRef/>
      </w:r>
      <w:r>
        <w:t xml:space="preserve"> Part correlations reflect the reduction in a regression’s beta coefficient, after adding a mediating variable to the model. Whereas part correlations remove the variance shared between predictors (e.g., A-DMC and age), partial correlations also remove the variance shared with the predicted variable (e.g., the DOI). All part correlations reported here are virtually identical to the corresponding partial correlations.</w:t>
      </w:r>
    </w:p>
  </w:footnote>
  <w:footnote w:id="13">
    <w:p w:rsidR="00E25B31" w:rsidRDefault="00E25B31">
      <w:pPr>
        <w:pStyle w:val="footnotedescription"/>
        <w:spacing w:line="259" w:lineRule="auto"/>
        <w:ind w:left="160" w:right="0" w:firstLine="0"/>
        <w:jc w:val="left"/>
      </w:pPr>
      <w:r>
        <w:rPr>
          <w:rStyle w:val="footnotemark"/>
        </w:rPr>
        <w:footnoteRef/>
      </w:r>
      <w:r>
        <w:t xml:space="preserve"> Because Applying Decision Rules shows the strongest correlation with the DOI and the highest loading on the single-factor score of A-DMC components, it is possible that the results are driven solely by this A-DMC component. However, controlling for Applying Decision Rules did not reduce the significance levels of correlations of the DOI with other A-DMC component scores and overall A-DMC, except for Consistency in Risk Perception (</w:t>
      </w:r>
      <w:proofErr w:type="gramStart"/>
      <w:r>
        <w:rPr>
          <w:i/>
        </w:rPr>
        <w:t xml:space="preserve">r </w:t>
      </w:r>
      <w:r>
        <w:rPr>
          <w:rFonts w:ascii="Calibri" w:eastAsia="Calibri" w:hAnsi="Calibri" w:cs="Calibri"/>
        </w:rPr>
        <w:t xml:space="preserve"> </w:t>
      </w:r>
      <w:r>
        <w:t>.</w:t>
      </w:r>
      <w:proofErr w:type="gramEnd"/>
      <w:r>
        <w:t xml:space="preserve">14, </w:t>
      </w:r>
      <w:r>
        <w:rPr>
          <w:i/>
        </w:rPr>
        <w:t xml:space="preserve">p </w:t>
      </w:r>
      <w:r>
        <w:rPr>
          <w:rFonts w:ascii="Calibri" w:eastAsia="Calibri" w:hAnsi="Calibri" w:cs="Calibri"/>
        </w:rPr>
        <w:t xml:space="preserve"> </w:t>
      </w:r>
      <w:r>
        <w:t xml:space="preserve">.05). </w:t>
      </w:r>
      <w:r>
        <w:rPr>
          <w:sz w:val="10"/>
        </w:rPr>
        <w:t>15</w:t>
      </w:r>
    </w:p>
    <w:p w:rsidR="00E25B31" w:rsidRDefault="00E25B31">
      <w:pPr>
        <w:pStyle w:val="footnotedescription"/>
        <w:spacing w:line="271" w:lineRule="auto"/>
        <w:ind w:firstLine="320"/>
      </w:pPr>
      <w:r>
        <w:t>A moderation test using hierarchical regression (Baron &amp; Kenny, 1986) shows that adding the interactions of the A-DMC with recruitment site and with highest level of education completed to the main effects improves predictions of the DOI (</w:t>
      </w:r>
      <w:r>
        <w:rPr>
          <w:rFonts w:ascii="Calibri" w:eastAsia="Calibri" w:hAnsi="Calibri" w:cs="Calibri"/>
        </w:rPr>
        <w:tab/>
      </w:r>
      <w:r>
        <w:rPr>
          <w:i/>
        </w:rPr>
        <w:t>R</w:t>
      </w:r>
      <w:proofErr w:type="gramStart"/>
      <w:r>
        <w:rPr>
          <w:vertAlign w:val="superscript"/>
        </w:rPr>
        <w:t xml:space="preserve">2 </w:t>
      </w:r>
      <w:r>
        <w:rPr>
          <w:rFonts w:ascii="Calibri" w:eastAsia="Calibri" w:hAnsi="Calibri" w:cs="Calibri"/>
        </w:rPr>
        <w:t xml:space="preserve"> </w:t>
      </w:r>
      <w:r>
        <w:t>.</w:t>
      </w:r>
      <w:proofErr w:type="gramEnd"/>
      <w:r>
        <w:t xml:space="preserve">02), </w:t>
      </w:r>
      <w:r>
        <w:rPr>
          <w:i/>
        </w:rPr>
        <w:t>F</w:t>
      </w:r>
      <w:r>
        <w:t xml:space="preserve">(2, 310) </w:t>
      </w:r>
      <w:r>
        <w:rPr>
          <w:rFonts w:ascii="Calibri" w:eastAsia="Calibri" w:hAnsi="Calibri" w:cs="Calibri"/>
        </w:rPr>
        <w:t xml:space="preserve"> </w:t>
      </w:r>
      <w:r>
        <w:t xml:space="preserve">3.37, </w:t>
      </w:r>
      <w:r>
        <w:rPr>
          <w:i/>
        </w:rPr>
        <w:t xml:space="preserve">p </w:t>
      </w:r>
      <w:r>
        <w:rPr>
          <w:rFonts w:ascii="Calibri" w:eastAsia="Calibri" w:hAnsi="Calibri" w:cs="Calibri"/>
        </w:rPr>
        <w:t xml:space="preserve"> </w:t>
      </w:r>
      <w:r>
        <w:t xml:space="preserve">.05. Only the first interaction was significant </w:t>
      </w:r>
      <w:proofErr w:type="gramStart"/>
      <w:r>
        <w:t>(</w:t>
      </w:r>
      <w:r>
        <w:rPr>
          <w:rFonts w:ascii="Calibri" w:eastAsia="Calibri" w:hAnsi="Calibri" w:cs="Calibri"/>
        </w:rPr>
        <w:t xml:space="preserve">  </w:t>
      </w:r>
      <w:r>
        <w:t>.</w:t>
      </w:r>
      <w:proofErr w:type="gramEnd"/>
      <w:r>
        <w:t xml:space="preserve">27), </w:t>
      </w:r>
      <w:r>
        <w:rPr>
          <w:i/>
        </w:rPr>
        <w:t>t</w:t>
      </w:r>
      <w:r>
        <w:t xml:space="preserve">(310) </w:t>
      </w:r>
      <w:r>
        <w:rPr>
          <w:rFonts w:ascii="Calibri" w:eastAsia="Calibri" w:hAnsi="Calibri" w:cs="Calibri"/>
        </w:rPr>
        <w:t xml:space="preserve"> </w:t>
      </w:r>
      <w:r>
        <w:t xml:space="preserve">2.55, </w:t>
      </w:r>
      <w:r>
        <w:rPr>
          <w:i/>
        </w:rPr>
        <w:t xml:space="preserve">p </w:t>
      </w:r>
      <w:r>
        <w:rPr>
          <w:rFonts w:ascii="Calibri" w:eastAsia="Calibri" w:hAnsi="Calibri" w:cs="Calibri"/>
        </w:rPr>
        <w:t xml:space="preserve"> </w:t>
      </w:r>
      <w:r>
        <w:t>.05, with the A-DMC being more strongly related to the DOI for users of social services than for others.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5B31" w:rsidRDefault="00E25B31">
    <w:pPr>
      <w:tabs>
        <w:tab w:val="center" w:pos="4981"/>
      </w:tabs>
      <w:spacing w:after="0" w:line="259" w:lineRule="auto"/>
      <w:ind w:right="0" w:firstLine="0"/>
      <w:jc w:val="left"/>
    </w:pPr>
    <w:r>
      <w:rPr>
        <w:sz w:val="20"/>
      </w:rPr>
      <w:fldChar w:fldCharType="begin"/>
    </w:r>
    <w:r>
      <w:rPr>
        <w:sz w:val="20"/>
      </w:rPr>
      <w:instrText xml:space="preserve"> PAGE   \* MERGEFORMAT </w:instrText>
    </w:r>
    <w:r>
      <w:rPr>
        <w:sz w:val="20"/>
      </w:rPr>
      <w:fldChar w:fldCharType="separate"/>
    </w:r>
    <w:r>
      <w:rPr>
        <w:sz w:val="20"/>
      </w:rPr>
      <w:t>940</w:t>
    </w:r>
    <w:r>
      <w:rPr>
        <w:sz w:val="20"/>
      </w:rPr>
      <w:fldChar w:fldCharType="end"/>
    </w:r>
    <w:r>
      <w:rPr>
        <w:sz w:val="20"/>
      </w:rPr>
      <w:tab/>
    </w:r>
    <w:r>
      <w:rPr>
        <w:sz w:val="16"/>
      </w:rPr>
      <w:t xml:space="preserve">BRUINE </w:t>
    </w:r>
    <w:r>
      <w:rPr>
        <w:sz w:val="12"/>
      </w:rPr>
      <w:t xml:space="preserve">DE </w:t>
    </w:r>
    <w:r>
      <w:rPr>
        <w:sz w:val="16"/>
      </w:rPr>
      <w:t>BRUIN, PARKER, AND FISCHHOFF</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5B31" w:rsidRDefault="00E25B31">
    <w:pPr>
      <w:tabs>
        <w:tab w:val="center" w:pos="4981"/>
        <w:tab w:val="right" w:pos="9961"/>
      </w:tabs>
      <w:spacing w:after="0" w:line="259" w:lineRule="auto"/>
      <w:ind w:right="0" w:firstLine="0"/>
      <w:jc w:val="left"/>
    </w:pPr>
    <w:r>
      <w:rPr>
        <w:rFonts w:ascii="Calibri" w:eastAsia="Calibri" w:hAnsi="Calibri" w:cs="Calibri"/>
        <w:color w:val="000000"/>
        <w:sz w:val="22"/>
      </w:rPr>
      <w:tab/>
    </w:r>
    <w:r>
      <w:rPr>
        <w:sz w:val="16"/>
      </w:rPr>
      <w:t>DECISION-MAKING COMPETENCE</w:t>
    </w:r>
    <w:r>
      <w:rPr>
        <w:sz w:val="16"/>
      </w:rPr>
      <w:tab/>
    </w:r>
    <w:r>
      <w:rPr>
        <w:sz w:val="20"/>
      </w:rPr>
      <w:fldChar w:fldCharType="begin"/>
    </w:r>
    <w:r>
      <w:rPr>
        <w:sz w:val="20"/>
      </w:rPr>
      <w:instrText xml:space="preserve"> PAGE   \* MERGEFORMAT </w:instrText>
    </w:r>
    <w:r>
      <w:rPr>
        <w:sz w:val="20"/>
      </w:rPr>
      <w:fldChar w:fldCharType="separate"/>
    </w:r>
    <w:r>
      <w:rPr>
        <w:sz w:val="20"/>
      </w:rPr>
      <w:t>939</w:t>
    </w:r>
    <w:r>
      <w:rPr>
        <w:sz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5B31" w:rsidRDefault="00E25B31">
    <w:pPr>
      <w:spacing w:after="160" w:line="259" w:lineRule="auto"/>
      <w:ind w:righ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A70"/>
    <w:rsid w:val="00157A70"/>
    <w:rsid w:val="00316F15"/>
    <w:rsid w:val="004F3174"/>
    <w:rsid w:val="00905A0E"/>
    <w:rsid w:val="009C309F"/>
    <w:rsid w:val="00E25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7F624"/>
  <w15:docId w15:val="{7A9DA340-FAB4-4E96-B1C3-11DCEFE19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5" w:line="262" w:lineRule="auto"/>
      <w:ind w:right="1" w:firstLine="170"/>
      <w:jc w:val="both"/>
    </w:pPr>
    <w:rPr>
      <w:rFonts w:ascii="Times New Roman" w:eastAsia="Times New Roman" w:hAnsi="Times New Roman" w:cs="Times New Roman"/>
      <w:color w:val="181717"/>
      <w:sz w:val="18"/>
    </w:rPr>
  </w:style>
  <w:style w:type="paragraph" w:styleId="1">
    <w:name w:val="heading 1"/>
    <w:next w:val="a"/>
    <w:link w:val="10"/>
    <w:uiPriority w:val="9"/>
    <w:qFormat/>
    <w:pPr>
      <w:keepNext/>
      <w:keepLines/>
      <w:spacing w:after="110" w:line="254" w:lineRule="auto"/>
      <w:ind w:left="10" w:right="1" w:hanging="10"/>
      <w:jc w:val="center"/>
      <w:outlineLvl w:val="0"/>
    </w:pPr>
    <w:rPr>
      <w:rFonts w:ascii="Times New Roman" w:eastAsia="Times New Roman" w:hAnsi="Times New Roman" w:cs="Times New Roman"/>
      <w:color w:val="181717"/>
      <w:sz w:val="20"/>
    </w:rPr>
  </w:style>
  <w:style w:type="paragraph" w:styleId="2">
    <w:name w:val="heading 2"/>
    <w:next w:val="a"/>
    <w:link w:val="20"/>
    <w:uiPriority w:val="9"/>
    <w:unhideWhenUsed/>
    <w:qFormat/>
    <w:pPr>
      <w:keepNext/>
      <w:keepLines/>
      <w:spacing w:after="86" w:line="265" w:lineRule="auto"/>
      <w:ind w:left="10" w:hanging="10"/>
      <w:outlineLvl w:val="1"/>
    </w:pPr>
    <w:rPr>
      <w:rFonts w:ascii="Times New Roman" w:eastAsia="Times New Roman" w:hAnsi="Times New Roman" w:cs="Times New Roman"/>
      <w:i/>
      <w:color w:val="181717"/>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Times New Roman" w:eastAsia="Times New Roman" w:hAnsi="Times New Roman" w:cs="Times New Roman"/>
      <w:i/>
      <w:color w:val="181717"/>
      <w:sz w:val="20"/>
    </w:rPr>
  </w:style>
  <w:style w:type="character" w:customStyle="1" w:styleId="10">
    <w:name w:val="标题 1 字符"/>
    <w:link w:val="1"/>
    <w:rPr>
      <w:rFonts w:ascii="Times New Roman" w:eastAsia="Times New Roman" w:hAnsi="Times New Roman" w:cs="Times New Roman"/>
      <w:color w:val="181717"/>
      <w:sz w:val="20"/>
    </w:rPr>
  </w:style>
  <w:style w:type="paragraph" w:customStyle="1" w:styleId="footnotedescription">
    <w:name w:val="footnote description"/>
    <w:next w:val="a"/>
    <w:link w:val="footnotedescriptionChar"/>
    <w:hidden/>
    <w:pPr>
      <w:spacing w:line="270" w:lineRule="auto"/>
      <w:ind w:right="1" w:firstLine="160"/>
      <w:jc w:val="both"/>
    </w:pPr>
    <w:rPr>
      <w:rFonts w:ascii="Times New Roman" w:eastAsia="Times New Roman" w:hAnsi="Times New Roman" w:cs="Times New Roman"/>
      <w:color w:val="181717"/>
      <w:sz w:val="16"/>
    </w:rPr>
  </w:style>
  <w:style w:type="character" w:customStyle="1" w:styleId="footnotedescriptionChar">
    <w:name w:val="footnote description Char"/>
    <w:link w:val="footnotedescription"/>
    <w:rPr>
      <w:rFonts w:ascii="Times New Roman" w:eastAsia="Times New Roman" w:hAnsi="Times New Roman" w:cs="Times New Roman"/>
      <w:color w:val="181717"/>
      <w:sz w:val="16"/>
    </w:rPr>
  </w:style>
  <w:style w:type="character" w:customStyle="1" w:styleId="footnotemark">
    <w:name w:val="footnote mark"/>
    <w:hidden/>
    <w:rPr>
      <w:rFonts w:ascii="Times New Roman" w:eastAsia="Times New Roman" w:hAnsi="Times New Roman" w:cs="Times New Roman"/>
      <w:color w:val="181717"/>
      <w:sz w:val="16"/>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jpg"/><Relationship Id="rId4" Type="http://schemas.openxmlformats.org/officeDocument/2006/relationships/footnotes" Target="footnotes.xml"/><Relationship Id="rId9"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14015</Words>
  <Characters>79892</Characters>
  <Application>Microsoft Office Word</Application>
  <DocSecurity>0</DocSecurity>
  <Lines>665</Lines>
  <Paragraphs>187</Paragraphs>
  <ScaleCrop>false</ScaleCrop>
  <Company/>
  <LinksUpToDate>false</LinksUpToDate>
  <CharactersWithSpaces>93720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兆钦</dc:creator>
  <cp:keywords/>
  <cp:lastModifiedBy>蔡 兆钦</cp:lastModifiedBy>
  <cp:revision>4</cp:revision>
  <dcterms:created xsi:type="dcterms:W3CDTF">2019-02-25T11:49:00Z</dcterms:created>
  <dcterms:modified xsi:type="dcterms:W3CDTF">2019-02-26T10:31:00Z</dcterms:modified>
</cp:coreProperties>
</file>